
<file path=[Content_Types].xml><?xml version="1.0" encoding="utf-8"?>
<Types xmlns="http://schemas.openxmlformats.org/package/2006/content-types">
  <Default Extension="xml" ContentType="application/xml"/>
  <Default Extension="doc" ContentType="application/msword"/>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4"/>
              <w:framePr w:w="0" w:hRule="auto" w:wrap="auto" w:vAnchor="margin" w:hAnchor="text" w:yAlign="inline"/>
            </w:pPr>
            <w:bookmarkStart w:id="0" w:name="page1"/>
            <w:bookmarkStart w:id="1310" w:name="_GoBack"/>
            <w:bookmarkEnd w:id="1310"/>
            <w:r>
              <w:rPr>
                <w:sz w:val="64"/>
              </w:rPr>
              <w:t xml:space="preserve">3GPP </w:t>
            </w:r>
            <w:bookmarkStart w:id="1" w:name="specType1"/>
            <w:r>
              <w:rPr>
                <w:sz w:val="64"/>
              </w:rPr>
              <w:t>TS</w:t>
            </w:r>
            <w:bookmarkEnd w:id="1"/>
            <w:r>
              <w:rPr>
                <w:sz w:val="64"/>
              </w:rPr>
              <w:t xml:space="preserve"> </w:t>
            </w:r>
            <w:bookmarkStart w:id="2" w:name="specNumber"/>
            <w:r>
              <w:rPr>
                <w:sz w:val="64"/>
              </w:rPr>
              <w:t>3</w:t>
            </w:r>
            <w:r>
              <w:rPr>
                <w:sz w:val="64"/>
                <w:lang w:val="en-US"/>
              </w:rPr>
              <w:t>6</w:t>
            </w:r>
            <w:r>
              <w:rPr>
                <w:sz w:val="64"/>
              </w:rPr>
              <w:t>.521-</w:t>
            </w:r>
            <w:bookmarkEnd w:id="2"/>
            <w:r>
              <w:rPr>
                <w:sz w:val="64"/>
                <w:lang w:val="en-US"/>
              </w:rPr>
              <w:t>4</w:t>
            </w:r>
            <w:r>
              <w:rPr>
                <w:sz w:val="64"/>
              </w:rPr>
              <w:t xml:space="preserve"> </w:t>
            </w:r>
            <w:r>
              <w:t>V</w:t>
            </w:r>
            <w:bookmarkStart w:id="3" w:name="specVersion"/>
            <w:r>
              <w:t>0.</w:t>
            </w:r>
            <w:r>
              <w:rPr>
                <w:rFonts w:hint="eastAsia" w:eastAsia="宋体"/>
                <w:lang w:val="en-US" w:eastAsia="zh-CN"/>
              </w:rPr>
              <w:t>3</w:t>
            </w:r>
            <w:r>
              <w:t>.</w:t>
            </w:r>
            <w:bookmarkEnd w:id="3"/>
            <w:r>
              <w:rPr>
                <w:lang w:val="en-US"/>
              </w:rPr>
              <w:t>0</w:t>
            </w:r>
            <w:r>
              <w:t xml:space="preserve"> </w:t>
            </w:r>
            <w:r>
              <w:rPr>
                <w:sz w:val="32"/>
              </w:rPr>
              <w:t>(</w:t>
            </w:r>
            <w:bookmarkStart w:id="4" w:name="issueDate"/>
            <w:r>
              <w:rPr>
                <w:sz w:val="32"/>
              </w:rPr>
              <w:t>202</w:t>
            </w:r>
            <w:r>
              <w:rPr>
                <w:sz w:val="32"/>
                <w:lang w:val="en-US"/>
              </w:rPr>
              <w:t>3</w:t>
            </w:r>
            <w:r>
              <w:rPr>
                <w:sz w:val="32"/>
              </w:rPr>
              <w:t>-</w:t>
            </w:r>
            <w:bookmarkEnd w:id="4"/>
            <w:r>
              <w:rPr>
                <w:sz w:val="32"/>
                <w:lang w:val="en-US"/>
              </w:rPr>
              <w:t>0</w:t>
            </w:r>
            <w:r>
              <w:rPr>
                <w:rFonts w:hint="eastAsia" w:eastAsia="宋体"/>
                <w:sz w:val="32"/>
                <w:lang w:val="en-US" w:eastAsia="zh-CN"/>
              </w:rPr>
              <w:t>9</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5"/>
              <w:framePr w:w="0" w:hRule="auto" w:wrap="auto" w:vAnchor="margin" w:hAnchor="text" w:yAlign="inline"/>
            </w:pPr>
            <w:r>
              <w:t xml:space="preserve">Technical </w:t>
            </w:r>
            <w:bookmarkStart w:id="5" w:name="spectype2"/>
            <w:r>
              <w:t>Specification</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6"/>
              <w:framePr w:wrap="auto" w:vAnchor="margin" w:hAnchor="text" w:yAlign="inline"/>
            </w:pPr>
            <w:r>
              <w:t>3rd Generation Partnership Project;</w:t>
            </w:r>
          </w:p>
          <w:p>
            <w:pPr>
              <w:pStyle w:val="116"/>
              <w:framePr w:wrap="auto" w:vAnchor="margin" w:hAnchor="text" w:yAlign="inline"/>
            </w:pPr>
            <w:r>
              <w:t xml:space="preserve">Technical Specification Group </w:t>
            </w:r>
            <w:bookmarkStart w:id="6" w:name="specTitle"/>
            <w:r>
              <w:t>Radio Access Network;</w:t>
            </w:r>
          </w:p>
          <w:p>
            <w:pPr>
              <w:pStyle w:val="116"/>
              <w:framePr w:wrap="auto" w:vAnchor="margin" w:hAnchor="text" w:yAlign="inline"/>
            </w:pPr>
            <w:r>
              <w:rPr>
                <w:rFonts w:hint="eastAsia"/>
              </w:rPr>
              <w:t>Evolved Universal Terrestrial Radio Access (E-UTRA)</w:t>
            </w:r>
            <w:r>
              <w:t>;</w:t>
            </w:r>
          </w:p>
          <w:p>
            <w:pPr>
              <w:pStyle w:val="116"/>
              <w:framePr w:wrap="auto" w:vAnchor="margin" w:hAnchor="text" w:yAlign="inline"/>
            </w:pPr>
            <w:r>
              <w:t>User Equipment (UE) conformance specification;</w:t>
            </w:r>
          </w:p>
          <w:p>
            <w:pPr>
              <w:pStyle w:val="116"/>
              <w:framePr w:wrap="auto" w:vAnchor="margin" w:hAnchor="text" w:yAlign="inline"/>
            </w:pPr>
            <w:r>
              <w:t>Radio transmission and reception;</w:t>
            </w:r>
          </w:p>
          <w:p>
            <w:pPr>
              <w:pStyle w:val="116"/>
              <w:framePr w:wrap="auto" w:vAnchor="margin" w:hAnchor="text" w:yAlign="inline"/>
            </w:pPr>
            <w:r>
              <w:t xml:space="preserve">Part </w:t>
            </w:r>
            <w:r>
              <w:rPr>
                <w:lang w:val="en-US"/>
              </w:rPr>
              <w:t>4</w:t>
            </w:r>
            <w:r>
              <w:t xml:space="preserve">: Satellite access Radio Frequency (RF) and performance </w:t>
            </w:r>
            <w:r>
              <w:rPr>
                <w:rFonts w:cs="Arial"/>
              </w:rPr>
              <w:t>Conformance Testing</w:t>
            </w:r>
          </w:p>
          <w:bookmarkEnd w:id="6"/>
          <w:p>
            <w:pPr>
              <w:pStyle w:val="116"/>
              <w:framePr w:wrap="auto" w:vAnchor="margin" w:hAnchor="text" w:yAlign="inline"/>
              <w:rPr>
                <w:i/>
                <w:sz w:val="28"/>
              </w:rPr>
            </w:pPr>
            <w:r>
              <w:t>(</w:t>
            </w:r>
            <w:r>
              <w:rPr>
                <w:rStyle w:val="96"/>
              </w:rPr>
              <w:t xml:space="preserve">Release </w:t>
            </w:r>
            <w:bookmarkStart w:id="7" w:name="specRelease"/>
            <w:r>
              <w:rPr>
                <w:rStyle w:val="96"/>
              </w:rPr>
              <w:t>1</w:t>
            </w:r>
            <w:bookmarkEnd w:id="7"/>
            <w:r>
              <w:rPr>
                <w:rStyle w:val="96"/>
                <w:lang w:val="en-US"/>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2"/>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3"/>
            </w:pPr>
            <w:bookmarkStart w:id="8" w:name="_MON_1710316271"/>
            <w:bookmarkEnd w:id="8"/>
            <w:r>
              <w:object>
                <v:shape id="_x0000_i1025" o:spt="75" type="#_x0000_t75" style="height:65.45pt;width:95.45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2"/>
            </w:pPr>
            <w:r>
              <w:object>
                <v:shape id="_x0000_i1026" o:spt="75" type="#_x0000_t75" style="height:74.75pt;width:128.75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5783" w:hRule="exact"/>
        </w:trPr>
        <w:tc>
          <w:tcPr>
            <w:tcW w:w="10423" w:type="dxa"/>
            <w:gridSpan w:val="2"/>
            <w:tcBorders>
              <w:top w:val="dashed" w:color="auto" w:sz="4" w:space="0"/>
              <w:bottom w:val="dashed" w:color="auto" w:sz="4" w:space="0"/>
            </w:tcBorders>
            <w:shd w:val="clear" w:color="auto" w:fill="auto"/>
          </w:tcPr>
          <w:p>
            <w:pPr>
              <w:pStyle w:val="103"/>
            </w:pPr>
            <w:bookmarkStart w:id="9" w:name="_Hlk99699974"/>
            <w:bookmarkEnd w:id="9"/>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417" w:right="1134" w:bottom="1134" w:left="1134"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9"/>
            </w:pPr>
            <w:bookmarkStart w:id="11" w:name="page2"/>
          </w:p>
        </w:tc>
      </w:tr>
      <w:tr>
        <w:trPr>
          <w:trHeight w:val="5387" w:hRule="exact"/>
        </w:trPr>
        <w:tc>
          <w:tcPr>
            <w:tcW w:w="10423" w:type="dxa"/>
            <w:shd w:val="clear" w:color="auto" w:fill="auto"/>
          </w:tcPr>
          <w:p>
            <w:pPr>
              <w:pStyle w:val="108"/>
              <w:spacing w:after="240"/>
              <w:ind w:left="2835" w:right="2835"/>
              <w:jc w:val="center"/>
              <w:rPr>
                <w:rFonts w:ascii="Arial" w:hAnsi="Arial"/>
                <w:b/>
                <w:i/>
              </w:rPr>
            </w:pPr>
            <w:bookmarkStart w:id="12"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http://www.3gpp.org</w:t>
            </w:r>
            <w:bookmarkEnd w:id="12"/>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3"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xml:space="preserve">© </w:t>
            </w:r>
            <w:bookmarkStart w:id="14" w:name="copyrightDate"/>
            <w:r>
              <w:rPr>
                <w:sz w:val="18"/>
              </w:rPr>
              <w:t>202</w:t>
            </w:r>
            <w:bookmarkEnd w:id="14"/>
            <w:r>
              <w:rPr>
                <w:sz w:val="18"/>
                <w:lang w:val="en-US"/>
              </w:rPr>
              <w:t>3</w:t>
            </w:r>
            <w:r>
              <w:rPr>
                <w:sz w:val="18"/>
              </w:rPr>
              <w:t>, 3GPP Organizational Partners (ARIB, ATIS, CCSA, ETSI, TSDSI, TTA, TTC).</w:t>
            </w:r>
            <w:bookmarkStart w:id="15" w:name="copyrightaddon"/>
            <w:bookmarkEnd w:id="15"/>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3"/>
          </w:p>
          <w:p/>
        </w:tc>
      </w:tr>
      <w:bookmarkEnd w:id="11"/>
    </w:tbl>
    <w:p>
      <w:pPr>
        <w:pStyle w:val="98"/>
      </w:pPr>
      <w:r>
        <w:br w:type="page"/>
      </w:r>
      <w:bookmarkStart w:id="16" w:name="tableOfContents"/>
      <w:bookmarkEnd w:id="16"/>
      <w:r>
        <w:t>Contents</w:t>
      </w:r>
    </w:p>
    <w:p>
      <w:pPr>
        <w:pStyle w:val="22"/>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_Toc20167 \h </w:instrText>
      </w:r>
      <w:r>
        <w:fldChar w:fldCharType="separate"/>
      </w:r>
      <w:r>
        <w:t>10</w:t>
      </w:r>
      <w:r>
        <w:fldChar w:fldCharType="end"/>
      </w:r>
    </w:p>
    <w:p>
      <w:pPr>
        <w:pStyle w:val="22"/>
        <w:tabs>
          <w:tab w:val="right" w:leader="dot" w:pos="9641"/>
          <w:tab w:val="clear" w:pos="9639"/>
        </w:tabs>
      </w:pPr>
      <w:r>
        <w:t>Introduction</w:t>
      </w:r>
      <w:r>
        <w:tab/>
      </w:r>
      <w:r>
        <w:fldChar w:fldCharType="begin"/>
      </w:r>
      <w:r>
        <w:instrText xml:space="preserve"> PAGEREF _Toc27617 \h </w:instrText>
      </w:r>
      <w:r>
        <w:fldChar w:fldCharType="separate"/>
      </w:r>
      <w:r>
        <w:t>10</w:t>
      </w:r>
      <w:r>
        <w:fldChar w:fldCharType="end"/>
      </w:r>
    </w:p>
    <w:p>
      <w:pPr>
        <w:pStyle w:val="22"/>
        <w:tabs>
          <w:tab w:val="right" w:pos="800"/>
          <w:tab w:val="right" w:leader="dot" w:pos="9641"/>
          <w:tab w:val="clear" w:pos="9639"/>
        </w:tabs>
      </w:pPr>
      <w:r>
        <w:t>1</w:t>
      </w:r>
      <w:r>
        <w:tab/>
      </w:r>
      <w:r>
        <w:t>Scope</w:t>
      </w:r>
      <w:r>
        <w:tab/>
      </w:r>
      <w:r>
        <w:fldChar w:fldCharType="begin"/>
      </w:r>
      <w:r>
        <w:instrText xml:space="preserve"> PAGEREF _Toc9522 \h </w:instrText>
      </w:r>
      <w:r>
        <w:fldChar w:fldCharType="separate"/>
      </w:r>
      <w:r>
        <w:t>11</w:t>
      </w:r>
      <w:r>
        <w:fldChar w:fldCharType="end"/>
      </w:r>
    </w:p>
    <w:p>
      <w:pPr>
        <w:pStyle w:val="22"/>
        <w:tabs>
          <w:tab w:val="right" w:pos="800"/>
          <w:tab w:val="right" w:leader="dot" w:pos="9641"/>
          <w:tab w:val="clear" w:pos="9639"/>
        </w:tabs>
      </w:pPr>
      <w:r>
        <w:t>2</w:t>
      </w:r>
      <w:r>
        <w:tab/>
      </w:r>
      <w:r>
        <w:t>References</w:t>
      </w:r>
      <w:r>
        <w:tab/>
      </w:r>
      <w:r>
        <w:fldChar w:fldCharType="begin"/>
      </w:r>
      <w:r>
        <w:instrText xml:space="preserve"> PAGEREF _Toc10199 \h </w:instrText>
      </w:r>
      <w:r>
        <w:fldChar w:fldCharType="separate"/>
      </w:r>
      <w:r>
        <w:t>11</w:t>
      </w:r>
      <w:r>
        <w:fldChar w:fldCharType="end"/>
      </w:r>
    </w:p>
    <w:p>
      <w:pPr>
        <w:pStyle w:val="22"/>
        <w:tabs>
          <w:tab w:val="right" w:pos="800"/>
          <w:tab w:val="right" w:leader="dot" w:pos="9641"/>
          <w:tab w:val="clear" w:pos="9639"/>
        </w:tabs>
      </w:pPr>
      <w:r>
        <w:t>3</w:t>
      </w:r>
      <w:r>
        <w:tab/>
      </w:r>
      <w:r>
        <w:t>Definitions of terms, symbols and abbreviations</w:t>
      </w:r>
      <w:r>
        <w:tab/>
      </w:r>
      <w:r>
        <w:fldChar w:fldCharType="begin"/>
      </w:r>
      <w:r>
        <w:instrText xml:space="preserve"> PAGEREF _Toc13008 \h </w:instrText>
      </w:r>
      <w:r>
        <w:fldChar w:fldCharType="separate"/>
      </w:r>
      <w:r>
        <w:t>12</w:t>
      </w:r>
      <w:r>
        <w:fldChar w:fldCharType="end"/>
      </w:r>
    </w:p>
    <w:p>
      <w:pPr>
        <w:pStyle w:val="21"/>
        <w:tabs>
          <w:tab w:val="right" w:pos="1200"/>
          <w:tab w:val="right" w:leader="dot" w:pos="9641"/>
          <w:tab w:val="clear" w:pos="9639"/>
        </w:tabs>
      </w:pPr>
      <w:r>
        <w:t>3.1</w:t>
      </w:r>
      <w:r>
        <w:tab/>
      </w:r>
      <w:r>
        <w:t>Terms</w:t>
      </w:r>
      <w:r>
        <w:tab/>
      </w:r>
      <w:r>
        <w:fldChar w:fldCharType="begin"/>
      </w:r>
      <w:r>
        <w:instrText xml:space="preserve"> PAGEREF _Toc15642 \h </w:instrText>
      </w:r>
      <w:r>
        <w:fldChar w:fldCharType="separate"/>
      </w:r>
      <w:r>
        <w:t>12</w:t>
      </w:r>
      <w:r>
        <w:fldChar w:fldCharType="end"/>
      </w:r>
    </w:p>
    <w:p>
      <w:pPr>
        <w:pStyle w:val="21"/>
        <w:tabs>
          <w:tab w:val="right" w:pos="1200"/>
          <w:tab w:val="right" w:leader="dot" w:pos="9641"/>
          <w:tab w:val="clear" w:pos="9639"/>
        </w:tabs>
      </w:pPr>
      <w:r>
        <w:t>3.2</w:t>
      </w:r>
      <w:r>
        <w:tab/>
      </w:r>
      <w:r>
        <w:t>Symbols</w:t>
      </w:r>
      <w:r>
        <w:tab/>
      </w:r>
      <w:r>
        <w:fldChar w:fldCharType="begin"/>
      </w:r>
      <w:r>
        <w:instrText xml:space="preserve"> PAGEREF _Toc12488 \h </w:instrText>
      </w:r>
      <w:r>
        <w:fldChar w:fldCharType="separate"/>
      </w:r>
      <w:r>
        <w:t>13</w:t>
      </w:r>
      <w:r>
        <w:fldChar w:fldCharType="end"/>
      </w:r>
    </w:p>
    <w:p>
      <w:pPr>
        <w:pStyle w:val="21"/>
        <w:tabs>
          <w:tab w:val="right" w:pos="1200"/>
          <w:tab w:val="right" w:leader="dot" w:pos="9641"/>
          <w:tab w:val="clear" w:pos="9639"/>
        </w:tabs>
      </w:pPr>
      <w:r>
        <w:t>3.3</w:t>
      </w:r>
      <w:r>
        <w:tab/>
      </w:r>
      <w:r>
        <w:t>Abbreviations</w:t>
      </w:r>
      <w:r>
        <w:tab/>
      </w:r>
      <w:r>
        <w:fldChar w:fldCharType="begin"/>
      </w:r>
      <w:r>
        <w:instrText xml:space="preserve"> PAGEREF _Toc8593 \h </w:instrText>
      </w:r>
      <w:r>
        <w:fldChar w:fldCharType="separate"/>
      </w:r>
      <w:r>
        <w:t>13</w:t>
      </w:r>
      <w:r>
        <w:fldChar w:fldCharType="end"/>
      </w:r>
    </w:p>
    <w:p>
      <w:pPr>
        <w:pStyle w:val="22"/>
        <w:tabs>
          <w:tab w:val="right" w:pos="800"/>
          <w:tab w:val="right" w:leader="dot" w:pos="9641"/>
          <w:tab w:val="clear" w:pos="9639"/>
        </w:tabs>
      </w:pPr>
      <w:r>
        <w:t>4</w:t>
      </w:r>
      <w:r>
        <w:tab/>
      </w:r>
      <w:r>
        <w:t>General</w:t>
      </w:r>
      <w:r>
        <w:tab/>
      </w:r>
      <w:r>
        <w:fldChar w:fldCharType="begin"/>
      </w:r>
      <w:r>
        <w:instrText xml:space="preserve"> PAGEREF _Toc8561 \h </w:instrText>
      </w:r>
      <w:r>
        <w:fldChar w:fldCharType="separate"/>
      </w:r>
      <w:r>
        <w:t>14</w:t>
      </w:r>
      <w:r>
        <w:fldChar w:fldCharType="end"/>
      </w:r>
    </w:p>
    <w:p>
      <w:pPr>
        <w:pStyle w:val="21"/>
        <w:tabs>
          <w:tab w:val="right" w:pos="1200"/>
          <w:tab w:val="right" w:leader="dot" w:pos="9641"/>
          <w:tab w:val="clear" w:pos="9639"/>
        </w:tabs>
      </w:pPr>
      <w:r>
        <w:t>4.1</w:t>
      </w:r>
      <w:r>
        <w:tab/>
      </w:r>
      <w:r>
        <w:t>Relationship between minimum requirements and test requirements</w:t>
      </w:r>
      <w:r>
        <w:tab/>
      </w:r>
      <w:r>
        <w:fldChar w:fldCharType="begin"/>
      </w:r>
      <w:r>
        <w:instrText xml:space="preserve"> PAGEREF _Toc18959 \h </w:instrText>
      </w:r>
      <w:r>
        <w:fldChar w:fldCharType="separate"/>
      </w:r>
      <w:r>
        <w:t>14</w:t>
      </w:r>
      <w:r>
        <w:fldChar w:fldCharType="end"/>
      </w:r>
    </w:p>
    <w:p>
      <w:pPr>
        <w:pStyle w:val="21"/>
        <w:tabs>
          <w:tab w:val="right" w:pos="1200"/>
          <w:tab w:val="right" w:leader="dot" w:pos="9641"/>
          <w:tab w:val="clear" w:pos="9639"/>
        </w:tabs>
      </w:pPr>
      <w:r>
        <w:t>4.2</w:t>
      </w:r>
      <w:r>
        <w:tab/>
      </w:r>
      <w:r>
        <w:t>Applicability of minimum requirements</w:t>
      </w:r>
      <w:r>
        <w:tab/>
      </w:r>
      <w:r>
        <w:fldChar w:fldCharType="begin"/>
      </w:r>
      <w:r>
        <w:instrText xml:space="preserve"> PAGEREF _Toc15014 \h </w:instrText>
      </w:r>
      <w:r>
        <w:fldChar w:fldCharType="separate"/>
      </w:r>
      <w:r>
        <w:t>15</w:t>
      </w:r>
      <w:r>
        <w:fldChar w:fldCharType="end"/>
      </w:r>
    </w:p>
    <w:p>
      <w:pPr>
        <w:pStyle w:val="21"/>
        <w:tabs>
          <w:tab w:val="right" w:pos="1200"/>
          <w:tab w:val="right" w:leader="dot" w:pos="9641"/>
          <w:tab w:val="clear" w:pos="9639"/>
        </w:tabs>
      </w:pPr>
      <w:r>
        <w:t>4.3</w:t>
      </w:r>
      <w:r>
        <w:tab/>
      </w:r>
      <w:r>
        <w:t>Specification suffix information</w:t>
      </w:r>
      <w:r>
        <w:tab/>
      </w:r>
      <w:r>
        <w:fldChar w:fldCharType="begin"/>
      </w:r>
      <w:r>
        <w:instrText xml:space="preserve"> PAGEREF _Toc16379 \h </w:instrText>
      </w:r>
      <w:r>
        <w:fldChar w:fldCharType="separate"/>
      </w:r>
      <w:r>
        <w:t>15</w:t>
      </w:r>
      <w:r>
        <w:fldChar w:fldCharType="end"/>
      </w:r>
    </w:p>
    <w:p>
      <w:pPr>
        <w:pStyle w:val="21"/>
        <w:tabs>
          <w:tab w:val="right" w:pos="1200"/>
          <w:tab w:val="right" w:leader="dot" w:pos="9641"/>
          <w:tab w:val="clear" w:pos="9639"/>
        </w:tabs>
      </w:pPr>
      <w:r>
        <w:t>4.4</w:t>
      </w:r>
      <w:r>
        <w:tab/>
      </w:r>
      <w:r>
        <w:rPr>
          <w:rFonts w:hint="eastAsia"/>
        </w:rPr>
        <w:t>Relationship</w:t>
      </w:r>
      <w:r>
        <w:t xml:space="preserve"> with core specifications</w:t>
      </w:r>
      <w:r>
        <w:tab/>
      </w:r>
      <w:r>
        <w:fldChar w:fldCharType="begin"/>
      </w:r>
      <w:r>
        <w:instrText xml:space="preserve"> PAGEREF _Toc10085 \h </w:instrText>
      </w:r>
      <w:r>
        <w:fldChar w:fldCharType="separate"/>
      </w:r>
      <w:r>
        <w:t>15</w:t>
      </w:r>
      <w:r>
        <w:fldChar w:fldCharType="end"/>
      </w:r>
    </w:p>
    <w:p>
      <w:pPr>
        <w:pStyle w:val="22"/>
        <w:tabs>
          <w:tab w:val="right" w:pos="800"/>
          <w:tab w:val="right" w:leader="dot" w:pos="9641"/>
          <w:tab w:val="clear" w:pos="9639"/>
        </w:tabs>
      </w:pPr>
      <w:r>
        <w:rPr>
          <w:rFonts w:hint="eastAsia"/>
        </w:rPr>
        <w:t>5</w:t>
      </w:r>
      <w:r>
        <w:tab/>
      </w:r>
      <w:r>
        <w:t>Operating bands and channel arrangement</w:t>
      </w:r>
      <w:r>
        <w:tab/>
      </w:r>
      <w:r>
        <w:fldChar w:fldCharType="begin"/>
      </w:r>
      <w:r>
        <w:instrText xml:space="preserve"> PAGEREF _Toc21720 \h </w:instrText>
      </w:r>
      <w:r>
        <w:fldChar w:fldCharType="separate"/>
      </w:r>
      <w:r>
        <w:t>15</w:t>
      </w:r>
      <w:r>
        <w:fldChar w:fldCharType="end"/>
      </w:r>
    </w:p>
    <w:p>
      <w:pPr>
        <w:pStyle w:val="21"/>
        <w:tabs>
          <w:tab w:val="right" w:pos="1200"/>
          <w:tab w:val="right" w:leader="dot" w:pos="9641"/>
          <w:tab w:val="clear" w:pos="9639"/>
        </w:tabs>
      </w:pPr>
      <w:r>
        <w:t>5.1</w:t>
      </w:r>
      <w:r>
        <w:tab/>
      </w:r>
      <w:r>
        <w:t>General</w:t>
      </w:r>
      <w:r>
        <w:tab/>
      </w:r>
      <w:r>
        <w:fldChar w:fldCharType="begin"/>
      </w:r>
      <w:r>
        <w:instrText xml:space="preserve"> PAGEREF _Toc920 \h </w:instrText>
      </w:r>
      <w:r>
        <w:fldChar w:fldCharType="separate"/>
      </w:r>
      <w:r>
        <w:t>15</w:t>
      </w:r>
      <w:r>
        <w:fldChar w:fldCharType="end"/>
      </w:r>
    </w:p>
    <w:p>
      <w:pPr>
        <w:pStyle w:val="21"/>
        <w:tabs>
          <w:tab w:val="right" w:pos="1200"/>
          <w:tab w:val="right" w:leader="dot" w:pos="9641"/>
          <w:tab w:val="clear" w:pos="9639"/>
        </w:tabs>
      </w:pPr>
      <w:r>
        <w:t>5.2</w:t>
      </w:r>
      <w:r>
        <w:tab/>
      </w:r>
      <w:r>
        <w:t>Operating bands</w:t>
      </w:r>
      <w:r>
        <w:tab/>
      </w:r>
      <w:r>
        <w:fldChar w:fldCharType="begin"/>
      </w:r>
      <w:r>
        <w:instrText xml:space="preserve"> PAGEREF _Toc27519 \h </w:instrText>
      </w:r>
      <w:r>
        <w:fldChar w:fldCharType="separate"/>
      </w:r>
      <w:r>
        <w:t>16</w:t>
      </w:r>
      <w:r>
        <w:fldChar w:fldCharType="end"/>
      </w:r>
    </w:p>
    <w:p>
      <w:pPr>
        <w:pStyle w:val="21"/>
        <w:tabs>
          <w:tab w:val="right" w:pos="1200"/>
          <w:tab w:val="right" w:leader="dot" w:pos="9641"/>
          <w:tab w:val="clear" w:pos="9639"/>
        </w:tabs>
      </w:pPr>
      <w:r>
        <w:t>5.2</w:t>
      </w:r>
      <w:r>
        <w:rPr>
          <w:lang w:eastAsia="zh-CN"/>
        </w:rPr>
        <w:t>A</w:t>
      </w:r>
      <w:r>
        <w:tab/>
      </w:r>
      <w:r>
        <w:t>Operating bands</w:t>
      </w:r>
      <w:r>
        <w:rPr>
          <w:lang w:eastAsia="zh-CN"/>
        </w:rPr>
        <w:t xml:space="preserve"> for UE category M1</w:t>
      </w:r>
      <w:r>
        <w:tab/>
      </w:r>
      <w:r>
        <w:fldChar w:fldCharType="begin"/>
      </w:r>
      <w:r>
        <w:instrText xml:space="preserve"> PAGEREF _Toc19199 \h </w:instrText>
      </w:r>
      <w:r>
        <w:fldChar w:fldCharType="separate"/>
      </w:r>
      <w:r>
        <w:t>16</w:t>
      </w:r>
      <w:r>
        <w:fldChar w:fldCharType="end"/>
      </w:r>
    </w:p>
    <w:p>
      <w:pPr>
        <w:pStyle w:val="21"/>
        <w:tabs>
          <w:tab w:val="right" w:pos="1200"/>
          <w:tab w:val="right" w:leader="dot" w:pos="9641"/>
          <w:tab w:val="clear" w:pos="9639"/>
        </w:tabs>
      </w:pPr>
      <w:r>
        <w:t>5.2</w:t>
      </w:r>
      <w:r>
        <w:rPr>
          <w:lang w:eastAsia="zh-CN"/>
        </w:rPr>
        <w:t>B</w:t>
      </w:r>
      <w:r>
        <w:tab/>
      </w:r>
      <w:r>
        <w:t>Operating bands</w:t>
      </w:r>
      <w:r>
        <w:rPr>
          <w:lang w:eastAsia="zh-CN"/>
        </w:rPr>
        <w:t xml:space="preserve"> for </w:t>
      </w:r>
      <w:r>
        <w:t>category NB1 and NB2</w:t>
      </w:r>
      <w:r>
        <w:tab/>
      </w:r>
      <w:r>
        <w:fldChar w:fldCharType="begin"/>
      </w:r>
      <w:r>
        <w:instrText xml:space="preserve"> PAGEREF _Toc19410 \h </w:instrText>
      </w:r>
      <w:r>
        <w:fldChar w:fldCharType="separate"/>
      </w:r>
      <w:r>
        <w:t>16</w:t>
      </w:r>
      <w:r>
        <w:fldChar w:fldCharType="end"/>
      </w:r>
    </w:p>
    <w:p>
      <w:pPr>
        <w:pStyle w:val="21"/>
        <w:tabs>
          <w:tab w:val="right" w:pos="1200"/>
          <w:tab w:val="right" w:leader="dot" w:pos="9641"/>
          <w:tab w:val="clear" w:pos="9639"/>
        </w:tabs>
      </w:pPr>
      <w:r>
        <w:t>5.3</w:t>
      </w:r>
      <w:r>
        <w:tab/>
      </w:r>
      <w:r>
        <w:t>Channel bandwidth</w:t>
      </w:r>
      <w:r>
        <w:tab/>
      </w:r>
      <w:r>
        <w:fldChar w:fldCharType="begin"/>
      </w:r>
      <w:r>
        <w:instrText xml:space="preserve"> PAGEREF _Toc31889 \h </w:instrText>
      </w:r>
      <w:r>
        <w:fldChar w:fldCharType="separate"/>
      </w:r>
      <w:r>
        <w:t>16</w:t>
      </w:r>
      <w:r>
        <w:fldChar w:fldCharType="end"/>
      </w:r>
    </w:p>
    <w:p>
      <w:pPr>
        <w:pStyle w:val="21"/>
        <w:tabs>
          <w:tab w:val="right" w:pos="1200"/>
          <w:tab w:val="right" w:leader="dot" w:pos="9641"/>
          <w:tab w:val="clear" w:pos="9639"/>
        </w:tabs>
      </w:pPr>
      <w:r>
        <w:t>5.3A</w:t>
      </w:r>
      <w:r>
        <w:tab/>
      </w:r>
      <w:r>
        <w:t>Channel bandwidth for category M1</w:t>
      </w:r>
      <w:r>
        <w:tab/>
      </w:r>
      <w:r>
        <w:fldChar w:fldCharType="begin"/>
      </w:r>
      <w:r>
        <w:instrText xml:space="preserve"> PAGEREF _Toc23837 \h </w:instrText>
      </w:r>
      <w:r>
        <w:fldChar w:fldCharType="separate"/>
      </w:r>
      <w:r>
        <w:t>16</w:t>
      </w:r>
      <w:r>
        <w:fldChar w:fldCharType="end"/>
      </w:r>
    </w:p>
    <w:p>
      <w:pPr>
        <w:pStyle w:val="21"/>
        <w:tabs>
          <w:tab w:val="right" w:pos="1200"/>
          <w:tab w:val="right" w:leader="dot" w:pos="9641"/>
          <w:tab w:val="clear" w:pos="9639"/>
        </w:tabs>
      </w:pPr>
      <w:r>
        <w:t>5.3B</w:t>
      </w:r>
      <w:r>
        <w:tab/>
      </w:r>
      <w:r>
        <w:t>Channel bandwidth for category NB1 and NB2</w:t>
      </w:r>
      <w:r>
        <w:tab/>
      </w:r>
      <w:r>
        <w:fldChar w:fldCharType="begin"/>
      </w:r>
      <w:r>
        <w:instrText xml:space="preserve"> PAGEREF _Toc32212 \h </w:instrText>
      </w:r>
      <w:r>
        <w:fldChar w:fldCharType="separate"/>
      </w:r>
      <w:r>
        <w:t>17</w:t>
      </w:r>
      <w:r>
        <w:fldChar w:fldCharType="end"/>
      </w:r>
    </w:p>
    <w:p>
      <w:pPr>
        <w:pStyle w:val="21"/>
        <w:tabs>
          <w:tab w:val="right" w:pos="1200"/>
          <w:tab w:val="right" w:leader="dot" w:pos="9641"/>
          <w:tab w:val="clear" w:pos="9639"/>
        </w:tabs>
      </w:pPr>
      <w:r>
        <w:t>5.4</w:t>
      </w:r>
      <w:r>
        <w:tab/>
      </w:r>
      <w:r>
        <w:t>Channel arrangement</w:t>
      </w:r>
      <w:r>
        <w:tab/>
      </w:r>
      <w:r>
        <w:fldChar w:fldCharType="begin"/>
      </w:r>
      <w:r>
        <w:instrText xml:space="preserve"> PAGEREF _Toc17549 \h </w:instrText>
      </w:r>
      <w:r>
        <w:fldChar w:fldCharType="separate"/>
      </w:r>
      <w:r>
        <w:t>18</w:t>
      </w:r>
      <w:r>
        <w:fldChar w:fldCharType="end"/>
      </w:r>
    </w:p>
    <w:p>
      <w:pPr>
        <w:pStyle w:val="21"/>
        <w:tabs>
          <w:tab w:val="right" w:pos="1200"/>
          <w:tab w:val="right" w:leader="dot" w:pos="9641"/>
          <w:tab w:val="clear" w:pos="9639"/>
        </w:tabs>
      </w:pPr>
      <w:r>
        <w:t>5.4A</w:t>
      </w:r>
      <w:r>
        <w:tab/>
      </w:r>
      <w:r>
        <w:t>Channel arrangement for category M1</w:t>
      </w:r>
      <w:r>
        <w:tab/>
      </w:r>
      <w:r>
        <w:fldChar w:fldCharType="begin"/>
      </w:r>
      <w:r>
        <w:instrText xml:space="preserve"> PAGEREF _Toc26103 \h </w:instrText>
      </w:r>
      <w:r>
        <w:fldChar w:fldCharType="separate"/>
      </w:r>
      <w:r>
        <w:t>18</w:t>
      </w:r>
      <w:r>
        <w:fldChar w:fldCharType="end"/>
      </w:r>
    </w:p>
    <w:p>
      <w:pPr>
        <w:pStyle w:val="20"/>
        <w:tabs>
          <w:tab w:val="right" w:pos="1600"/>
          <w:tab w:val="right" w:leader="dot" w:pos="9641"/>
          <w:tab w:val="clear" w:pos="9639"/>
        </w:tabs>
      </w:pPr>
      <w:r>
        <w:t>5.4A.1</w:t>
      </w:r>
      <w:r>
        <w:tab/>
      </w:r>
      <w:r>
        <w:t>Channel spacing</w:t>
      </w:r>
      <w:r>
        <w:tab/>
      </w:r>
      <w:r>
        <w:fldChar w:fldCharType="begin"/>
      </w:r>
      <w:r>
        <w:instrText xml:space="preserve"> PAGEREF _Toc4200 \h </w:instrText>
      </w:r>
      <w:r>
        <w:fldChar w:fldCharType="separate"/>
      </w:r>
      <w:r>
        <w:t>18</w:t>
      </w:r>
      <w:r>
        <w:fldChar w:fldCharType="end"/>
      </w:r>
    </w:p>
    <w:p>
      <w:pPr>
        <w:pStyle w:val="20"/>
        <w:tabs>
          <w:tab w:val="right" w:pos="1600"/>
          <w:tab w:val="right" w:leader="dot" w:pos="9641"/>
          <w:tab w:val="clear" w:pos="9639"/>
        </w:tabs>
      </w:pPr>
      <w:r>
        <w:t>5.4A.2</w:t>
      </w:r>
      <w:r>
        <w:tab/>
      </w:r>
      <w:r>
        <w:t>Channel raster, carrier frequency and EARFCN</w:t>
      </w:r>
      <w:r>
        <w:tab/>
      </w:r>
      <w:r>
        <w:fldChar w:fldCharType="begin"/>
      </w:r>
      <w:r>
        <w:instrText xml:space="preserve"> PAGEREF _Toc22197 \h </w:instrText>
      </w:r>
      <w:r>
        <w:fldChar w:fldCharType="separate"/>
      </w:r>
      <w:r>
        <w:t>18</w:t>
      </w:r>
      <w:r>
        <w:fldChar w:fldCharType="end"/>
      </w:r>
    </w:p>
    <w:p>
      <w:pPr>
        <w:pStyle w:val="20"/>
        <w:tabs>
          <w:tab w:val="right" w:pos="1600"/>
          <w:tab w:val="right" w:leader="dot" w:pos="9641"/>
          <w:tab w:val="clear" w:pos="9639"/>
        </w:tabs>
      </w:pPr>
      <w:r>
        <w:t>5.4A.3</w:t>
      </w:r>
      <w:r>
        <w:tab/>
      </w:r>
      <w:r>
        <w:t>TX–RX frequency separation</w:t>
      </w:r>
      <w:r>
        <w:tab/>
      </w:r>
      <w:r>
        <w:fldChar w:fldCharType="begin"/>
      </w:r>
      <w:r>
        <w:instrText xml:space="preserve"> PAGEREF _Toc7653 \h </w:instrText>
      </w:r>
      <w:r>
        <w:fldChar w:fldCharType="separate"/>
      </w:r>
      <w:r>
        <w:t>19</w:t>
      </w:r>
      <w:r>
        <w:fldChar w:fldCharType="end"/>
      </w:r>
    </w:p>
    <w:p>
      <w:pPr>
        <w:pStyle w:val="21"/>
        <w:tabs>
          <w:tab w:val="right" w:pos="1200"/>
          <w:tab w:val="right" w:leader="dot" w:pos="9641"/>
          <w:tab w:val="clear" w:pos="9639"/>
        </w:tabs>
      </w:pPr>
      <w:r>
        <w:t>5.4B</w:t>
      </w:r>
      <w:r>
        <w:tab/>
      </w:r>
      <w:r>
        <w:t>Channel arrangement for category NB1 and NB2</w:t>
      </w:r>
      <w:r>
        <w:tab/>
      </w:r>
      <w:r>
        <w:fldChar w:fldCharType="begin"/>
      </w:r>
      <w:r>
        <w:instrText xml:space="preserve"> PAGEREF _Toc31042 \h </w:instrText>
      </w:r>
      <w:r>
        <w:fldChar w:fldCharType="separate"/>
      </w:r>
      <w:r>
        <w:t>19</w:t>
      </w:r>
      <w:r>
        <w:fldChar w:fldCharType="end"/>
      </w:r>
    </w:p>
    <w:p>
      <w:pPr>
        <w:pStyle w:val="20"/>
        <w:tabs>
          <w:tab w:val="right" w:pos="1600"/>
          <w:tab w:val="right" w:leader="dot" w:pos="9641"/>
          <w:tab w:val="clear" w:pos="9639"/>
        </w:tabs>
      </w:pPr>
      <w:r>
        <w:t>5.4B.1</w:t>
      </w:r>
      <w:r>
        <w:tab/>
      </w:r>
      <w:r>
        <w:t>Channel spacing</w:t>
      </w:r>
      <w:r>
        <w:tab/>
      </w:r>
      <w:r>
        <w:fldChar w:fldCharType="begin"/>
      </w:r>
      <w:r>
        <w:instrText xml:space="preserve"> PAGEREF _Toc5841 \h </w:instrText>
      </w:r>
      <w:r>
        <w:fldChar w:fldCharType="separate"/>
      </w:r>
      <w:r>
        <w:t>19</w:t>
      </w:r>
      <w:r>
        <w:fldChar w:fldCharType="end"/>
      </w:r>
    </w:p>
    <w:p>
      <w:pPr>
        <w:pStyle w:val="20"/>
        <w:tabs>
          <w:tab w:val="right" w:pos="1600"/>
          <w:tab w:val="right" w:leader="dot" w:pos="9641"/>
          <w:tab w:val="clear" w:pos="9639"/>
        </w:tabs>
      </w:pPr>
      <w:r>
        <w:t>5.4B.2</w:t>
      </w:r>
      <w:r>
        <w:tab/>
      </w:r>
      <w:r>
        <w:t>Channel raster, carrier frequency and EARFCN</w:t>
      </w:r>
      <w:r>
        <w:tab/>
      </w:r>
      <w:r>
        <w:fldChar w:fldCharType="begin"/>
      </w:r>
      <w:r>
        <w:instrText xml:space="preserve"> PAGEREF _Toc10208 \h </w:instrText>
      </w:r>
      <w:r>
        <w:fldChar w:fldCharType="separate"/>
      </w:r>
      <w:r>
        <w:t>19</w:t>
      </w:r>
      <w:r>
        <w:fldChar w:fldCharType="end"/>
      </w:r>
    </w:p>
    <w:p>
      <w:pPr>
        <w:pStyle w:val="20"/>
        <w:tabs>
          <w:tab w:val="right" w:pos="1600"/>
          <w:tab w:val="right" w:leader="dot" w:pos="9641"/>
          <w:tab w:val="clear" w:pos="9639"/>
        </w:tabs>
      </w:pPr>
      <w:r>
        <w:t>5.4B.3</w:t>
      </w:r>
      <w:r>
        <w:tab/>
      </w:r>
      <w:r>
        <w:t>TX–RX frequency separation</w:t>
      </w:r>
      <w:r>
        <w:tab/>
      </w:r>
      <w:r>
        <w:fldChar w:fldCharType="begin"/>
      </w:r>
      <w:r>
        <w:instrText xml:space="preserve"> PAGEREF _Toc3438 \h </w:instrText>
      </w:r>
      <w:r>
        <w:fldChar w:fldCharType="separate"/>
      </w:r>
      <w:r>
        <w:t>20</w:t>
      </w:r>
      <w:r>
        <w:fldChar w:fldCharType="end"/>
      </w:r>
    </w:p>
    <w:p>
      <w:pPr>
        <w:pStyle w:val="22"/>
        <w:tabs>
          <w:tab w:val="right" w:pos="800"/>
          <w:tab w:val="right" w:leader="dot" w:pos="9641"/>
          <w:tab w:val="clear" w:pos="9639"/>
        </w:tabs>
      </w:pPr>
      <w:r>
        <w:t>6</w:t>
      </w:r>
      <w:r>
        <w:tab/>
      </w:r>
      <w:r>
        <w:t>Transmitter characteristics</w:t>
      </w:r>
      <w:r>
        <w:tab/>
      </w:r>
      <w:r>
        <w:fldChar w:fldCharType="begin"/>
      </w:r>
      <w:r>
        <w:instrText xml:space="preserve"> PAGEREF _Toc20677 \h </w:instrText>
      </w:r>
      <w:r>
        <w:fldChar w:fldCharType="separate"/>
      </w:r>
      <w:r>
        <w:t>20</w:t>
      </w:r>
      <w:r>
        <w:fldChar w:fldCharType="end"/>
      </w:r>
    </w:p>
    <w:p>
      <w:pPr>
        <w:pStyle w:val="21"/>
        <w:tabs>
          <w:tab w:val="right" w:pos="1200"/>
          <w:tab w:val="right" w:leader="dot" w:pos="9641"/>
          <w:tab w:val="clear" w:pos="9639"/>
        </w:tabs>
      </w:pPr>
      <w:r>
        <w:t>6.1</w:t>
      </w:r>
      <w:r>
        <w:tab/>
      </w:r>
      <w:r>
        <w:t>General</w:t>
      </w:r>
      <w:r>
        <w:tab/>
      </w:r>
      <w:r>
        <w:fldChar w:fldCharType="begin"/>
      </w:r>
      <w:r>
        <w:instrText xml:space="preserve"> PAGEREF _Toc12328 \h </w:instrText>
      </w:r>
      <w:r>
        <w:fldChar w:fldCharType="separate"/>
      </w:r>
      <w:r>
        <w:t>20</w:t>
      </w:r>
      <w:r>
        <w:fldChar w:fldCharType="end"/>
      </w:r>
    </w:p>
    <w:p>
      <w:pPr>
        <w:pStyle w:val="21"/>
        <w:tabs>
          <w:tab w:val="right" w:pos="1200"/>
          <w:tab w:val="right" w:leader="dot" w:pos="9641"/>
          <w:tab w:val="clear" w:pos="9639"/>
        </w:tabs>
      </w:pPr>
      <w:r>
        <w:t>6.2</w:t>
      </w:r>
      <w:r>
        <w:tab/>
      </w:r>
      <w:r>
        <w:t>Transmit power</w:t>
      </w:r>
      <w:r>
        <w:tab/>
      </w:r>
      <w:r>
        <w:fldChar w:fldCharType="begin"/>
      </w:r>
      <w:r>
        <w:instrText xml:space="preserve"> PAGEREF _Toc17782 \h </w:instrText>
      </w:r>
      <w:r>
        <w:fldChar w:fldCharType="separate"/>
      </w:r>
      <w:r>
        <w:t>20</w:t>
      </w:r>
      <w:r>
        <w:fldChar w:fldCharType="end"/>
      </w:r>
    </w:p>
    <w:p>
      <w:pPr>
        <w:pStyle w:val="21"/>
        <w:tabs>
          <w:tab w:val="right" w:pos="1200"/>
          <w:tab w:val="right" w:leader="dot" w:pos="9641"/>
          <w:tab w:val="clear" w:pos="9639"/>
        </w:tabs>
      </w:pPr>
      <w:r>
        <w:t>6.2A</w:t>
      </w:r>
      <w:r>
        <w:tab/>
      </w:r>
      <w:r>
        <w:t>Transmit power for category M1</w:t>
      </w:r>
      <w:r>
        <w:tab/>
      </w:r>
      <w:r>
        <w:fldChar w:fldCharType="begin"/>
      </w:r>
      <w:r>
        <w:instrText xml:space="preserve"> PAGEREF _Toc7190 \h </w:instrText>
      </w:r>
      <w:r>
        <w:fldChar w:fldCharType="separate"/>
      </w:r>
      <w:r>
        <w:t>20</w:t>
      </w:r>
      <w:r>
        <w:fldChar w:fldCharType="end"/>
      </w:r>
    </w:p>
    <w:p>
      <w:pPr>
        <w:pStyle w:val="20"/>
        <w:tabs>
          <w:tab w:val="right" w:pos="1600"/>
          <w:tab w:val="right" w:leader="dot" w:pos="9641"/>
          <w:tab w:val="clear" w:pos="9639"/>
        </w:tabs>
      </w:pPr>
      <w:r>
        <w:t>6.2A.1</w:t>
      </w:r>
      <w:r>
        <w:tab/>
      </w:r>
      <w:r>
        <w:rPr>
          <w:lang w:eastAsia="zh-CN"/>
        </w:rPr>
        <w:t xml:space="preserve">UE </w:t>
      </w:r>
      <w:r>
        <w:t>maximum output power for category M1</w:t>
      </w:r>
      <w:r>
        <w:tab/>
      </w:r>
      <w:r>
        <w:fldChar w:fldCharType="begin"/>
      </w:r>
      <w:r>
        <w:instrText xml:space="preserve"> PAGEREF _Toc459 \h </w:instrText>
      </w:r>
      <w:r>
        <w:fldChar w:fldCharType="separate"/>
      </w:r>
      <w:r>
        <w:t>20</w:t>
      </w:r>
      <w:r>
        <w:fldChar w:fldCharType="end"/>
      </w:r>
    </w:p>
    <w:p>
      <w:pPr>
        <w:pStyle w:val="20"/>
        <w:tabs>
          <w:tab w:val="right" w:pos="1600"/>
          <w:tab w:val="right" w:leader="dot" w:pos="9641"/>
          <w:tab w:val="clear" w:pos="9639"/>
        </w:tabs>
      </w:pPr>
      <w:r>
        <w:t>6.2A.2</w:t>
      </w:r>
      <w:r>
        <w:rPr>
          <w:lang w:eastAsia="zh-CN"/>
        </w:rPr>
        <w:tab/>
      </w:r>
      <w:r>
        <w:t>UE m</w:t>
      </w:r>
      <w:r>
        <w:rPr>
          <w:lang w:eastAsia="zh-CN"/>
        </w:rPr>
        <w:t xml:space="preserve">aximum output power reduction </w:t>
      </w:r>
      <w:r>
        <w:t xml:space="preserve">for </w:t>
      </w:r>
      <w:r>
        <w:rPr>
          <w:lang w:eastAsia="zh-CN"/>
        </w:rPr>
        <w:t>category M1</w:t>
      </w:r>
      <w:r>
        <w:tab/>
      </w:r>
      <w:r>
        <w:fldChar w:fldCharType="begin"/>
      </w:r>
      <w:r>
        <w:instrText xml:space="preserve"> PAGEREF _Toc19552 \h </w:instrText>
      </w:r>
      <w:r>
        <w:fldChar w:fldCharType="separate"/>
      </w:r>
      <w:r>
        <w:t>22</w:t>
      </w:r>
      <w:r>
        <w:fldChar w:fldCharType="end"/>
      </w:r>
    </w:p>
    <w:p>
      <w:pPr>
        <w:pStyle w:val="20"/>
        <w:tabs>
          <w:tab w:val="right" w:pos="1600"/>
          <w:tab w:val="right" w:leader="dot" w:pos="9641"/>
          <w:tab w:val="clear" w:pos="9639"/>
        </w:tabs>
      </w:pPr>
      <w:r>
        <w:t>6.2A.3</w:t>
      </w:r>
      <w:r>
        <w:tab/>
      </w:r>
      <w:r>
        <w:t>UE additional maximum output power reduction for category M1 UE</w:t>
      </w:r>
      <w:r>
        <w:tab/>
      </w:r>
      <w:r>
        <w:fldChar w:fldCharType="begin"/>
      </w:r>
      <w:r>
        <w:instrText xml:space="preserve"> PAGEREF _Toc4144 \h </w:instrText>
      </w:r>
      <w:r>
        <w:fldChar w:fldCharType="separate"/>
      </w:r>
      <w:r>
        <w:t>26</w:t>
      </w:r>
      <w:r>
        <w:fldChar w:fldCharType="end"/>
      </w:r>
    </w:p>
    <w:p>
      <w:pPr>
        <w:pStyle w:val="20"/>
        <w:tabs>
          <w:tab w:val="right" w:pos="1600"/>
          <w:tab w:val="right" w:leader="dot" w:pos="9641"/>
          <w:tab w:val="clear" w:pos="9639"/>
        </w:tabs>
      </w:pPr>
      <w:r>
        <w:t>6.2A.4</w:t>
      </w:r>
      <w:r>
        <w:tab/>
      </w:r>
      <w:r>
        <w:t>Configured transmitted Power for category M1</w:t>
      </w:r>
      <w:r>
        <w:tab/>
      </w:r>
      <w:r>
        <w:fldChar w:fldCharType="begin"/>
      </w:r>
      <w:r>
        <w:instrText xml:space="preserve"> PAGEREF _Toc22021 \h </w:instrText>
      </w:r>
      <w:r>
        <w:fldChar w:fldCharType="separate"/>
      </w:r>
      <w:r>
        <w:t>31</w:t>
      </w:r>
      <w:r>
        <w:fldChar w:fldCharType="end"/>
      </w:r>
    </w:p>
    <w:p>
      <w:pPr>
        <w:pStyle w:val="21"/>
        <w:tabs>
          <w:tab w:val="right" w:pos="1200"/>
          <w:tab w:val="right" w:leader="dot" w:pos="9641"/>
          <w:tab w:val="clear" w:pos="9639"/>
        </w:tabs>
      </w:pPr>
      <w:r>
        <w:t>6.2B</w:t>
      </w:r>
      <w:r>
        <w:tab/>
      </w:r>
      <w:r>
        <w:t>Transmit power for category NB1 and NB2</w:t>
      </w:r>
      <w:r>
        <w:tab/>
      </w:r>
      <w:r>
        <w:fldChar w:fldCharType="begin"/>
      </w:r>
      <w:r>
        <w:instrText xml:space="preserve"> PAGEREF _Toc7398 \h </w:instrText>
      </w:r>
      <w:r>
        <w:fldChar w:fldCharType="separate"/>
      </w:r>
      <w:r>
        <w:t>34</w:t>
      </w:r>
      <w:r>
        <w:fldChar w:fldCharType="end"/>
      </w:r>
    </w:p>
    <w:p>
      <w:pPr>
        <w:pStyle w:val="20"/>
        <w:tabs>
          <w:tab w:val="right" w:pos="1600"/>
          <w:tab w:val="right" w:leader="dot" w:pos="9641"/>
          <w:tab w:val="clear" w:pos="9639"/>
        </w:tabs>
      </w:pPr>
      <w:r>
        <w:t>6.2B.1</w:t>
      </w:r>
      <w:r>
        <w:tab/>
      </w:r>
      <w:r>
        <w:rPr>
          <w:lang w:eastAsia="zh-CN"/>
        </w:rPr>
        <w:t xml:space="preserve">UE </w:t>
      </w:r>
      <w:r>
        <w:t xml:space="preserve">maximum output power for category </w:t>
      </w:r>
      <w:r>
        <w:rPr>
          <w:lang w:val="en-US"/>
        </w:rPr>
        <w:t>NB1 and NB2</w:t>
      </w:r>
      <w:r>
        <w:tab/>
      </w:r>
      <w:r>
        <w:fldChar w:fldCharType="begin"/>
      </w:r>
      <w:r>
        <w:instrText xml:space="preserve"> PAGEREF _Toc23187 \h </w:instrText>
      </w:r>
      <w:r>
        <w:fldChar w:fldCharType="separate"/>
      </w:r>
      <w:r>
        <w:t>34</w:t>
      </w:r>
      <w:r>
        <w:fldChar w:fldCharType="end"/>
      </w:r>
    </w:p>
    <w:p>
      <w:pPr>
        <w:pStyle w:val="20"/>
        <w:tabs>
          <w:tab w:val="right" w:pos="1600"/>
          <w:tab w:val="right" w:leader="dot" w:pos="9641"/>
          <w:tab w:val="clear" w:pos="9639"/>
        </w:tabs>
      </w:pPr>
      <w:r>
        <w:t>6.2B.2</w:t>
      </w:r>
      <w:r>
        <w:rPr>
          <w:lang w:eastAsia="zh-CN"/>
        </w:rPr>
        <w:tab/>
      </w:r>
      <w:r>
        <w:t>UE m</w:t>
      </w:r>
      <w:r>
        <w:rPr>
          <w:lang w:eastAsia="zh-CN"/>
        </w:rPr>
        <w:t xml:space="preserve">aximum output power reduction </w:t>
      </w:r>
      <w:r>
        <w:t xml:space="preserve">for </w:t>
      </w:r>
      <w:r>
        <w:rPr>
          <w:lang w:eastAsia="zh-CN"/>
        </w:rPr>
        <w:t>category NB1 and NB2</w:t>
      </w:r>
      <w:r>
        <w:tab/>
      </w:r>
      <w:r>
        <w:fldChar w:fldCharType="begin"/>
      </w:r>
      <w:r>
        <w:instrText xml:space="preserve"> PAGEREF _Toc6222 \h </w:instrText>
      </w:r>
      <w:r>
        <w:fldChar w:fldCharType="separate"/>
      </w:r>
      <w:r>
        <w:t>36</w:t>
      </w:r>
      <w:r>
        <w:fldChar w:fldCharType="end"/>
      </w:r>
    </w:p>
    <w:p>
      <w:pPr>
        <w:pStyle w:val="20"/>
        <w:tabs>
          <w:tab w:val="right" w:pos="1600"/>
          <w:tab w:val="right" w:leader="dot" w:pos="9641"/>
          <w:tab w:val="clear" w:pos="9639"/>
        </w:tabs>
      </w:pPr>
      <w:r>
        <w:t>6.2B.3</w:t>
      </w:r>
      <w:r>
        <w:tab/>
      </w:r>
      <w:r>
        <w:t>UE additional maximum output power reduction for category NB1 and NB2 UE</w:t>
      </w:r>
      <w:r>
        <w:tab/>
      </w:r>
      <w:r>
        <w:fldChar w:fldCharType="begin"/>
      </w:r>
      <w:r>
        <w:instrText xml:space="preserve"> PAGEREF _Toc12744 \h </w:instrText>
      </w:r>
      <w:r>
        <w:fldChar w:fldCharType="separate"/>
      </w:r>
      <w:r>
        <w:t>39</w:t>
      </w:r>
      <w:r>
        <w:fldChar w:fldCharType="end"/>
      </w:r>
    </w:p>
    <w:p>
      <w:pPr>
        <w:pStyle w:val="20"/>
        <w:tabs>
          <w:tab w:val="right" w:pos="1600"/>
          <w:tab w:val="right" w:leader="dot" w:pos="9641"/>
          <w:tab w:val="clear" w:pos="9639"/>
        </w:tabs>
      </w:pPr>
      <w:r>
        <w:t>6.2B.4</w:t>
      </w:r>
      <w:r>
        <w:tab/>
      </w:r>
      <w:r>
        <w:t>Configured transmitted Power for category NB1 and NB2</w:t>
      </w:r>
      <w:r>
        <w:tab/>
      </w:r>
      <w:r>
        <w:fldChar w:fldCharType="begin"/>
      </w:r>
      <w:r>
        <w:instrText xml:space="preserve"> PAGEREF _Toc2180 \h </w:instrText>
      </w:r>
      <w:r>
        <w:fldChar w:fldCharType="separate"/>
      </w:r>
      <w:r>
        <w:t>42</w:t>
      </w:r>
      <w:r>
        <w:fldChar w:fldCharType="end"/>
      </w:r>
    </w:p>
    <w:p>
      <w:pPr>
        <w:pStyle w:val="21"/>
        <w:tabs>
          <w:tab w:val="right" w:pos="1200"/>
          <w:tab w:val="right" w:leader="dot" w:pos="9641"/>
          <w:tab w:val="clear" w:pos="9639"/>
        </w:tabs>
      </w:pPr>
      <w:r>
        <w:rPr>
          <w:rFonts w:cs="v5.0.0"/>
        </w:rPr>
        <w:t>6.3</w:t>
      </w:r>
      <w:r>
        <w:rPr>
          <w:rFonts w:cs="v5.0.0"/>
        </w:rPr>
        <w:tab/>
      </w:r>
      <w:r>
        <w:rPr>
          <w:rFonts w:cs="v5.0.0"/>
        </w:rPr>
        <w:t>Output power dynamics</w:t>
      </w:r>
      <w:r>
        <w:tab/>
      </w:r>
      <w:r>
        <w:fldChar w:fldCharType="begin"/>
      </w:r>
      <w:r>
        <w:instrText xml:space="preserve"> PAGEREF _Toc2373 \h </w:instrText>
      </w:r>
      <w:r>
        <w:fldChar w:fldCharType="separate"/>
      </w:r>
      <w:r>
        <w:t>45</w:t>
      </w:r>
      <w:r>
        <w:fldChar w:fldCharType="end"/>
      </w:r>
    </w:p>
    <w:p>
      <w:pPr>
        <w:pStyle w:val="21"/>
        <w:tabs>
          <w:tab w:val="right" w:pos="1200"/>
          <w:tab w:val="right" w:leader="dot" w:pos="9641"/>
          <w:tab w:val="clear" w:pos="9639"/>
        </w:tabs>
      </w:pPr>
      <w:r>
        <w:rPr>
          <w:rFonts w:cs="v5.0.0"/>
        </w:rPr>
        <w:t>6.3A</w:t>
      </w:r>
      <w:r>
        <w:rPr>
          <w:rFonts w:cs="v5.0.0"/>
        </w:rPr>
        <w:tab/>
      </w:r>
      <w:r>
        <w:rPr>
          <w:rFonts w:cs="v5.0.0"/>
        </w:rPr>
        <w:t>Output power dynamics for category M1</w:t>
      </w:r>
      <w:r>
        <w:tab/>
      </w:r>
      <w:r>
        <w:fldChar w:fldCharType="begin"/>
      </w:r>
      <w:r>
        <w:instrText xml:space="preserve"> PAGEREF _Toc27857 \h </w:instrText>
      </w:r>
      <w:r>
        <w:fldChar w:fldCharType="separate"/>
      </w:r>
      <w:r>
        <w:t>45</w:t>
      </w:r>
      <w:r>
        <w:fldChar w:fldCharType="end"/>
      </w:r>
    </w:p>
    <w:p>
      <w:pPr>
        <w:pStyle w:val="20"/>
        <w:tabs>
          <w:tab w:val="right" w:pos="1600"/>
          <w:tab w:val="right" w:leader="dot" w:pos="9641"/>
          <w:tab w:val="clear" w:pos="9639"/>
        </w:tabs>
      </w:pPr>
      <w:r>
        <w:t>6.3A.1</w:t>
      </w:r>
      <w:r>
        <w:tab/>
      </w:r>
      <w:r>
        <w:t>UE Minimum output power for category M1</w:t>
      </w:r>
      <w:r>
        <w:tab/>
      </w:r>
      <w:r>
        <w:fldChar w:fldCharType="begin"/>
      </w:r>
      <w:r>
        <w:instrText xml:space="preserve"> PAGEREF _Toc29359 \h </w:instrText>
      </w:r>
      <w:r>
        <w:fldChar w:fldCharType="separate"/>
      </w:r>
      <w:r>
        <w:t>45</w:t>
      </w:r>
      <w:r>
        <w:fldChar w:fldCharType="end"/>
      </w:r>
    </w:p>
    <w:p>
      <w:pPr>
        <w:pStyle w:val="20"/>
        <w:tabs>
          <w:tab w:val="right" w:pos="1600"/>
          <w:tab w:val="right" w:leader="dot" w:pos="9641"/>
          <w:tab w:val="clear" w:pos="9639"/>
        </w:tabs>
      </w:pPr>
      <w:r>
        <w:t>6.3A.2</w:t>
      </w:r>
      <w:r>
        <w:tab/>
      </w:r>
      <w:r>
        <w:t>Transmit OFF power for category M1</w:t>
      </w:r>
      <w:r>
        <w:tab/>
      </w:r>
      <w:r>
        <w:fldChar w:fldCharType="begin"/>
      </w:r>
      <w:r>
        <w:instrText xml:space="preserve"> PAGEREF _Toc27075 \h </w:instrText>
      </w:r>
      <w:r>
        <w:fldChar w:fldCharType="separate"/>
      </w:r>
      <w:r>
        <w:t>47</w:t>
      </w:r>
      <w:r>
        <w:fldChar w:fldCharType="end"/>
      </w:r>
    </w:p>
    <w:p>
      <w:pPr>
        <w:pStyle w:val="20"/>
        <w:tabs>
          <w:tab w:val="right" w:pos="1600"/>
          <w:tab w:val="right" w:leader="dot" w:pos="9641"/>
          <w:tab w:val="clear" w:pos="9639"/>
        </w:tabs>
      </w:pPr>
      <w:r>
        <w:t>6.3A.3</w:t>
      </w:r>
      <w:r>
        <w:tab/>
      </w:r>
      <w:r>
        <w:t xml:space="preserve">ON/OFF time mask </w:t>
      </w:r>
      <w:r>
        <w:rPr>
          <w:lang w:eastAsia="zh-CN"/>
        </w:rPr>
        <w:t>for category M1</w:t>
      </w:r>
      <w:r>
        <w:tab/>
      </w:r>
      <w:r>
        <w:fldChar w:fldCharType="begin"/>
      </w:r>
      <w:r>
        <w:instrText xml:space="preserve"> PAGEREF _Toc23533 \h </w:instrText>
      </w:r>
      <w:r>
        <w:fldChar w:fldCharType="separate"/>
      </w:r>
      <w:r>
        <w:t>48</w:t>
      </w:r>
      <w:r>
        <w:fldChar w:fldCharType="end"/>
      </w:r>
    </w:p>
    <w:p>
      <w:pPr>
        <w:pStyle w:val="19"/>
        <w:tabs>
          <w:tab w:val="right" w:pos="1600"/>
          <w:tab w:val="right" w:leader="dot" w:pos="9641"/>
          <w:tab w:val="clear" w:pos="9639"/>
        </w:tabs>
      </w:pPr>
      <w:r>
        <w:t>6.3A.3.1</w:t>
      </w:r>
      <w:r>
        <w:tab/>
      </w:r>
      <w:r>
        <w:t>General ON/OFF time mask for category M1</w:t>
      </w:r>
      <w:r>
        <w:tab/>
      </w:r>
      <w:r>
        <w:fldChar w:fldCharType="begin"/>
      </w:r>
      <w:r>
        <w:instrText xml:space="preserve"> PAGEREF _Toc27370 \h </w:instrText>
      </w:r>
      <w:r>
        <w:fldChar w:fldCharType="separate"/>
      </w:r>
      <w:r>
        <w:t>48</w:t>
      </w:r>
      <w:r>
        <w:fldChar w:fldCharType="end"/>
      </w:r>
    </w:p>
    <w:p>
      <w:pPr>
        <w:pStyle w:val="19"/>
        <w:tabs>
          <w:tab w:val="right" w:pos="1600"/>
          <w:tab w:val="right" w:leader="dot" w:pos="9641"/>
          <w:tab w:val="clear" w:pos="9639"/>
        </w:tabs>
      </w:pPr>
      <w:r>
        <w:t>6.3A.3.2</w:t>
      </w:r>
      <w:r>
        <w:tab/>
      </w:r>
      <w:r>
        <w:t>PRACH and SRS ON/OFF time mask for UE category M1</w:t>
      </w:r>
      <w:r>
        <w:tab/>
      </w:r>
      <w:r>
        <w:fldChar w:fldCharType="begin"/>
      </w:r>
      <w:r>
        <w:instrText xml:space="preserve"> PAGEREF _Toc2675 \h </w:instrText>
      </w:r>
      <w:r>
        <w:fldChar w:fldCharType="separate"/>
      </w:r>
      <w:r>
        <w:t>50</w:t>
      </w:r>
      <w:r>
        <w:fldChar w:fldCharType="end"/>
      </w:r>
    </w:p>
    <w:p>
      <w:pPr>
        <w:pStyle w:val="18"/>
        <w:tabs>
          <w:tab w:val="right" w:pos="1600"/>
          <w:tab w:val="right" w:leader="dot" w:pos="9641"/>
          <w:tab w:val="clear" w:pos="9639"/>
        </w:tabs>
      </w:pPr>
      <w:r>
        <w:t>6.3A.3.2.1</w:t>
      </w:r>
      <w:r>
        <w:tab/>
      </w:r>
      <w:r>
        <w:t>PRACH time mask for UE category M1</w:t>
      </w:r>
      <w:r>
        <w:tab/>
      </w:r>
      <w:r>
        <w:fldChar w:fldCharType="begin"/>
      </w:r>
      <w:r>
        <w:instrText xml:space="preserve"> PAGEREF _Toc3975 \h </w:instrText>
      </w:r>
      <w:r>
        <w:fldChar w:fldCharType="separate"/>
      </w:r>
      <w:r>
        <w:t>50</w:t>
      </w:r>
      <w:r>
        <w:fldChar w:fldCharType="end"/>
      </w:r>
    </w:p>
    <w:p>
      <w:pPr>
        <w:pStyle w:val="18"/>
        <w:tabs>
          <w:tab w:val="right" w:pos="1600"/>
          <w:tab w:val="right" w:leader="dot" w:pos="9641"/>
          <w:tab w:val="clear" w:pos="9639"/>
        </w:tabs>
      </w:pPr>
      <w:r>
        <w:t>6.3A.3.2.2</w:t>
      </w:r>
      <w:r>
        <w:tab/>
      </w:r>
      <w:r>
        <w:t>SRS time mask for UE category M1</w:t>
      </w:r>
      <w:r>
        <w:tab/>
      </w:r>
      <w:r>
        <w:fldChar w:fldCharType="begin"/>
      </w:r>
      <w:r>
        <w:instrText xml:space="preserve"> PAGEREF _Toc14770 \h </w:instrText>
      </w:r>
      <w:r>
        <w:fldChar w:fldCharType="separate"/>
      </w:r>
      <w:r>
        <w:t>53</w:t>
      </w:r>
      <w:r>
        <w:fldChar w:fldCharType="end"/>
      </w:r>
    </w:p>
    <w:p>
      <w:pPr>
        <w:pStyle w:val="20"/>
        <w:tabs>
          <w:tab w:val="right" w:pos="1600"/>
          <w:tab w:val="right" w:leader="dot" w:pos="9641"/>
          <w:tab w:val="clear" w:pos="9639"/>
        </w:tabs>
      </w:pPr>
      <w:r>
        <w:t>6.3A.4</w:t>
      </w:r>
      <w:r>
        <w:tab/>
      </w:r>
      <w:r>
        <w:t>Power control</w:t>
      </w:r>
      <w:r>
        <w:rPr>
          <w:lang w:eastAsia="zh-CN"/>
        </w:rPr>
        <w:t xml:space="preserve"> for category M1</w:t>
      </w:r>
      <w:r>
        <w:tab/>
      </w:r>
      <w:r>
        <w:fldChar w:fldCharType="begin"/>
      </w:r>
      <w:r>
        <w:instrText xml:space="preserve"> PAGEREF _Toc8626 \h </w:instrText>
      </w:r>
      <w:r>
        <w:fldChar w:fldCharType="separate"/>
      </w:r>
      <w:r>
        <w:t>55</w:t>
      </w:r>
      <w:r>
        <w:fldChar w:fldCharType="end"/>
      </w:r>
    </w:p>
    <w:p>
      <w:pPr>
        <w:pStyle w:val="19"/>
        <w:tabs>
          <w:tab w:val="right" w:pos="1600"/>
          <w:tab w:val="right" w:leader="dot" w:pos="9641"/>
          <w:tab w:val="clear" w:pos="9639"/>
        </w:tabs>
      </w:pPr>
      <w:r>
        <w:t>6.3A.</w:t>
      </w:r>
      <w:r>
        <w:rPr>
          <w:rFonts w:hint="eastAsia"/>
        </w:rPr>
        <w:t>4</w:t>
      </w:r>
      <w:r>
        <w:t>.</w:t>
      </w:r>
      <w:r>
        <w:rPr>
          <w:rFonts w:hint="eastAsia"/>
        </w:rPr>
        <w:t>1</w:t>
      </w:r>
      <w:r>
        <w:tab/>
      </w:r>
      <w:r>
        <w:t>Power Control Absolute power tolerance for UE category M1</w:t>
      </w:r>
      <w:r>
        <w:tab/>
      </w:r>
      <w:r>
        <w:fldChar w:fldCharType="begin"/>
      </w:r>
      <w:r>
        <w:instrText xml:space="preserve"> PAGEREF _Toc15900 \h </w:instrText>
      </w:r>
      <w:r>
        <w:fldChar w:fldCharType="separate"/>
      </w:r>
      <w:r>
        <w:t>55</w:t>
      </w:r>
      <w:r>
        <w:fldChar w:fldCharType="end"/>
      </w:r>
    </w:p>
    <w:p>
      <w:pPr>
        <w:pStyle w:val="19"/>
        <w:tabs>
          <w:tab w:val="right" w:pos="1600"/>
          <w:tab w:val="right" w:leader="dot" w:pos="9641"/>
          <w:tab w:val="clear" w:pos="9639"/>
        </w:tabs>
      </w:pPr>
      <w:r>
        <w:t>6.3A.</w:t>
      </w:r>
      <w:r>
        <w:rPr>
          <w:rFonts w:hint="eastAsia"/>
        </w:rPr>
        <w:t>4</w:t>
      </w:r>
      <w:r>
        <w:t>.2</w:t>
      </w:r>
      <w:r>
        <w:tab/>
      </w:r>
      <w:r>
        <w:t>Power Control Relative power tolerance for UE category M1</w:t>
      </w:r>
      <w:r>
        <w:tab/>
      </w:r>
      <w:r>
        <w:fldChar w:fldCharType="begin"/>
      </w:r>
      <w:r>
        <w:instrText xml:space="preserve"> PAGEREF _Toc5065 \h </w:instrText>
      </w:r>
      <w:r>
        <w:fldChar w:fldCharType="separate"/>
      </w:r>
      <w:r>
        <w:t>58</w:t>
      </w:r>
      <w:r>
        <w:fldChar w:fldCharType="end"/>
      </w:r>
    </w:p>
    <w:p>
      <w:pPr>
        <w:pStyle w:val="19"/>
        <w:tabs>
          <w:tab w:val="right" w:pos="1600"/>
          <w:tab w:val="right" w:leader="dot" w:pos="9641"/>
          <w:tab w:val="clear" w:pos="9639"/>
        </w:tabs>
      </w:pPr>
      <w:r>
        <w:t>6.3A.</w:t>
      </w:r>
      <w:r>
        <w:rPr>
          <w:rFonts w:hint="eastAsia"/>
        </w:rPr>
        <w:t>4</w:t>
      </w:r>
      <w:r>
        <w:t>.3</w:t>
      </w:r>
      <w:r>
        <w:tab/>
      </w:r>
      <w:r>
        <w:t xml:space="preserve">Aggregate power control tolerance for UE category </w:t>
      </w:r>
      <w:r>
        <w:rPr>
          <w:lang w:eastAsia="zh-TW"/>
        </w:rPr>
        <w:t>M1</w:t>
      </w:r>
      <w:r>
        <w:tab/>
      </w:r>
      <w:r>
        <w:fldChar w:fldCharType="begin"/>
      </w:r>
      <w:r>
        <w:instrText xml:space="preserve"> PAGEREF _Toc22898 \h </w:instrText>
      </w:r>
      <w:r>
        <w:fldChar w:fldCharType="separate"/>
      </w:r>
      <w:r>
        <w:t>66</w:t>
      </w:r>
      <w:r>
        <w:fldChar w:fldCharType="end"/>
      </w:r>
    </w:p>
    <w:p>
      <w:pPr>
        <w:pStyle w:val="21"/>
        <w:tabs>
          <w:tab w:val="right" w:pos="1200"/>
          <w:tab w:val="right" w:leader="dot" w:pos="9641"/>
          <w:tab w:val="clear" w:pos="9639"/>
        </w:tabs>
      </w:pPr>
      <w:r>
        <w:rPr>
          <w:rFonts w:cs="v5.0.0"/>
        </w:rPr>
        <w:t>6.3B</w:t>
      </w:r>
      <w:r>
        <w:rPr>
          <w:rFonts w:cs="v5.0.0"/>
        </w:rPr>
        <w:tab/>
      </w:r>
      <w:r>
        <w:rPr>
          <w:rFonts w:cs="v5.0.0"/>
        </w:rPr>
        <w:t>Output power dynamics for category NB1 and NB2</w:t>
      </w:r>
      <w:r>
        <w:tab/>
      </w:r>
      <w:r>
        <w:fldChar w:fldCharType="begin"/>
      </w:r>
      <w:r>
        <w:instrText xml:space="preserve"> PAGEREF _Toc7707 \h </w:instrText>
      </w:r>
      <w:r>
        <w:fldChar w:fldCharType="separate"/>
      </w:r>
      <w:r>
        <w:t>70</w:t>
      </w:r>
      <w:r>
        <w:fldChar w:fldCharType="end"/>
      </w:r>
    </w:p>
    <w:p>
      <w:pPr>
        <w:pStyle w:val="20"/>
        <w:tabs>
          <w:tab w:val="right" w:pos="1600"/>
          <w:tab w:val="right" w:leader="dot" w:pos="9641"/>
          <w:tab w:val="clear" w:pos="9639"/>
        </w:tabs>
      </w:pPr>
      <w:r>
        <w:t>6.3B.1</w:t>
      </w:r>
      <w:r>
        <w:tab/>
      </w:r>
      <w:r>
        <w:t>UE Minimum output power for category NB1 and NB2</w:t>
      </w:r>
      <w:r>
        <w:tab/>
      </w:r>
      <w:r>
        <w:fldChar w:fldCharType="begin"/>
      </w:r>
      <w:r>
        <w:instrText xml:space="preserve"> PAGEREF _Toc4642 \h </w:instrText>
      </w:r>
      <w:r>
        <w:fldChar w:fldCharType="separate"/>
      </w:r>
      <w:r>
        <w:t>70</w:t>
      </w:r>
      <w:r>
        <w:fldChar w:fldCharType="end"/>
      </w:r>
    </w:p>
    <w:p>
      <w:pPr>
        <w:pStyle w:val="20"/>
        <w:tabs>
          <w:tab w:val="right" w:pos="1600"/>
          <w:tab w:val="right" w:leader="dot" w:pos="9641"/>
          <w:tab w:val="clear" w:pos="9639"/>
        </w:tabs>
      </w:pPr>
      <w:r>
        <w:t>6.3B.2</w:t>
      </w:r>
      <w:r>
        <w:tab/>
      </w:r>
      <w:r>
        <w:t>Transmit OFF power for category NB1 and NB2</w:t>
      </w:r>
      <w:r>
        <w:tab/>
      </w:r>
      <w:r>
        <w:fldChar w:fldCharType="begin"/>
      </w:r>
      <w:r>
        <w:instrText xml:space="preserve"> PAGEREF _Toc10034 \h </w:instrText>
      </w:r>
      <w:r>
        <w:fldChar w:fldCharType="separate"/>
      </w:r>
      <w:r>
        <w:t>72</w:t>
      </w:r>
      <w:r>
        <w:fldChar w:fldCharType="end"/>
      </w:r>
    </w:p>
    <w:p>
      <w:pPr>
        <w:pStyle w:val="20"/>
        <w:tabs>
          <w:tab w:val="right" w:pos="1600"/>
          <w:tab w:val="right" w:leader="dot" w:pos="9641"/>
          <w:tab w:val="clear" w:pos="9639"/>
        </w:tabs>
      </w:pPr>
      <w:r>
        <w:t>6.3B.3</w:t>
      </w:r>
      <w:r>
        <w:tab/>
      </w:r>
      <w:r>
        <w:t xml:space="preserve">ON/OFF time mask </w:t>
      </w:r>
      <w:r>
        <w:rPr>
          <w:lang w:eastAsia="zh-CN"/>
        </w:rPr>
        <w:t>for category NB1 and NB2</w:t>
      </w:r>
      <w:r>
        <w:tab/>
      </w:r>
      <w:r>
        <w:fldChar w:fldCharType="begin"/>
      </w:r>
      <w:r>
        <w:instrText xml:space="preserve"> PAGEREF _Toc12040 \h </w:instrText>
      </w:r>
      <w:r>
        <w:fldChar w:fldCharType="separate"/>
      </w:r>
      <w:r>
        <w:t>73</w:t>
      </w:r>
      <w:r>
        <w:fldChar w:fldCharType="end"/>
      </w:r>
    </w:p>
    <w:p>
      <w:pPr>
        <w:pStyle w:val="19"/>
        <w:tabs>
          <w:tab w:val="right" w:pos="1600"/>
          <w:tab w:val="right" w:leader="dot" w:pos="9641"/>
          <w:tab w:val="clear" w:pos="9639"/>
        </w:tabs>
      </w:pPr>
      <w:r>
        <w:t>6.3B.3.1</w:t>
      </w:r>
      <w:r>
        <w:tab/>
      </w:r>
      <w:r>
        <w:rPr>
          <w:lang w:eastAsia="zh-TW"/>
        </w:rPr>
        <w:t>General ON/OFF time mask for category NB1 and NB2</w:t>
      </w:r>
      <w:r>
        <w:tab/>
      </w:r>
      <w:r>
        <w:fldChar w:fldCharType="begin"/>
      </w:r>
      <w:r>
        <w:instrText xml:space="preserve"> PAGEREF _Toc16851 \h </w:instrText>
      </w:r>
      <w:r>
        <w:fldChar w:fldCharType="separate"/>
      </w:r>
      <w:r>
        <w:t>73</w:t>
      </w:r>
      <w:r>
        <w:fldChar w:fldCharType="end"/>
      </w:r>
    </w:p>
    <w:p>
      <w:pPr>
        <w:pStyle w:val="19"/>
        <w:tabs>
          <w:tab w:val="right" w:pos="1600"/>
          <w:tab w:val="right" w:leader="dot" w:pos="9641"/>
          <w:tab w:val="clear" w:pos="9639"/>
        </w:tabs>
      </w:pPr>
      <w:r>
        <w:t>6.3B.3.2</w:t>
      </w:r>
      <w:r>
        <w:tab/>
      </w:r>
      <w:r>
        <w:rPr>
          <w:lang w:eastAsia="zh-TW"/>
        </w:rPr>
        <w:t>NPRACH time mask for category NB1 and NB2</w:t>
      </w:r>
      <w:r>
        <w:tab/>
      </w:r>
      <w:r>
        <w:fldChar w:fldCharType="begin"/>
      </w:r>
      <w:r>
        <w:instrText xml:space="preserve"> PAGEREF _Toc15080 \h </w:instrText>
      </w:r>
      <w:r>
        <w:fldChar w:fldCharType="separate"/>
      </w:r>
      <w:r>
        <w:t>75</w:t>
      </w:r>
      <w:r>
        <w:fldChar w:fldCharType="end"/>
      </w:r>
    </w:p>
    <w:p>
      <w:pPr>
        <w:pStyle w:val="20"/>
        <w:tabs>
          <w:tab w:val="right" w:pos="1600"/>
          <w:tab w:val="right" w:leader="dot" w:pos="9641"/>
          <w:tab w:val="clear" w:pos="9639"/>
        </w:tabs>
      </w:pPr>
      <w:r>
        <w:t>6.3B.4</w:t>
      </w:r>
      <w:r>
        <w:tab/>
      </w:r>
      <w:r>
        <w:t>Power Control for category NB1 and NB2</w:t>
      </w:r>
      <w:r>
        <w:tab/>
      </w:r>
      <w:r>
        <w:fldChar w:fldCharType="begin"/>
      </w:r>
      <w:r>
        <w:instrText xml:space="preserve"> PAGEREF _Toc15823 \h </w:instrText>
      </w:r>
      <w:r>
        <w:fldChar w:fldCharType="separate"/>
      </w:r>
      <w:r>
        <w:t>78</w:t>
      </w:r>
      <w:r>
        <w:fldChar w:fldCharType="end"/>
      </w:r>
    </w:p>
    <w:p>
      <w:pPr>
        <w:pStyle w:val="19"/>
        <w:tabs>
          <w:tab w:val="right" w:pos="1600"/>
          <w:tab w:val="right" w:leader="dot" w:pos="9641"/>
          <w:tab w:val="clear" w:pos="9639"/>
        </w:tabs>
      </w:pPr>
      <w:r>
        <w:t>6.3B.4.1</w:t>
      </w:r>
      <w:r>
        <w:tab/>
      </w:r>
      <w:r>
        <w:t>Power Control Absolute power tolerance for category NB1 and NB2</w:t>
      </w:r>
      <w:r>
        <w:tab/>
      </w:r>
      <w:r>
        <w:fldChar w:fldCharType="begin"/>
      </w:r>
      <w:r>
        <w:instrText xml:space="preserve"> PAGEREF _Toc4696 \h </w:instrText>
      </w:r>
      <w:r>
        <w:fldChar w:fldCharType="separate"/>
      </w:r>
      <w:r>
        <w:t>78</w:t>
      </w:r>
      <w:r>
        <w:fldChar w:fldCharType="end"/>
      </w:r>
    </w:p>
    <w:p>
      <w:pPr>
        <w:pStyle w:val="19"/>
        <w:tabs>
          <w:tab w:val="right" w:leader="dot" w:pos="9641"/>
          <w:tab w:val="clear" w:pos="9639"/>
        </w:tabs>
      </w:pPr>
      <w:r>
        <w:t>6.3B.4.2 Power Control Relative power tolerance for category NB1 and NB2</w:t>
      </w:r>
      <w:r>
        <w:tab/>
      </w:r>
      <w:r>
        <w:fldChar w:fldCharType="begin"/>
      </w:r>
      <w:r>
        <w:instrText xml:space="preserve"> PAGEREF _Toc17908 \h </w:instrText>
      </w:r>
      <w:r>
        <w:fldChar w:fldCharType="separate"/>
      </w:r>
      <w:r>
        <w:t>81</w:t>
      </w:r>
      <w:r>
        <w:fldChar w:fldCharType="end"/>
      </w:r>
    </w:p>
    <w:p>
      <w:pPr>
        <w:pStyle w:val="19"/>
        <w:tabs>
          <w:tab w:val="right" w:leader="dot" w:pos="9641"/>
          <w:tab w:val="clear" w:pos="9639"/>
        </w:tabs>
      </w:pPr>
      <w:r>
        <w:t>6.3B.4.3 Aggregate power control tolerance for category NB1 and NB2</w:t>
      </w:r>
      <w:r>
        <w:tab/>
      </w:r>
      <w:r>
        <w:fldChar w:fldCharType="begin"/>
      </w:r>
      <w:r>
        <w:instrText xml:space="preserve"> PAGEREF _Toc31912 \h </w:instrText>
      </w:r>
      <w:r>
        <w:fldChar w:fldCharType="separate"/>
      </w:r>
      <w:r>
        <w:t>84</w:t>
      </w:r>
      <w:r>
        <w:fldChar w:fldCharType="end"/>
      </w:r>
    </w:p>
    <w:p>
      <w:pPr>
        <w:pStyle w:val="21"/>
        <w:tabs>
          <w:tab w:val="right" w:pos="1200"/>
          <w:tab w:val="right" w:leader="dot" w:pos="9641"/>
          <w:tab w:val="clear" w:pos="9639"/>
        </w:tabs>
      </w:pPr>
      <w:r>
        <w:t>6.4</w:t>
      </w:r>
      <w:r>
        <w:tab/>
      </w:r>
      <w:r>
        <w:t>Transmit signal quality</w:t>
      </w:r>
      <w:r>
        <w:tab/>
      </w:r>
      <w:r>
        <w:fldChar w:fldCharType="begin"/>
      </w:r>
      <w:r>
        <w:instrText xml:space="preserve"> PAGEREF _Toc29794 \h </w:instrText>
      </w:r>
      <w:r>
        <w:fldChar w:fldCharType="separate"/>
      </w:r>
      <w:r>
        <w:t>88</w:t>
      </w:r>
      <w:r>
        <w:fldChar w:fldCharType="end"/>
      </w:r>
    </w:p>
    <w:p>
      <w:pPr>
        <w:pStyle w:val="21"/>
        <w:tabs>
          <w:tab w:val="right" w:pos="1200"/>
          <w:tab w:val="right" w:leader="dot" w:pos="9641"/>
          <w:tab w:val="clear" w:pos="9639"/>
        </w:tabs>
      </w:pPr>
      <w:r>
        <w:t>6.4A</w:t>
      </w:r>
      <w:r>
        <w:tab/>
      </w:r>
      <w:r>
        <w:t>Transmit signal quality for category M1</w:t>
      </w:r>
      <w:r>
        <w:tab/>
      </w:r>
      <w:r>
        <w:fldChar w:fldCharType="begin"/>
      </w:r>
      <w:r>
        <w:instrText xml:space="preserve"> PAGEREF _Toc18535 \h </w:instrText>
      </w:r>
      <w:r>
        <w:fldChar w:fldCharType="separate"/>
      </w:r>
      <w:r>
        <w:t>88</w:t>
      </w:r>
      <w:r>
        <w:fldChar w:fldCharType="end"/>
      </w:r>
    </w:p>
    <w:p>
      <w:pPr>
        <w:pStyle w:val="20"/>
        <w:tabs>
          <w:tab w:val="right" w:pos="1600"/>
          <w:tab w:val="right" w:leader="dot" w:pos="9641"/>
          <w:tab w:val="clear" w:pos="9639"/>
        </w:tabs>
      </w:pPr>
      <w:r>
        <w:t>6.4A.1</w:t>
      </w:r>
      <w:r>
        <w:tab/>
      </w:r>
      <w:r>
        <w:t>Frequency error for UE category M1</w:t>
      </w:r>
      <w:r>
        <w:tab/>
      </w:r>
      <w:r>
        <w:fldChar w:fldCharType="begin"/>
      </w:r>
      <w:r>
        <w:instrText xml:space="preserve"> PAGEREF _Toc11947 \h </w:instrText>
      </w:r>
      <w:r>
        <w:fldChar w:fldCharType="separate"/>
      </w:r>
      <w:r>
        <w:t>88</w:t>
      </w:r>
      <w:r>
        <w:fldChar w:fldCharType="end"/>
      </w:r>
    </w:p>
    <w:p>
      <w:pPr>
        <w:pStyle w:val="20"/>
        <w:tabs>
          <w:tab w:val="right" w:pos="1600"/>
          <w:tab w:val="right" w:leader="dot" w:pos="9641"/>
          <w:tab w:val="clear" w:pos="9639"/>
        </w:tabs>
      </w:pPr>
      <w:r>
        <w:t>6.4A.2</w:t>
      </w:r>
      <w:r>
        <w:tab/>
      </w:r>
      <w:r>
        <w:t>Transmit modulation quality for category M1</w:t>
      </w:r>
      <w:r>
        <w:tab/>
      </w:r>
      <w:r>
        <w:fldChar w:fldCharType="begin"/>
      </w:r>
      <w:r>
        <w:instrText xml:space="preserve"> PAGEREF _Toc22805 \h </w:instrText>
      </w:r>
      <w:r>
        <w:fldChar w:fldCharType="separate"/>
      </w:r>
      <w:r>
        <w:t>88</w:t>
      </w:r>
      <w:r>
        <w:fldChar w:fldCharType="end"/>
      </w:r>
    </w:p>
    <w:p>
      <w:pPr>
        <w:pStyle w:val="19"/>
        <w:tabs>
          <w:tab w:val="right" w:pos="1600"/>
          <w:tab w:val="right" w:leader="dot" w:pos="9641"/>
          <w:tab w:val="clear" w:pos="9639"/>
        </w:tabs>
      </w:pPr>
      <w:r>
        <w:t>6.4A.2.1</w:t>
      </w:r>
      <w:r>
        <w:tab/>
      </w:r>
      <w:r>
        <w:t>Error Vector Magnitude (EVM) for category M1</w:t>
      </w:r>
      <w:r>
        <w:tab/>
      </w:r>
      <w:r>
        <w:fldChar w:fldCharType="begin"/>
      </w:r>
      <w:r>
        <w:instrText xml:space="preserve"> PAGEREF _Toc30118 \h </w:instrText>
      </w:r>
      <w:r>
        <w:fldChar w:fldCharType="separate"/>
      </w:r>
      <w:r>
        <w:t>88</w:t>
      </w:r>
      <w:r>
        <w:fldChar w:fldCharType="end"/>
      </w:r>
    </w:p>
    <w:p>
      <w:pPr>
        <w:pStyle w:val="19"/>
        <w:tabs>
          <w:tab w:val="right" w:pos="1600"/>
          <w:tab w:val="right" w:leader="dot" w:pos="9641"/>
          <w:tab w:val="clear" w:pos="9639"/>
        </w:tabs>
      </w:pPr>
      <w:r>
        <w:t>6.4A.2.2</w:t>
      </w:r>
      <w:r>
        <w:tab/>
      </w:r>
      <w:r>
        <w:t>Carrier leakage for category M1</w:t>
      </w:r>
      <w:r>
        <w:tab/>
      </w:r>
      <w:r>
        <w:fldChar w:fldCharType="begin"/>
      </w:r>
      <w:r>
        <w:instrText xml:space="preserve"> PAGEREF _Toc29241 \h </w:instrText>
      </w:r>
      <w:r>
        <w:fldChar w:fldCharType="separate"/>
      </w:r>
      <w:r>
        <w:t>92</w:t>
      </w:r>
      <w:r>
        <w:fldChar w:fldCharType="end"/>
      </w:r>
    </w:p>
    <w:p>
      <w:pPr>
        <w:pStyle w:val="19"/>
        <w:tabs>
          <w:tab w:val="right" w:pos="1600"/>
          <w:tab w:val="right" w:leader="dot" w:pos="9641"/>
          <w:tab w:val="clear" w:pos="9639"/>
        </w:tabs>
      </w:pPr>
      <w:r>
        <w:t>6.4A.2.3</w:t>
      </w:r>
      <w:r>
        <w:tab/>
      </w:r>
      <w:r>
        <w:t>In-band emissions for non allocated RB for category M1</w:t>
      </w:r>
      <w:r>
        <w:tab/>
      </w:r>
      <w:r>
        <w:fldChar w:fldCharType="begin"/>
      </w:r>
      <w:r>
        <w:instrText xml:space="preserve"> PAGEREF _Toc21661 \h </w:instrText>
      </w:r>
      <w:r>
        <w:fldChar w:fldCharType="separate"/>
      </w:r>
      <w:r>
        <w:t>94</w:t>
      </w:r>
      <w:r>
        <w:fldChar w:fldCharType="end"/>
      </w:r>
    </w:p>
    <w:p>
      <w:pPr>
        <w:pStyle w:val="19"/>
        <w:tabs>
          <w:tab w:val="right" w:pos="1600"/>
          <w:tab w:val="right" w:leader="dot" w:pos="9641"/>
          <w:tab w:val="clear" w:pos="9639"/>
        </w:tabs>
      </w:pPr>
      <w:r>
        <w:t>6.4A.2.4</w:t>
      </w:r>
      <w:r>
        <w:tab/>
      </w:r>
      <w:r>
        <w:t>EVM equalizer spectrum flatness for category M1</w:t>
      </w:r>
      <w:r>
        <w:tab/>
      </w:r>
      <w:r>
        <w:fldChar w:fldCharType="begin"/>
      </w:r>
      <w:r>
        <w:instrText xml:space="preserve"> PAGEREF _Toc30799 \h </w:instrText>
      </w:r>
      <w:r>
        <w:fldChar w:fldCharType="separate"/>
      </w:r>
      <w:r>
        <w:t>99</w:t>
      </w:r>
      <w:r>
        <w:fldChar w:fldCharType="end"/>
      </w:r>
    </w:p>
    <w:p>
      <w:pPr>
        <w:pStyle w:val="21"/>
        <w:tabs>
          <w:tab w:val="right" w:pos="1200"/>
          <w:tab w:val="right" w:leader="dot" w:pos="9641"/>
          <w:tab w:val="clear" w:pos="9639"/>
        </w:tabs>
      </w:pPr>
      <w:r>
        <w:t>6.4B</w:t>
      </w:r>
      <w:r>
        <w:tab/>
      </w:r>
      <w:r>
        <w:t>Transmit signal quality for category NB1 and NB2</w:t>
      </w:r>
      <w:r>
        <w:tab/>
      </w:r>
      <w:r>
        <w:fldChar w:fldCharType="begin"/>
      </w:r>
      <w:r>
        <w:instrText xml:space="preserve"> PAGEREF _Toc29451 \h </w:instrText>
      </w:r>
      <w:r>
        <w:fldChar w:fldCharType="separate"/>
      </w:r>
      <w:r>
        <w:t>102</w:t>
      </w:r>
      <w:r>
        <w:fldChar w:fldCharType="end"/>
      </w:r>
    </w:p>
    <w:p>
      <w:pPr>
        <w:pStyle w:val="20"/>
        <w:tabs>
          <w:tab w:val="right" w:pos="1600"/>
          <w:tab w:val="right" w:leader="dot" w:pos="9641"/>
          <w:tab w:val="clear" w:pos="9639"/>
        </w:tabs>
      </w:pPr>
      <w:r>
        <w:t>6.4B.1</w:t>
      </w:r>
      <w:r>
        <w:tab/>
      </w:r>
      <w:r>
        <w:t>Frequency error for UE category NB1 and NB2</w:t>
      </w:r>
      <w:r>
        <w:tab/>
      </w:r>
      <w:r>
        <w:fldChar w:fldCharType="begin"/>
      </w:r>
      <w:r>
        <w:instrText xml:space="preserve"> PAGEREF _Toc15886 \h </w:instrText>
      </w:r>
      <w:r>
        <w:fldChar w:fldCharType="separate"/>
      </w:r>
      <w:r>
        <w:t>102</w:t>
      </w:r>
      <w:r>
        <w:fldChar w:fldCharType="end"/>
      </w:r>
    </w:p>
    <w:p>
      <w:pPr>
        <w:pStyle w:val="20"/>
        <w:tabs>
          <w:tab w:val="right" w:pos="1600"/>
          <w:tab w:val="right" w:leader="dot" w:pos="9641"/>
          <w:tab w:val="clear" w:pos="9639"/>
        </w:tabs>
      </w:pPr>
      <w:r>
        <w:t>6.4B.2</w:t>
      </w:r>
      <w:r>
        <w:tab/>
      </w:r>
      <w:r>
        <w:t>Transmit modulation quality for Category NB1 and NB2</w:t>
      </w:r>
      <w:r>
        <w:tab/>
      </w:r>
      <w:r>
        <w:fldChar w:fldCharType="begin"/>
      </w:r>
      <w:r>
        <w:instrText xml:space="preserve"> PAGEREF _Toc26824 \h </w:instrText>
      </w:r>
      <w:r>
        <w:fldChar w:fldCharType="separate"/>
      </w:r>
      <w:r>
        <w:t>102</w:t>
      </w:r>
      <w:r>
        <w:fldChar w:fldCharType="end"/>
      </w:r>
    </w:p>
    <w:p>
      <w:pPr>
        <w:pStyle w:val="19"/>
        <w:tabs>
          <w:tab w:val="right" w:pos="1600"/>
          <w:tab w:val="right" w:leader="dot" w:pos="9641"/>
          <w:tab w:val="clear" w:pos="9639"/>
        </w:tabs>
      </w:pPr>
      <w:r>
        <w:t>6.4B.2.1</w:t>
      </w:r>
      <w:r>
        <w:tab/>
      </w:r>
      <w:r>
        <w:t>Error Vector Magnitude (EVM) for Category NB1 and NB2</w:t>
      </w:r>
      <w:r>
        <w:tab/>
      </w:r>
      <w:r>
        <w:fldChar w:fldCharType="begin"/>
      </w:r>
      <w:r>
        <w:instrText xml:space="preserve"> PAGEREF _Toc31758 \h </w:instrText>
      </w:r>
      <w:r>
        <w:fldChar w:fldCharType="separate"/>
      </w:r>
      <w:r>
        <w:t>102</w:t>
      </w:r>
      <w:r>
        <w:fldChar w:fldCharType="end"/>
      </w:r>
    </w:p>
    <w:p>
      <w:pPr>
        <w:pStyle w:val="19"/>
        <w:tabs>
          <w:tab w:val="right" w:pos="1600"/>
          <w:tab w:val="right" w:leader="dot" w:pos="9641"/>
          <w:tab w:val="clear" w:pos="9639"/>
        </w:tabs>
      </w:pPr>
      <w:r>
        <w:t>6.4B.2.2</w:t>
      </w:r>
      <w:r>
        <w:tab/>
      </w:r>
      <w:r>
        <w:t>Carrier leakage for Category NB1 and NB2</w:t>
      </w:r>
      <w:r>
        <w:tab/>
      </w:r>
      <w:r>
        <w:fldChar w:fldCharType="begin"/>
      </w:r>
      <w:r>
        <w:instrText xml:space="preserve"> PAGEREF _Toc3324 \h </w:instrText>
      </w:r>
      <w:r>
        <w:fldChar w:fldCharType="separate"/>
      </w:r>
      <w:r>
        <w:t>105</w:t>
      </w:r>
      <w:r>
        <w:fldChar w:fldCharType="end"/>
      </w:r>
    </w:p>
    <w:p>
      <w:pPr>
        <w:pStyle w:val="19"/>
        <w:tabs>
          <w:tab w:val="right" w:pos="1600"/>
          <w:tab w:val="right" w:leader="dot" w:pos="9641"/>
          <w:tab w:val="clear" w:pos="9639"/>
        </w:tabs>
      </w:pPr>
      <w:r>
        <w:t>6.4B.2.3</w:t>
      </w:r>
      <w:r>
        <w:tab/>
      </w:r>
      <w:r>
        <w:t>In-band emissions for Category NB1 and NB2</w:t>
      </w:r>
      <w:r>
        <w:tab/>
      </w:r>
      <w:r>
        <w:fldChar w:fldCharType="begin"/>
      </w:r>
      <w:r>
        <w:instrText xml:space="preserve"> PAGEREF _Toc3810 \h </w:instrText>
      </w:r>
      <w:r>
        <w:fldChar w:fldCharType="separate"/>
      </w:r>
      <w:r>
        <w:t>107</w:t>
      </w:r>
      <w:r>
        <w:fldChar w:fldCharType="end"/>
      </w:r>
    </w:p>
    <w:p>
      <w:pPr>
        <w:pStyle w:val="21"/>
        <w:tabs>
          <w:tab w:val="right" w:pos="1200"/>
          <w:tab w:val="right" w:leader="dot" w:pos="9641"/>
          <w:tab w:val="clear" w:pos="9639"/>
        </w:tabs>
      </w:pPr>
      <w:r>
        <w:t>6.5</w:t>
      </w:r>
      <w:r>
        <w:tab/>
      </w:r>
      <w:r>
        <w:t>Output RF spectrum emissions</w:t>
      </w:r>
      <w:r>
        <w:tab/>
      </w:r>
      <w:r>
        <w:fldChar w:fldCharType="begin"/>
      </w:r>
      <w:r>
        <w:instrText xml:space="preserve"> PAGEREF _Toc27731 \h </w:instrText>
      </w:r>
      <w:r>
        <w:fldChar w:fldCharType="separate"/>
      </w:r>
      <w:r>
        <w:t>112</w:t>
      </w:r>
      <w:r>
        <w:fldChar w:fldCharType="end"/>
      </w:r>
    </w:p>
    <w:p>
      <w:pPr>
        <w:pStyle w:val="21"/>
        <w:tabs>
          <w:tab w:val="right" w:pos="1200"/>
          <w:tab w:val="right" w:leader="dot" w:pos="9641"/>
          <w:tab w:val="clear" w:pos="9639"/>
        </w:tabs>
      </w:pPr>
      <w:r>
        <w:t>6.5A</w:t>
      </w:r>
      <w:r>
        <w:tab/>
      </w:r>
      <w:r>
        <w:t>Output RF spectrum emissions for category M1</w:t>
      </w:r>
      <w:r>
        <w:tab/>
      </w:r>
      <w:r>
        <w:fldChar w:fldCharType="begin"/>
      </w:r>
      <w:r>
        <w:instrText xml:space="preserve"> PAGEREF _Toc18588 \h </w:instrText>
      </w:r>
      <w:r>
        <w:fldChar w:fldCharType="separate"/>
      </w:r>
      <w:r>
        <w:t>113</w:t>
      </w:r>
      <w:r>
        <w:fldChar w:fldCharType="end"/>
      </w:r>
    </w:p>
    <w:p>
      <w:pPr>
        <w:pStyle w:val="20"/>
        <w:tabs>
          <w:tab w:val="right" w:pos="1600"/>
          <w:tab w:val="right" w:leader="dot" w:pos="9641"/>
          <w:tab w:val="clear" w:pos="9639"/>
        </w:tabs>
      </w:pPr>
      <w:r>
        <w:t>6.5A.1</w:t>
      </w:r>
      <w:r>
        <w:tab/>
      </w:r>
      <w:r>
        <w:t>General</w:t>
      </w:r>
      <w:r>
        <w:tab/>
      </w:r>
      <w:r>
        <w:fldChar w:fldCharType="begin"/>
      </w:r>
      <w:r>
        <w:instrText xml:space="preserve"> PAGEREF _Toc20171 \h </w:instrText>
      </w:r>
      <w:r>
        <w:fldChar w:fldCharType="separate"/>
      </w:r>
      <w:r>
        <w:t>113</w:t>
      </w:r>
      <w:r>
        <w:fldChar w:fldCharType="end"/>
      </w:r>
    </w:p>
    <w:p>
      <w:pPr>
        <w:pStyle w:val="20"/>
        <w:tabs>
          <w:tab w:val="right" w:pos="1600"/>
          <w:tab w:val="right" w:leader="dot" w:pos="9641"/>
          <w:tab w:val="clear" w:pos="9639"/>
        </w:tabs>
      </w:pPr>
      <w:r>
        <w:t>6.5A.2</w:t>
      </w:r>
      <w:r>
        <w:tab/>
      </w:r>
      <w:r>
        <w:t>Occupied bandwidth for category M1</w:t>
      </w:r>
      <w:r>
        <w:tab/>
      </w:r>
      <w:r>
        <w:fldChar w:fldCharType="begin"/>
      </w:r>
      <w:r>
        <w:instrText xml:space="preserve"> PAGEREF _Toc7038 \h </w:instrText>
      </w:r>
      <w:r>
        <w:fldChar w:fldCharType="separate"/>
      </w:r>
      <w:r>
        <w:t>113</w:t>
      </w:r>
      <w:r>
        <w:fldChar w:fldCharType="end"/>
      </w:r>
    </w:p>
    <w:p>
      <w:pPr>
        <w:pStyle w:val="20"/>
        <w:tabs>
          <w:tab w:val="right" w:pos="1600"/>
          <w:tab w:val="right" w:leader="dot" w:pos="9641"/>
          <w:tab w:val="clear" w:pos="9639"/>
        </w:tabs>
      </w:pPr>
      <w:r>
        <w:t>6.5A.3</w:t>
      </w:r>
      <w:r>
        <w:tab/>
      </w:r>
      <w:r>
        <w:t>Out of band emission</w:t>
      </w:r>
      <w:r>
        <w:rPr>
          <w:rFonts w:hint="eastAsia"/>
        </w:rPr>
        <w:t xml:space="preserve"> for </w:t>
      </w:r>
      <w:r>
        <w:t>category M1</w:t>
      </w:r>
      <w:r>
        <w:tab/>
      </w:r>
      <w:r>
        <w:fldChar w:fldCharType="begin"/>
      </w:r>
      <w:r>
        <w:instrText xml:space="preserve"> PAGEREF _Toc14097 \h </w:instrText>
      </w:r>
      <w:r>
        <w:fldChar w:fldCharType="separate"/>
      </w:r>
      <w:r>
        <w:t>115</w:t>
      </w:r>
      <w:r>
        <w:fldChar w:fldCharType="end"/>
      </w:r>
    </w:p>
    <w:p>
      <w:pPr>
        <w:pStyle w:val="19"/>
        <w:tabs>
          <w:tab w:val="right" w:pos="1600"/>
          <w:tab w:val="right" w:leader="dot" w:pos="9641"/>
          <w:tab w:val="clear" w:pos="9639"/>
        </w:tabs>
      </w:pPr>
      <w:r>
        <w:t>6.5A.3.1</w:t>
      </w:r>
      <w:r>
        <w:tab/>
      </w:r>
      <w:r>
        <w:t>General</w:t>
      </w:r>
      <w:r>
        <w:tab/>
      </w:r>
      <w:r>
        <w:fldChar w:fldCharType="begin"/>
      </w:r>
      <w:r>
        <w:instrText xml:space="preserve"> PAGEREF _Toc16643 \h </w:instrText>
      </w:r>
      <w:r>
        <w:fldChar w:fldCharType="separate"/>
      </w:r>
      <w:r>
        <w:t>115</w:t>
      </w:r>
      <w:r>
        <w:fldChar w:fldCharType="end"/>
      </w:r>
    </w:p>
    <w:p>
      <w:pPr>
        <w:pStyle w:val="19"/>
        <w:tabs>
          <w:tab w:val="right" w:pos="1600"/>
          <w:tab w:val="right" w:leader="dot" w:pos="9641"/>
          <w:tab w:val="clear" w:pos="9639"/>
        </w:tabs>
      </w:pPr>
      <w:r>
        <w:t>6.5A.3.2</w:t>
      </w:r>
      <w:r>
        <w:tab/>
      </w:r>
      <w:r>
        <w:t>Spectrum emission mask</w:t>
      </w:r>
      <w:r>
        <w:tab/>
      </w:r>
      <w:r>
        <w:fldChar w:fldCharType="begin"/>
      </w:r>
      <w:r>
        <w:instrText xml:space="preserve"> PAGEREF _Toc10272 \h </w:instrText>
      </w:r>
      <w:r>
        <w:fldChar w:fldCharType="separate"/>
      </w:r>
      <w:r>
        <w:t>115</w:t>
      </w:r>
      <w:r>
        <w:fldChar w:fldCharType="end"/>
      </w:r>
    </w:p>
    <w:p>
      <w:pPr>
        <w:pStyle w:val="19"/>
        <w:tabs>
          <w:tab w:val="right" w:pos="1600"/>
          <w:tab w:val="right" w:leader="dot" w:pos="9641"/>
          <w:tab w:val="clear" w:pos="9639"/>
        </w:tabs>
      </w:pPr>
      <w:r>
        <w:t>6.5A.3.3</w:t>
      </w:r>
      <w:r>
        <w:tab/>
      </w:r>
      <w:r>
        <w:rPr>
          <w:snapToGrid w:val="0"/>
        </w:rPr>
        <w:t>Additional Spectrum Emission Mask for category M1</w:t>
      </w:r>
      <w:r>
        <w:tab/>
      </w:r>
      <w:r>
        <w:fldChar w:fldCharType="begin"/>
      </w:r>
      <w:r>
        <w:instrText xml:space="preserve"> PAGEREF _Toc21282 \h </w:instrText>
      </w:r>
      <w:r>
        <w:fldChar w:fldCharType="separate"/>
      </w:r>
      <w:r>
        <w:t>118</w:t>
      </w:r>
      <w:r>
        <w:fldChar w:fldCharType="end"/>
      </w:r>
    </w:p>
    <w:p>
      <w:pPr>
        <w:pStyle w:val="19"/>
        <w:tabs>
          <w:tab w:val="right" w:pos="1600"/>
          <w:tab w:val="right" w:leader="dot" w:pos="9641"/>
          <w:tab w:val="clear" w:pos="9639"/>
        </w:tabs>
      </w:pPr>
      <w:r>
        <w:t>6.5A.3.4</w:t>
      </w:r>
      <w:r>
        <w:tab/>
      </w:r>
      <w:r>
        <w:rPr>
          <w:snapToGrid w:val="0"/>
        </w:rPr>
        <w:t>Adjacent Channel Leakage Ratio for category M1</w:t>
      </w:r>
      <w:r>
        <w:tab/>
      </w:r>
      <w:r>
        <w:fldChar w:fldCharType="begin"/>
      </w:r>
      <w:r>
        <w:instrText xml:space="preserve"> PAGEREF _Toc9086 \h </w:instrText>
      </w:r>
      <w:r>
        <w:fldChar w:fldCharType="separate"/>
      </w:r>
      <w:r>
        <w:t>118</w:t>
      </w:r>
      <w:r>
        <w:fldChar w:fldCharType="end"/>
      </w:r>
    </w:p>
    <w:p>
      <w:pPr>
        <w:pStyle w:val="20"/>
        <w:tabs>
          <w:tab w:val="right" w:pos="1600"/>
          <w:tab w:val="right" w:leader="dot" w:pos="9641"/>
          <w:tab w:val="clear" w:pos="9639"/>
        </w:tabs>
      </w:pPr>
      <w:r>
        <w:t>6.5A.4</w:t>
      </w:r>
      <w:r>
        <w:tab/>
      </w:r>
      <w:r>
        <w:rPr>
          <w:rFonts w:hint="eastAsia"/>
        </w:rPr>
        <w:t>S</w:t>
      </w:r>
      <w:r>
        <w:t>purious emission</w:t>
      </w:r>
      <w:r>
        <w:rPr>
          <w:rFonts w:hint="eastAsia"/>
        </w:rPr>
        <w:t xml:space="preserve"> for </w:t>
      </w:r>
      <w:r>
        <w:t>category M1</w:t>
      </w:r>
      <w:r>
        <w:tab/>
      </w:r>
      <w:r>
        <w:fldChar w:fldCharType="begin"/>
      </w:r>
      <w:r>
        <w:instrText xml:space="preserve"> PAGEREF _Toc9971 \h </w:instrText>
      </w:r>
      <w:r>
        <w:fldChar w:fldCharType="separate"/>
      </w:r>
      <w:r>
        <w:t>121</w:t>
      </w:r>
      <w:r>
        <w:fldChar w:fldCharType="end"/>
      </w:r>
    </w:p>
    <w:p>
      <w:pPr>
        <w:pStyle w:val="19"/>
        <w:tabs>
          <w:tab w:val="right" w:pos="1600"/>
          <w:tab w:val="right" w:leader="dot" w:pos="9641"/>
          <w:tab w:val="clear" w:pos="9639"/>
        </w:tabs>
      </w:pPr>
      <w:r>
        <w:t>6.5A.4.1</w:t>
      </w:r>
      <w:r>
        <w:tab/>
      </w:r>
      <w:r>
        <w:t>General</w:t>
      </w:r>
      <w:r>
        <w:tab/>
      </w:r>
      <w:r>
        <w:fldChar w:fldCharType="begin"/>
      </w:r>
      <w:r>
        <w:instrText xml:space="preserve"> PAGEREF _Toc17640 \h </w:instrText>
      </w:r>
      <w:r>
        <w:fldChar w:fldCharType="separate"/>
      </w:r>
      <w:r>
        <w:t>121</w:t>
      </w:r>
      <w:r>
        <w:fldChar w:fldCharType="end"/>
      </w:r>
    </w:p>
    <w:p>
      <w:pPr>
        <w:pStyle w:val="19"/>
        <w:tabs>
          <w:tab w:val="right" w:pos="1600"/>
          <w:tab w:val="right" w:leader="dot" w:pos="9641"/>
          <w:tab w:val="clear" w:pos="9639"/>
        </w:tabs>
      </w:pPr>
      <w:r>
        <w:t>6.5A.4.2</w:t>
      </w:r>
      <w:r>
        <w:tab/>
      </w:r>
      <w:r>
        <w:t>Transmitter Spurious emissions</w:t>
      </w:r>
      <w:r>
        <w:tab/>
      </w:r>
      <w:r>
        <w:fldChar w:fldCharType="begin"/>
      </w:r>
      <w:r>
        <w:instrText xml:space="preserve"> PAGEREF _Toc8248 \h </w:instrText>
      </w:r>
      <w:r>
        <w:fldChar w:fldCharType="separate"/>
      </w:r>
      <w:r>
        <w:t>121</w:t>
      </w:r>
      <w:r>
        <w:fldChar w:fldCharType="end"/>
      </w:r>
    </w:p>
    <w:p>
      <w:pPr>
        <w:pStyle w:val="19"/>
        <w:tabs>
          <w:tab w:val="right" w:pos="1600"/>
          <w:tab w:val="right" w:leader="dot" w:pos="9641"/>
          <w:tab w:val="clear" w:pos="9639"/>
        </w:tabs>
      </w:pPr>
      <w:r>
        <w:t>6.5A.4.3</w:t>
      </w:r>
      <w:r>
        <w:tab/>
      </w:r>
      <w:r>
        <w:t>Spurious emission band UE co-existence</w:t>
      </w:r>
      <w:r>
        <w:tab/>
      </w:r>
      <w:r>
        <w:fldChar w:fldCharType="begin"/>
      </w:r>
      <w:r>
        <w:instrText xml:space="preserve"> PAGEREF _Toc9260 \h </w:instrText>
      </w:r>
      <w:r>
        <w:fldChar w:fldCharType="separate"/>
      </w:r>
      <w:r>
        <w:t>124</w:t>
      </w:r>
      <w:r>
        <w:fldChar w:fldCharType="end"/>
      </w:r>
    </w:p>
    <w:p>
      <w:pPr>
        <w:pStyle w:val="19"/>
        <w:tabs>
          <w:tab w:val="right" w:pos="1600"/>
          <w:tab w:val="right" w:leader="dot" w:pos="9641"/>
          <w:tab w:val="clear" w:pos="9639"/>
        </w:tabs>
      </w:pPr>
      <w:r>
        <w:t>6.5A.4.4</w:t>
      </w:r>
      <w:r>
        <w:tab/>
      </w:r>
      <w:r>
        <w:t>Additional spurious emissions</w:t>
      </w:r>
      <w:r>
        <w:tab/>
      </w:r>
      <w:r>
        <w:fldChar w:fldCharType="begin"/>
      </w:r>
      <w:r>
        <w:instrText xml:space="preserve"> PAGEREF _Toc30291 \h </w:instrText>
      </w:r>
      <w:r>
        <w:fldChar w:fldCharType="separate"/>
      </w:r>
      <w:r>
        <w:t>127</w:t>
      </w:r>
      <w:r>
        <w:fldChar w:fldCharType="end"/>
      </w:r>
    </w:p>
    <w:p>
      <w:pPr>
        <w:pStyle w:val="18"/>
        <w:tabs>
          <w:tab w:val="right" w:pos="1600"/>
          <w:tab w:val="right" w:leader="dot" w:pos="9641"/>
          <w:tab w:val="clear" w:pos="9639"/>
        </w:tabs>
      </w:pPr>
      <w:r>
        <w:t>6.5A.4.4.</w:t>
      </w:r>
      <w:r>
        <w:rPr>
          <w:lang w:val="en-US"/>
        </w:rPr>
        <w:t>0</w:t>
      </w:r>
      <w:r>
        <w:tab/>
      </w:r>
      <w:r>
        <w:t>General</w:t>
      </w:r>
      <w:r>
        <w:tab/>
      </w:r>
      <w:r>
        <w:fldChar w:fldCharType="begin"/>
      </w:r>
      <w:r>
        <w:instrText xml:space="preserve"> PAGEREF _Toc18117 \h </w:instrText>
      </w:r>
      <w:r>
        <w:fldChar w:fldCharType="separate"/>
      </w:r>
      <w:r>
        <w:t>127</w:t>
      </w:r>
      <w:r>
        <w:fldChar w:fldCharType="end"/>
      </w:r>
    </w:p>
    <w:p>
      <w:pPr>
        <w:pStyle w:val="21"/>
        <w:tabs>
          <w:tab w:val="right" w:pos="1200"/>
          <w:tab w:val="right" w:leader="dot" w:pos="9641"/>
          <w:tab w:val="clear" w:pos="9639"/>
        </w:tabs>
      </w:pPr>
      <w:r>
        <w:t>6.5B</w:t>
      </w:r>
      <w:r>
        <w:tab/>
      </w:r>
      <w:r>
        <w:t>Output RF spectrum emissions for category NB1 and NB2</w:t>
      </w:r>
      <w:r>
        <w:tab/>
      </w:r>
      <w:r>
        <w:fldChar w:fldCharType="begin"/>
      </w:r>
      <w:r>
        <w:instrText xml:space="preserve"> PAGEREF _Toc7662 \h </w:instrText>
      </w:r>
      <w:r>
        <w:fldChar w:fldCharType="separate"/>
      </w:r>
      <w:r>
        <w:t>130</w:t>
      </w:r>
      <w:r>
        <w:fldChar w:fldCharType="end"/>
      </w:r>
    </w:p>
    <w:p>
      <w:pPr>
        <w:pStyle w:val="20"/>
        <w:tabs>
          <w:tab w:val="right" w:pos="1600"/>
          <w:tab w:val="right" w:leader="dot" w:pos="9641"/>
          <w:tab w:val="clear" w:pos="9639"/>
        </w:tabs>
      </w:pPr>
      <w:r>
        <w:t>6.5B.1</w:t>
      </w:r>
      <w:r>
        <w:tab/>
      </w:r>
      <w:r>
        <w:t>General</w:t>
      </w:r>
      <w:r>
        <w:tab/>
      </w:r>
      <w:r>
        <w:fldChar w:fldCharType="begin"/>
      </w:r>
      <w:r>
        <w:instrText xml:space="preserve"> PAGEREF _Toc10084 \h </w:instrText>
      </w:r>
      <w:r>
        <w:fldChar w:fldCharType="separate"/>
      </w:r>
      <w:r>
        <w:t>130</w:t>
      </w:r>
      <w:r>
        <w:fldChar w:fldCharType="end"/>
      </w:r>
    </w:p>
    <w:p>
      <w:pPr>
        <w:pStyle w:val="20"/>
        <w:tabs>
          <w:tab w:val="right" w:pos="1600"/>
          <w:tab w:val="right" w:leader="dot" w:pos="9641"/>
          <w:tab w:val="clear" w:pos="9639"/>
        </w:tabs>
      </w:pPr>
      <w:r>
        <w:t>6.5B.</w:t>
      </w:r>
      <w:r>
        <w:rPr>
          <w:rFonts w:hint="eastAsia"/>
          <w:lang w:eastAsia="zh-TW"/>
        </w:rPr>
        <w:t>2</w:t>
      </w:r>
      <w:r>
        <w:tab/>
      </w:r>
      <w:r>
        <w:t>Occupied bandwidth for category NB1 and NB2</w:t>
      </w:r>
      <w:r>
        <w:tab/>
      </w:r>
      <w:r>
        <w:fldChar w:fldCharType="begin"/>
      </w:r>
      <w:r>
        <w:instrText xml:space="preserve"> PAGEREF _Toc25821 \h </w:instrText>
      </w:r>
      <w:r>
        <w:fldChar w:fldCharType="separate"/>
      </w:r>
      <w:r>
        <w:t>131</w:t>
      </w:r>
      <w:r>
        <w:fldChar w:fldCharType="end"/>
      </w:r>
    </w:p>
    <w:p>
      <w:pPr>
        <w:pStyle w:val="20"/>
        <w:tabs>
          <w:tab w:val="right" w:pos="1600"/>
          <w:tab w:val="right" w:leader="dot" w:pos="9641"/>
          <w:tab w:val="clear" w:pos="9639"/>
        </w:tabs>
      </w:pPr>
      <w:r>
        <w:t>6.5B.3</w:t>
      </w:r>
      <w:r>
        <w:tab/>
      </w:r>
      <w:r>
        <w:t>Out of band emission</w:t>
      </w:r>
      <w:r>
        <w:rPr>
          <w:rFonts w:hint="eastAsia"/>
        </w:rPr>
        <w:t xml:space="preserve"> for </w:t>
      </w:r>
      <w:r>
        <w:t>category NB1 and NB2</w:t>
      </w:r>
      <w:r>
        <w:tab/>
      </w:r>
      <w:r>
        <w:fldChar w:fldCharType="begin"/>
      </w:r>
      <w:r>
        <w:instrText xml:space="preserve"> PAGEREF _Toc19156 \h </w:instrText>
      </w:r>
      <w:r>
        <w:fldChar w:fldCharType="separate"/>
      </w:r>
      <w:r>
        <w:t>132</w:t>
      </w:r>
      <w:r>
        <w:fldChar w:fldCharType="end"/>
      </w:r>
    </w:p>
    <w:p>
      <w:pPr>
        <w:pStyle w:val="19"/>
        <w:tabs>
          <w:tab w:val="right" w:pos="1600"/>
          <w:tab w:val="right" w:leader="dot" w:pos="9641"/>
          <w:tab w:val="clear" w:pos="9639"/>
        </w:tabs>
      </w:pPr>
      <w:r>
        <w:t>6.5B.3.1</w:t>
      </w:r>
      <w:r>
        <w:tab/>
      </w:r>
      <w:r>
        <w:t>General</w:t>
      </w:r>
      <w:r>
        <w:tab/>
      </w:r>
      <w:r>
        <w:fldChar w:fldCharType="begin"/>
      </w:r>
      <w:r>
        <w:instrText xml:space="preserve"> PAGEREF _Toc31227 \h </w:instrText>
      </w:r>
      <w:r>
        <w:fldChar w:fldCharType="separate"/>
      </w:r>
      <w:r>
        <w:t>132</w:t>
      </w:r>
      <w:r>
        <w:fldChar w:fldCharType="end"/>
      </w:r>
    </w:p>
    <w:p>
      <w:pPr>
        <w:pStyle w:val="19"/>
        <w:tabs>
          <w:tab w:val="right" w:pos="1600"/>
          <w:tab w:val="right" w:leader="dot" w:pos="9641"/>
          <w:tab w:val="clear" w:pos="9639"/>
        </w:tabs>
      </w:pPr>
      <w:r>
        <w:t>6.5B.3.2</w:t>
      </w:r>
      <w:r>
        <w:tab/>
      </w:r>
      <w:r>
        <w:t>Spectrum emission mask</w:t>
      </w:r>
      <w:r>
        <w:tab/>
      </w:r>
      <w:r>
        <w:fldChar w:fldCharType="begin"/>
      </w:r>
      <w:r>
        <w:instrText xml:space="preserve"> PAGEREF _Toc21715 \h </w:instrText>
      </w:r>
      <w:r>
        <w:fldChar w:fldCharType="separate"/>
      </w:r>
      <w:r>
        <w:t>133</w:t>
      </w:r>
      <w:r>
        <w:fldChar w:fldCharType="end"/>
      </w:r>
    </w:p>
    <w:p>
      <w:pPr>
        <w:pStyle w:val="19"/>
        <w:tabs>
          <w:tab w:val="right" w:pos="1600"/>
          <w:tab w:val="right" w:leader="dot" w:pos="9641"/>
          <w:tab w:val="clear" w:pos="9639"/>
        </w:tabs>
      </w:pPr>
      <w:r>
        <w:t>6.5B.3.3</w:t>
      </w:r>
      <w:r>
        <w:tab/>
      </w:r>
      <w:r>
        <w:rPr>
          <w:snapToGrid w:val="0"/>
        </w:rPr>
        <w:t>Additional Spectrum Emission Mask for category NB1 and NB2</w:t>
      </w:r>
      <w:r>
        <w:tab/>
      </w:r>
      <w:r>
        <w:fldChar w:fldCharType="begin"/>
      </w:r>
      <w:r>
        <w:instrText xml:space="preserve"> PAGEREF _Toc10519 \h </w:instrText>
      </w:r>
      <w:r>
        <w:fldChar w:fldCharType="separate"/>
      </w:r>
      <w:r>
        <w:t>135</w:t>
      </w:r>
      <w:r>
        <w:fldChar w:fldCharType="end"/>
      </w:r>
    </w:p>
    <w:p>
      <w:pPr>
        <w:pStyle w:val="19"/>
        <w:tabs>
          <w:tab w:val="right" w:pos="1600"/>
          <w:tab w:val="right" w:leader="dot" w:pos="9641"/>
          <w:tab w:val="clear" w:pos="9639"/>
        </w:tabs>
      </w:pPr>
      <w:r>
        <w:t>6.5B.3.4</w:t>
      </w:r>
      <w:r>
        <w:tab/>
      </w:r>
      <w:r>
        <w:rPr>
          <w:snapToGrid w:val="0"/>
        </w:rPr>
        <w:t>Adjacent Channel Leakage Ratio for category NB1 and NB2</w:t>
      </w:r>
      <w:r>
        <w:tab/>
      </w:r>
      <w:r>
        <w:fldChar w:fldCharType="begin"/>
      </w:r>
      <w:r>
        <w:instrText xml:space="preserve"> PAGEREF _Toc25813 \h </w:instrText>
      </w:r>
      <w:r>
        <w:fldChar w:fldCharType="separate"/>
      </w:r>
      <w:r>
        <w:t>135</w:t>
      </w:r>
      <w:r>
        <w:fldChar w:fldCharType="end"/>
      </w:r>
    </w:p>
    <w:p>
      <w:pPr>
        <w:pStyle w:val="20"/>
        <w:tabs>
          <w:tab w:val="right" w:pos="1600"/>
          <w:tab w:val="right" w:leader="dot" w:pos="9641"/>
          <w:tab w:val="clear" w:pos="9639"/>
        </w:tabs>
      </w:pPr>
      <w:r>
        <w:t>6.5B.4</w:t>
      </w:r>
      <w:r>
        <w:tab/>
      </w:r>
      <w:r>
        <w:rPr>
          <w:rFonts w:hint="eastAsia"/>
        </w:rPr>
        <w:t>S</w:t>
      </w:r>
      <w:r>
        <w:t>purious emission</w:t>
      </w:r>
      <w:r>
        <w:rPr>
          <w:rFonts w:hint="eastAsia"/>
        </w:rPr>
        <w:t xml:space="preserve"> for </w:t>
      </w:r>
      <w:r>
        <w:t>category NB1 and NB2</w:t>
      </w:r>
      <w:r>
        <w:tab/>
      </w:r>
      <w:r>
        <w:fldChar w:fldCharType="begin"/>
      </w:r>
      <w:r>
        <w:instrText xml:space="preserve"> PAGEREF _Toc4911 \h </w:instrText>
      </w:r>
      <w:r>
        <w:fldChar w:fldCharType="separate"/>
      </w:r>
      <w:r>
        <w:t>138</w:t>
      </w:r>
      <w:r>
        <w:fldChar w:fldCharType="end"/>
      </w:r>
    </w:p>
    <w:p>
      <w:pPr>
        <w:pStyle w:val="19"/>
        <w:tabs>
          <w:tab w:val="right" w:pos="1600"/>
          <w:tab w:val="right" w:leader="dot" w:pos="9641"/>
          <w:tab w:val="clear" w:pos="9639"/>
        </w:tabs>
      </w:pPr>
      <w:r>
        <w:t>6.5B.4.1</w:t>
      </w:r>
      <w:r>
        <w:tab/>
      </w:r>
      <w:r>
        <w:t>General</w:t>
      </w:r>
      <w:r>
        <w:tab/>
      </w:r>
      <w:r>
        <w:fldChar w:fldCharType="begin"/>
      </w:r>
      <w:r>
        <w:instrText xml:space="preserve"> PAGEREF _Toc466 \h </w:instrText>
      </w:r>
      <w:r>
        <w:fldChar w:fldCharType="separate"/>
      </w:r>
      <w:r>
        <w:t>138</w:t>
      </w:r>
      <w:r>
        <w:fldChar w:fldCharType="end"/>
      </w:r>
    </w:p>
    <w:p>
      <w:pPr>
        <w:pStyle w:val="19"/>
        <w:tabs>
          <w:tab w:val="right" w:pos="1600"/>
          <w:tab w:val="right" w:leader="dot" w:pos="9641"/>
          <w:tab w:val="clear" w:pos="9639"/>
        </w:tabs>
      </w:pPr>
      <w:r>
        <w:t>6.5B.</w:t>
      </w:r>
      <w:r>
        <w:rPr>
          <w:rFonts w:eastAsia="宋体"/>
          <w:lang w:val="en-US" w:eastAsia="zh-CN"/>
        </w:rPr>
        <w:t>4</w:t>
      </w:r>
      <w:r>
        <w:t>.</w:t>
      </w:r>
      <w:r>
        <w:rPr>
          <w:rFonts w:eastAsia="宋体"/>
          <w:lang w:val="en-US" w:eastAsia="zh-CN"/>
        </w:rPr>
        <w:t>2</w:t>
      </w:r>
      <w:r>
        <w:tab/>
      </w:r>
      <w:r>
        <w:t>Transmitter Spurious emissions</w:t>
      </w:r>
      <w:r>
        <w:tab/>
      </w:r>
      <w:r>
        <w:fldChar w:fldCharType="begin"/>
      </w:r>
      <w:r>
        <w:instrText xml:space="preserve"> PAGEREF _Toc11652 \h </w:instrText>
      </w:r>
      <w:r>
        <w:fldChar w:fldCharType="separate"/>
      </w:r>
      <w:r>
        <w:t>138</w:t>
      </w:r>
      <w:r>
        <w:fldChar w:fldCharType="end"/>
      </w:r>
    </w:p>
    <w:p>
      <w:pPr>
        <w:pStyle w:val="19"/>
        <w:tabs>
          <w:tab w:val="right" w:pos="1600"/>
          <w:tab w:val="right" w:leader="dot" w:pos="9641"/>
          <w:tab w:val="clear" w:pos="9639"/>
        </w:tabs>
      </w:pPr>
      <w:r>
        <w:t>6.5B.</w:t>
      </w:r>
      <w:r>
        <w:rPr>
          <w:rFonts w:eastAsia="宋体"/>
          <w:lang w:val="en-US" w:eastAsia="zh-CN"/>
        </w:rPr>
        <w:t>4</w:t>
      </w:r>
      <w:r>
        <w:t>.</w:t>
      </w:r>
      <w:r>
        <w:rPr>
          <w:rFonts w:eastAsia="宋体"/>
          <w:lang w:val="en-US" w:eastAsia="zh-CN"/>
        </w:rPr>
        <w:t>3</w:t>
      </w:r>
      <w:r>
        <w:tab/>
      </w:r>
      <w:r>
        <w:t>Spurious emission band UE co-existence</w:t>
      </w:r>
      <w:r>
        <w:tab/>
      </w:r>
      <w:r>
        <w:fldChar w:fldCharType="begin"/>
      </w:r>
      <w:r>
        <w:instrText xml:space="preserve"> PAGEREF _Toc21900 \h </w:instrText>
      </w:r>
      <w:r>
        <w:fldChar w:fldCharType="separate"/>
      </w:r>
      <w:r>
        <w:t>141</w:t>
      </w:r>
      <w:r>
        <w:fldChar w:fldCharType="end"/>
      </w:r>
    </w:p>
    <w:p>
      <w:pPr>
        <w:pStyle w:val="19"/>
        <w:tabs>
          <w:tab w:val="right" w:pos="1600"/>
          <w:tab w:val="right" w:leader="dot" w:pos="9641"/>
          <w:tab w:val="clear" w:pos="9639"/>
        </w:tabs>
      </w:pPr>
      <w:r>
        <w:t>6.5B.</w:t>
      </w:r>
      <w:r>
        <w:rPr>
          <w:rFonts w:eastAsia="宋体"/>
          <w:lang w:val="en-US" w:eastAsia="zh-CN"/>
        </w:rPr>
        <w:t>4</w:t>
      </w:r>
      <w:r>
        <w:t>.</w:t>
      </w:r>
      <w:r>
        <w:rPr>
          <w:rFonts w:eastAsia="宋体"/>
          <w:lang w:val="en-US" w:eastAsia="zh-CN"/>
        </w:rPr>
        <w:t>4</w:t>
      </w:r>
      <w:r>
        <w:tab/>
      </w:r>
      <w:r>
        <w:t>Additional spurious emissions</w:t>
      </w:r>
      <w:r>
        <w:tab/>
      </w:r>
      <w:r>
        <w:fldChar w:fldCharType="begin"/>
      </w:r>
      <w:r>
        <w:instrText xml:space="preserve"> PAGEREF _Toc26190 \h </w:instrText>
      </w:r>
      <w:r>
        <w:fldChar w:fldCharType="separate"/>
      </w:r>
      <w:r>
        <w:t>143</w:t>
      </w:r>
      <w:r>
        <w:fldChar w:fldCharType="end"/>
      </w:r>
    </w:p>
    <w:p>
      <w:pPr>
        <w:pStyle w:val="18"/>
        <w:tabs>
          <w:tab w:val="right" w:pos="1600"/>
          <w:tab w:val="right" w:leader="dot" w:pos="9641"/>
          <w:tab w:val="clear" w:pos="9639"/>
        </w:tabs>
      </w:pPr>
      <w:r>
        <w:t>6.5B.</w:t>
      </w:r>
      <w:r>
        <w:rPr>
          <w:rFonts w:eastAsia="宋体"/>
          <w:lang w:val="en-US" w:eastAsia="zh-CN"/>
        </w:rPr>
        <w:t>4</w:t>
      </w:r>
      <w:r>
        <w:t>.4.</w:t>
      </w:r>
      <w:r>
        <w:rPr>
          <w:lang w:val="en-US"/>
        </w:rPr>
        <w:t>0</w:t>
      </w:r>
      <w:r>
        <w:tab/>
      </w:r>
      <w:r>
        <w:t>General</w:t>
      </w:r>
      <w:r>
        <w:tab/>
      </w:r>
      <w:r>
        <w:fldChar w:fldCharType="begin"/>
      </w:r>
      <w:r>
        <w:instrText xml:space="preserve"> PAGEREF _Toc15083 \h </w:instrText>
      </w:r>
      <w:r>
        <w:fldChar w:fldCharType="separate"/>
      </w:r>
      <w:r>
        <w:t>144</w:t>
      </w:r>
      <w:r>
        <w:fldChar w:fldCharType="end"/>
      </w:r>
    </w:p>
    <w:p>
      <w:pPr>
        <w:pStyle w:val="21"/>
        <w:tabs>
          <w:tab w:val="right" w:pos="1200"/>
          <w:tab w:val="right" w:leader="dot" w:pos="9641"/>
          <w:tab w:val="clear" w:pos="9639"/>
        </w:tabs>
      </w:pPr>
      <w:r>
        <w:t>6.6</w:t>
      </w:r>
      <w:r>
        <w:tab/>
      </w:r>
      <w:r>
        <w:t>Transmit intermodulation</w:t>
      </w:r>
      <w:r>
        <w:tab/>
      </w:r>
      <w:r>
        <w:fldChar w:fldCharType="begin"/>
      </w:r>
      <w:r>
        <w:instrText xml:space="preserve"> PAGEREF _Toc1051 \h </w:instrText>
      </w:r>
      <w:r>
        <w:fldChar w:fldCharType="separate"/>
      </w:r>
      <w:r>
        <w:t>148</w:t>
      </w:r>
      <w:r>
        <w:fldChar w:fldCharType="end"/>
      </w:r>
    </w:p>
    <w:p>
      <w:pPr>
        <w:pStyle w:val="21"/>
        <w:tabs>
          <w:tab w:val="right" w:pos="1200"/>
          <w:tab w:val="right" w:leader="dot" w:pos="9641"/>
          <w:tab w:val="clear" w:pos="9639"/>
        </w:tabs>
      </w:pPr>
      <w:r>
        <w:t>6.6A</w:t>
      </w:r>
      <w:r>
        <w:tab/>
      </w:r>
      <w:r>
        <w:t xml:space="preserve">Transmit intermodulation </w:t>
      </w:r>
      <w:r>
        <w:rPr>
          <w:rFonts w:hint="eastAsia"/>
        </w:rPr>
        <w:t xml:space="preserve">for category </w:t>
      </w:r>
      <w:r>
        <w:t>M1</w:t>
      </w:r>
      <w:r>
        <w:tab/>
      </w:r>
      <w:r>
        <w:fldChar w:fldCharType="begin"/>
      </w:r>
      <w:r>
        <w:instrText xml:space="preserve"> PAGEREF _Toc102 \h </w:instrText>
      </w:r>
      <w:r>
        <w:fldChar w:fldCharType="separate"/>
      </w:r>
      <w:r>
        <w:t>148</w:t>
      </w:r>
      <w:r>
        <w:fldChar w:fldCharType="end"/>
      </w:r>
    </w:p>
    <w:p>
      <w:pPr>
        <w:pStyle w:val="21"/>
        <w:tabs>
          <w:tab w:val="right" w:pos="1200"/>
          <w:tab w:val="right" w:leader="dot" w:pos="9641"/>
          <w:tab w:val="clear" w:pos="9639"/>
        </w:tabs>
      </w:pPr>
      <w:r>
        <w:t>6.6B</w:t>
      </w:r>
      <w:r>
        <w:tab/>
      </w:r>
      <w:r>
        <w:t xml:space="preserve">Transmit intermodulation </w:t>
      </w:r>
      <w:r>
        <w:rPr>
          <w:rFonts w:hint="eastAsia"/>
        </w:rPr>
        <w:t>for category NB1 and NB2</w:t>
      </w:r>
      <w:r>
        <w:tab/>
      </w:r>
      <w:r>
        <w:fldChar w:fldCharType="begin"/>
      </w:r>
      <w:r>
        <w:instrText xml:space="preserve"> PAGEREF _Toc15646 \h </w:instrText>
      </w:r>
      <w:r>
        <w:fldChar w:fldCharType="separate"/>
      </w:r>
      <w:r>
        <w:t>148</w:t>
      </w:r>
      <w:r>
        <w:fldChar w:fldCharType="end"/>
      </w:r>
    </w:p>
    <w:p>
      <w:pPr>
        <w:pStyle w:val="22"/>
        <w:tabs>
          <w:tab w:val="right" w:pos="800"/>
          <w:tab w:val="right" w:leader="dot" w:pos="9641"/>
          <w:tab w:val="clear" w:pos="9639"/>
        </w:tabs>
      </w:pPr>
      <w:r>
        <w:t>7</w:t>
      </w:r>
      <w:r>
        <w:tab/>
      </w:r>
      <w:r>
        <w:t>Receiver characteristics</w:t>
      </w:r>
      <w:r>
        <w:tab/>
      </w:r>
      <w:r>
        <w:fldChar w:fldCharType="begin"/>
      </w:r>
      <w:r>
        <w:instrText xml:space="preserve"> PAGEREF _Toc1688 \h </w:instrText>
      </w:r>
      <w:r>
        <w:fldChar w:fldCharType="separate"/>
      </w:r>
      <w:r>
        <w:t>150</w:t>
      </w:r>
      <w:r>
        <w:fldChar w:fldCharType="end"/>
      </w:r>
    </w:p>
    <w:p>
      <w:pPr>
        <w:pStyle w:val="21"/>
        <w:tabs>
          <w:tab w:val="right" w:pos="1200"/>
          <w:tab w:val="right" w:leader="dot" w:pos="9641"/>
          <w:tab w:val="clear" w:pos="9639"/>
        </w:tabs>
      </w:pPr>
      <w:r>
        <w:t>7.1</w:t>
      </w:r>
      <w:r>
        <w:tab/>
      </w:r>
      <w:r>
        <w:t>General</w:t>
      </w:r>
      <w:r>
        <w:tab/>
      </w:r>
      <w:r>
        <w:fldChar w:fldCharType="begin"/>
      </w:r>
      <w:r>
        <w:instrText xml:space="preserve"> PAGEREF _Toc11768 \h </w:instrText>
      </w:r>
      <w:r>
        <w:fldChar w:fldCharType="separate"/>
      </w:r>
      <w:r>
        <w:t>150</w:t>
      </w:r>
      <w:r>
        <w:fldChar w:fldCharType="end"/>
      </w:r>
    </w:p>
    <w:p>
      <w:pPr>
        <w:pStyle w:val="21"/>
        <w:tabs>
          <w:tab w:val="right" w:pos="1200"/>
          <w:tab w:val="right" w:leader="dot" w:pos="9641"/>
          <w:tab w:val="clear" w:pos="9639"/>
        </w:tabs>
      </w:pPr>
      <w:r>
        <w:t>7.2</w:t>
      </w:r>
      <w:r>
        <w:tab/>
      </w:r>
      <w:r>
        <w:t>Diversity characteristics</w:t>
      </w:r>
      <w:r>
        <w:tab/>
      </w:r>
      <w:r>
        <w:fldChar w:fldCharType="begin"/>
      </w:r>
      <w:r>
        <w:instrText xml:space="preserve"> PAGEREF _Toc25696 \h </w:instrText>
      </w:r>
      <w:r>
        <w:fldChar w:fldCharType="separate"/>
      </w:r>
      <w:r>
        <w:t>150</w:t>
      </w:r>
      <w:r>
        <w:fldChar w:fldCharType="end"/>
      </w:r>
    </w:p>
    <w:p>
      <w:pPr>
        <w:pStyle w:val="21"/>
        <w:tabs>
          <w:tab w:val="right" w:pos="1200"/>
          <w:tab w:val="right" w:leader="dot" w:pos="9641"/>
          <w:tab w:val="clear" w:pos="9639"/>
        </w:tabs>
      </w:pPr>
      <w:r>
        <w:t>7.3</w:t>
      </w:r>
      <w:r>
        <w:tab/>
      </w:r>
      <w:r>
        <w:t>Reference sensitivity power level</w:t>
      </w:r>
      <w:r>
        <w:tab/>
      </w:r>
      <w:r>
        <w:fldChar w:fldCharType="begin"/>
      </w:r>
      <w:r>
        <w:instrText xml:space="preserve"> PAGEREF _Toc21439 \h </w:instrText>
      </w:r>
      <w:r>
        <w:fldChar w:fldCharType="separate"/>
      </w:r>
      <w:r>
        <w:t>150</w:t>
      </w:r>
      <w:r>
        <w:fldChar w:fldCharType="end"/>
      </w:r>
    </w:p>
    <w:p>
      <w:pPr>
        <w:pStyle w:val="21"/>
        <w:tabs>
          <w:tab w:val="right" w:pos="1200"/>
          <w:tab w:val="right" w:leader="dot" w:pos="9641"/>
          <w:tab w:val="clear" w:pos="9639"/>
        </w:tabs>
      </w:pPr>
      <w:r>
        <w:t>7.3A</w:t>
      </w:r>
      <w:r>
        <w:tab/>
      </w:r>
      <w:r>
        <w:t>Reference sensitivity power level for UE category M1</w:t>
      </w:r>
      <w:r>
        <w:tab/>
      </w:r>
      <w:r>
        <w:fldChar w:fldCharType="begin"/>
      </w:r>
      <w:r>
        <w:instrText xml:space="preserve"> PAGEREF _Toc17741 \h </w:instrText>
      </w:r>
      <w:r>
        <w:fldChar w:fldCharType="separate"/>
      </w:r>
      <w:r>
        <w:t>150</w:t>
      </w:r>
      <w:r>
        <w:fldChar w:fldCharType="end"/>
      </w:r>
    </w:p>
    <w:p>
      <w:pPr>
        <w:pStyle w:val="21"/>
        <w:tabs>
          <w:tab w:val="right" w:pos="1200"/>
          <w:tab w:val="right" w:leader="dot" w:pos="9641"/>
          <w:tab w:val="clear" w:pos="9639"/>
        </w:tabs>
      </w:pPr>
      <w:r>
        <w:t>7.3B</w:t>
      </w:r>
      <w:r>
        <w:tab/>
      </w:r>
      <w:r>
        <w:t>Reference sensitivity power level for UE category NB1 and NB2</w:t>
      </w:r>
      <w:r>
        <w:tab/>
      </w:r>
      <w:r>
        <w:fldChar w:fldCharType="begin"/>
      </w:r>
      <w:r>
        <w:instrText xml:space="preserve"> PAGEREF _Toc2898 \h </w:instrText>
      </w:r>
      <w:r>
        <w:fldChar w:fldCharType="separate"/>
      </w:r>
      <w:r>
        <w:t>151</w:t>
      </w:r>
      <w:r>
        <w:fldChar w:fldCharType="end"/>
      </w:r>
    </w:p>
    <w:p>
      <w:pPr>
        <w:pStyle w:val="21"/>
        <w:tabs>
          <w:tab w:val="right" w:pos="1200"/>
          <w:tab w:val="right" w:leader="dot" w:pos="9641"/>
          <w:tab w:val="clear" w:pos="9639"/>
        </w:tabs>
      </w:pPr>
      <w:r>
        <w:t>7.4</w:t>
      </w:r>
      <w:r>
        <w:tab/>
      </w:r>
      <w:r>
        <w:t>Maximum input level</w:t>
      </w:r>
      <w:r>
        <w:tab/>
      </w:r>
      <w:r>
        <w:fldChar w:fldCharType="begin"/>
      </w:r>
      <w:r>
        <w:instrText xml:space="preserve"> PAGEREF _Toc7205 \h </w:instrText>
      </w:r>
      <w:r>
        <w:fldChar w:fldCharType="separate"/>
      </w:r>
      <w:r>
        <w:t>152</w:t>
      </w:r>
      <w:r>
        <w:fldChar w:fldCharType="end"/>
      </w:r>
    </w:p>
    <w:p>
      <w:pPr>
        <w:pStyle w:val="21"/>
        <w:tabs>
          <w:tab w:val="right" w:pos="1200"/>
          <w:tab w:val="right" w:leader="dot" w:pos="9641"/>
          <w:tab w:val="clear" w:pos="9639"/>
        </w:tabs>
      </w:pPr>
      <w:r>
        <w:t>7.4A</w:t>
      </w:r>
      <w:r>
        <w:tab/>
      </w:r>
      <w:r>
        <w:t>Maximum input level for category M1</w:t>
      </w:r>
      <w:r>
        <w:tab/>
      </w:r>
      <w:r>
        <w:fldChar w:fldCharType="begin"/>
      </w:r>
      <w:r>
        <w:instrText xml:space="preserve"> PAGEREF _Toc26683 \h </w:instrText>
      </w:r>
      <w:r>
        <w:fldChar w:fldCharType="separate"/>
      </w:r>
      <w:r>
        <w:t>152</w:t>
      </w:r>
      <w:r>
        <w:fldChar w:fldCharType="end"/>
      </w:r>
    </w:p>
    <w:p>
      <w:pPr>
        <w:pStyle w:val="21"/>
        <w:tabs>
          <w:tab w:val="right" w:pos="1200"/>
          <w:tab w:val="right" w:leader="dot" w:pos="9641"/>
          <w:tab w:val="clear" w:pos="9639"/>
        </w:tabs>
      </w:pPr>
      <w:r>
        <w:t>7.4B</w:t>
      </w:r>
      <w:r>
        <w:tab/>
      </w:r>
      <w:r>
        <w:t>Maximum input level for category NB1 and NB2</w:t>
      </w:r>
      <w:r>
        <w:tab/>
      </w:r>
      <w:r>
        <w:fldChar w:fldCharType="begin"/>
      </w:r>
      <w:r>
        <w:instrText xml:space="preserve"> PAGEREF _Toc21177 \h </w:instrText>
      </w:r>
      <w:r>
        <w:fldChar w:fldCharType="separate"/>
      </w:r>
      <w:r>
        <w:t>155</w:t>
      </w:r>
      <w:r>
        <w:fldChar w:fldCharType="end"/>
      </w:r>
    </w:p>
    <w:p>
      <w:pPr>
        <w:pStyle w:val="21"/>
        <w:tabs>
          <w:tab w:val="right" w:pos="1200"/>
          <w:tab w:val="right" w:leader="dot" w:pos="9641"/>
          <w:tab w:val="clear" w:pos="9639"/>
        </w:tabs>
      </w:pPr>
      <w:r>
        <w:t>7.5</w:t>
      </w:r>
      <w:r>
        <w:tab/>
      </w:r>
      <w:r>
        <w:t>Adjacent Channel Selectivity (ACS)</w:t>
      </w:r>
      <w:r>
        <w:tab/>
      </w:r>
      <w:r>
        <w:fldChar w:fldCharType="begin"/>
      </w:r>
      <w:r>
        <w:instrText xml:space="preserve"> PAGEREF _Toc1965 \h </w:instrText>
      </w:r>
      <w:r>
        <w:fldChar w:fldCharType="separate"/>
      </w:r>
      <w:r>
        <w:t>156</w:t>
      </w:r>
      <w:r>
        <w:fldChar w:fldCharType="end"/>
      </w:r>
    </w:p>
    <w:p>
      <w:pPr>
        <w:pStyle w:val="21"/>
        <w:tabs>
          <w:tab w:val="right" w:pos="1200"/>
          <w:tab w:val="right" w:leader="dot" w:pos="9641"/>
          <w:tab w:val="clear" w:pos="9639"/>
        </w:tabs>
      </w:pPr>
      <w:r>
        <w:t>7.5A</w:t>
      </w:r>
      <w:r>
        <w:tab/>
      </w:r>
      <w:r>
        <w:t>Adjacent Channel Selectivity for category M1</w:t>
      </w:r>
      <w:r>
        <w:tab/>
      </w:r>
      <w:r>
        <w:fldChar w:fldCharType="begin"/>
      </w:r>
      <w:r>
        <w:instrText xml:space="preserve"> PAGEREF _Toc10614 \h </w:instrText>
      </w:r>
      <w:r>
        <w:fldChar w:fldCharType="separate"/>
      </w:r>
      <w:r>
        <w:t>156</w:t>
      </w:r>
      <w:r>
        <w:fldChar w:fldCharType="end"/>
      </w:r>
    </w:p>
    <w:p>
      <w:pPr>
        <w:pStyle w:val="21"/>
        <w:tabs>
          <w:tab w:val="right" w:pos="1200"/>
          <w:tab w:val="right" w:leader="dot" w:pos="9641"/>
          <w:tab w:val="clear" w:pos="9639"/>
        </w:tabs>
      </w:pPr>
      <w:r>
        <w:t>7.5B</w:t>
      </w:r>
      <w:r>
        <w:tab/>
      </w:r>
      <w:r>
        <w:t>Adjacent Channel Selectivity for category NB1 and NB2</w:t>
      </w:r>
      <w:r>
        <w:tab/>
      </w:r>
      <w:r>
        <w:fldChar w:fldCharType="begin"/>
      </w:r>
      <w:r>
        <w:instrText xml:space="preserve"> PAGEREF _Toc26718 \h </w:instrText>
      </w:r>
      <w:r>
        <w:fldChar w:fldCharType="separate"/>
      </w:r>
      <w:r>
        <w:t>161</w:t>
      </w:r>
      <w:r>
        <w:fldChar w:fldCharType="end"/>
      </w:r>
    </w:p>
    <w:p>
      <w:pPr>
        <w:pStyle w:val="21"/>
        <w:tabs>
          <w:tab w:val="right" w:pos="1200"/>
          <w:tab w:val="right" w:leader="dot" w:pos="9641"/>
          <w:tab w:val="clear" w:pos="9639"/>
        </w:tabs>
      </w:pPr>
      <w:r>
        <w:t>7.6</w:t>
      </w:r>
      <w:r>
        <w:tab/>
      </w:r>
      <w:r>
        <w:t>Blocking characteristics</w:t>
      </w:r>
      <w:r>
        <w:tab/>
      </w:r>
      <w:r>
        <w:fldChar w:fldCharType="begin"/>
      </w:r>
      <w:r>
        <w:instrText xml:space="preserve"> PAGEREF _Toc19530 \h </w:instrText>
      </w:r>
      <w:r>
        <w:fldChar w:fldCharType="separate"/>
      </w:r>
      <w:r>
        <w:t>164</w:t>
      </w:r>
      <w:r>
        <w:fldChar w:fldCharType="end"/>
      </w:r>
    </w:p>
    <w:p>
      <w:pPr>
        <w:pStyle w:val="21"/>
        <w:tabs>
          <w:tab w:val="right" w:pos="1200"/>
          <w:tab w:val="right" w:leader="dot" w:pos="9641"/>
          <w:tab w:val="clear" w:pos="9639"/>
        </w:tabs>
      </w:pPr>
      <w:r>
        <w:t>7.6A</w:t>
      </w:r>
      <w:r>
        <w:tab/>
      </w:r>
      <w:r>
        <w:t>Blocking characteristics for category M1</w:t>
      </w:r>
      <w:r>
        <w:tab/>
      </w:r>
      <w:r>
        <w:fldChar w:fldCharType="begin"/>
      </w:r>
      <w:r>
        <w:instrText xml:space="preserve"> PAGEREF _Toc22096 \h </w:instrText>
      </w:r>
      <w:r>
        <w:fldChar w:fldCharType="separate"/>
      </w:r>
      <w:r>
        <w:t>164</w:t>
      </w:r>
      <w:r>
        <w:fldChar w:fldCharType="end"/>
      </w:r>
    </w:p>
    <w:p>
      <w:pPr>
        <w:pStyle w:val="20"/>
        <w:tabs>
          <w:tab w:val="right" w:pos="1600"/>
          <w:tab w:val="right" w:leader="dot" w:pos="9641"/>
          <w:tab w:val="clear" w:pos="9639"/>
        </w:tabs>
      </w:pPr>
      <w:r>
        <w:t>7.6A.1</w:t>
      </w:r>
      <w:r>
        <w:tab/>
      </w:r>
      <w:r>
        <w:t>General</w:t>
      </w:r>
      <w:r>
        <w:tab/>
      </w:r>
      <w:r>
        <w:fldChar w:fldCharType="begin"/>
      </w:r>
      <w:r>
        <w:instrText xml:space="preserve"> PAGEREF _Toc4047 \h </w:instrText>
      </w:r>
      <w:r>
        <w:fldChar w:fldCharType="separate"/>
      </w:r>
      <w:r>
        <w:t>164</w:t>
      </w:r>
      <w:r>
        <w:fldChar w:fldCharType="end"/>
      </w:r>
    </w:p>
    <w:p>
      <w:pPr>
        <w:pStyle w:val="20"/>
        <w:tabs>
          <w:tab w:val="right" w:pos="1600"/>
          <w:tab w:val="right" w:leader="dot" w:pos="9641"/>
          <w:tab w:val="clear" w:pos="9639"/>
        </w:tabs>
      </w:pPr>
      <w:r>
        <w:t>7.6A.2</w:t>
      </w:r>
      <w:r>
        <w:tab/>
      </w:r>
      <w:r>
        <w:t>In-band blocking for category M1</w:t>
      </w:r>
      <w:r>
        <w:tab/>
      </w:r>
      <w:r>
        <w:fldChar w:fldCharType="begin"/>
      </w:r>
      <w:r>
        <w:instrText xml:space="preserve"> PAGEREF _Toc8431 \h </w:instrText>
      </w:r>
      <w:r>
        <w:fldChar w:fldCharType="separate"/>
      </w:r>
      <w:r>
        <w:t>164</w:t>
      </w:r>
      <w:r>
        <w:fldChar w:fldCharType="end"/>
      </w:r>
    </w:p>
    <w:p>
      <w:pPr>
        <w:pStyle w:val="20"/>
        <w:tabs>
          <w:tab w:val="right" w:pos="1600"/>
          <w:tab w:val="right" w:leader="dot" w:pos="9641"/>
          <w:tab w:val="clear" w:pos="9639"/>
        </w:tabs>
      </w:pPr>
      <w:r>
        <w:t>7.6A.3</w:t>
      </w:r>
      <w:r>
        <w:tab/>
      </w:r>
      <w:r>
        <w:t>Out-of-band blocking for category M1</w:t>
      </w:r>
      <w:r>
        <w:tab/>
      </w:r>
      <w:r>
        <w:fldChar w:fldCharType="begin"/>
      </w:r>
      <w:r>
        <w:instrText xml:space="preserve"> PAGEREF _Toc21242 \h </w:instrText>
      </w:r>
      <w:r>
        <w:fldChar w:fldCharType="separate"/>
      </w:r>
      <w:r>
        <w:t>168</w:t>
      </w:r>
      <w:r>
        <w:fldChar w:fldCharType="end"/>
      </w:r>
    </w:p>
    <w:p>
      <w:pPr>
        <w:pStyle w:val="20"/>
        <w:tabs>
          <w:tab w:val="right" w:pos="1600"/>
          <w:tab w:val="right" w:leader="dot" w:pos="9641"/>
          <w:tab w:val="clear" w:pos="9639"/>
        </w:tabs>
      </w:pPr>
      <w:r>
        <w:rPr>
          <w:rFonts w:eastAsia="MS Mincho"/>
        </w:rPr>
        <w:t>7.6A.4</w:t>
      </w:r>
      <w:r>
        <w:rPr>
          <w:rFonts w:eastAsia="MS Mincho"/>
        </w:rPr>
        <w:tab/>
      </w:r>
      <w:r>
        <w:rPr>
          <w:rFonts w:eastAsia="MS Mincho"/>
        </w:rPr>
        <w:t>Narrow band blocking for category M1</w:t>
      </w:r>
      <w:r>
        <w:tab/>
      </w:r>
      <w:r>
        <w:fldChar w:fldCharType="begin"/>
      </w:r>
      <w:r>
        <w:instrText xml:space="preserve"> PAGEREF _Toc584 \h </w:instrText>
      </w:r>
      <w:r>
        <w:fldChar w:fldCharType="separate"/>
      </w:r>
      <w:r>
        <w:t>168</w:t>
      </w:r>
      <w:r>
        <w:fldChar w:fldCharType="end"/>
      </w:r>
    </w:p>
    <w:p>
      <w:pPr>
        <w:pStyle w:val="21"/>
        <w:tabs>
          <w:tab w:val="right" w:pos="1200"/>
          <w:tab w:val="right" w:leader="dot" w:pos="9641"/>
          <w:tab w:val="clear" w:pos="9639"/>
        </w:tabs>
      </w:pPr>
      <w:r>
        <w:t>7.6B</w:t>
      </w:r>
      <w:r>
        <w:tab/>
      </w:r>
      <w:r>
        <w:t>Blocking characteristics for category NB1 and NB2</w:t>
      </w:r>
      <w:r>
        <w:tab/>
      </w:r>
      <w:r>
        <w:fldChar w:fldCharType="begin"/>
      </w:r>
      <w:r>
        <w:instrText xml:space="preserve"> PAGEREF _Toc6208 \h </w:instrText>
      </w:r>
      <w:r>
        <w:fldChar w:fldCharType="separate"/>
      </w:r>
      <w:r>
        <w:t>168</w:t>
      </w:r>
      <w:r>
        <w:fldChar w:fldCharType="end"/>
      </w:r>
    </w:p>
    <w:p>
      <w:pPr>
        <w:pStyle w:val="20"/>
        <w:tabs>
          <w:tab w:val="right" w:pos="1600"/>
          <w:tab w:val="right" w:leader="dot" w:pos="9641"/>
          <w:tab w:val="clear" w:pos="9639"/>
        </w:tabs>
      </w:pPr>
      <w:r>
        <w:t>7.6B.1</w:t>
      </w:r>
      <w:r>
        <w:tab/>
      </w:r>
      <w:r>
        <w:t>General</w:t>
      </w:r>
      <w:r>
        <w:tab/>
      </w:r>
      <w:r>
        <w:fldChar w:fldCharType="begin"/>
      </w:r>
      <w:r>
        <w:instrText xml:space="preserve"> PAGEREF _Toc20001 \h </w:instrText>
      </w:r>
      <w:r>
        <w:fldChar w:fldCharType="separate"/>
      </w:r>
      <w:r>
        <w:t>168</w:t>
      </w:r>
      <w:r>
        <w:fldChar w:fldCharType="end"/>
      </w:r>
    </w:p>
    <w:p>
      <w:pPr>
        <w:pStyle w:val="20"/>
        <w:tabs>
          <w:tab w:val="right" w:pos="1600"/>
          <w:tab w:val="right" w:leader="dot" w:pos="9641"/>
          <w:tab w:val="clear" w:pos="9639"/>
        </w:tabs>
      </w:pPr>
      <w:r>
        <w:t>7.6B.2</w:t>
      </w:r>
      <w:r>
        <w:tab/>
      </w:r>
      <w:r>
        <w:t>In-band blocking for category NB1 and NB2</w:t>
      </w:r>
      <w:r>
        <w:tab/>
      </w:r>
      <w:r>
        <w:fldChar w:fldCharType="begin"/>
      </w:r>
      <w:r>
        <w:instrText xml:space="preserve"> PAGEREF _Toc23249 \h </w:instrText>
      </w:r>
      <w:r>
        <w:fldChar w:fldCharType="separate"/>
      </w:r>
      <w:r>
        <w:t>168</w:t>
      </w:r>
      <w:r>
        <w:fldChar w:fldCharType="end"/>
      </w:r>
    </w:p>
    <w:p>
      <w:pPr>
        <w:pStyle w:val="20"/>
        <w:tabs>
          <w:tab w:val="right" w:pos="1600"/>
          <w:tab w:val="right" w:leader="dot" w:pos="9641"/>
          <w:tab w:val="clear" w:pos="9639"/>
        </w:tabs>
      </w:pPr>
      <w:r>
        <w:t>7.6B.3</w:t>
      </w:r>
      <w:r>
        <w:tab/>
      </w:r>
      <w:r>
        <w:t>Out-of-band blocking for category NB1 and NB2</w:t>
      </w:r>
      <w:r>
        <w:tab/>
      </w:r>
      <w:r>
        <w:fldChar w:fldCharType="begin"/>
      </w:r>
      <w:r>
        <w:instrText xml:space="preserve"> PAGEREF _Toc10425 \h </w:instrText>
      </w:r>
      <w:r>
        <w:fldChar w:fldCharType="separate"/>
      </w:r>
      <w:r>
        <w:t>171</w:t>
      </w:r>
      <w:r>
        <w:fldChar w:fldCharType="end"/>
      </w:r>
    </w:p>
    <w:p>
      <w:pPr>
        <w:pStyle w:val="20"/>
        <w:tabs>
          <w:tab w:val="right" w:pos="1600"/>
          <w:tab w:val="right" w:leader="dot" w:pos="9641"/>
          <w:tab w:val="clear" w:pos="9639"/>
        </w:tabs>
      </w:pPr>
      <w:r>
        <w:t>7.6B.4</w:t>
      </w:r>
      <w:r>
        <w:tab/>
      </w:r>
      <w:r>
        <w:t>Narrow band blocking for category NB1 and NB2</w:t>
      </w:r>
      <w:r>
        <w:tab/>
      </w:r>
      <w:r>
        <w:fldChar w:fldCharType="begin"/>
      </w:r>
      <w:r>
        <w:instrText xml:space="preserve"> PAGEREF _Toc9803 \h </w:instrText>
      </w:r>
      <w:r>
        <w:fldChar w:fldCharType="separate"/>
      </w:r>
      <w:r>
        <w:t>171</w:t>
      </w:r>
      <w:r>
        <w:fldChar w:fldCharType="end"/>
      </w:r>
    </w:p>
    <w:p>
      <w:pPr>
        <w:pStyle w:val="21"/>
        <w:tabs>
          <w:tab w:val="right" w:pos="1200"/>
          <w:tab w:val="right" w:leader="dot" w:pos="9641"/>
          <w:tab w:val="clear" w:pos="9639"/>
        </w:tabs>
      </w:pPr>
      <w:r>
        <w:t>7.7</w:t>
      </w:r>
      <w:r>
        <w:tab/>
      </w:r>
      <w:r>
        <w:t>Spurious response</w:t>
      </w:r>
      <w:r>
        <w:tab/>
      </w:r>
      <w:r>
        <w:fldChar w:fldCharType="begin"/>
      </w:r>
      <w:r>
        <w:instrText xml:space="preserve"> PAGEREF _Toc28196 \h </w:instrText>
      </w:r>
      <w:r>
        <w:fldChar w:fldCharType="separate"/>
      </w:r>
      <w:r>
        <w:t>171</w:t>
      </w:r>
      <w:r>
        <w:fldChar w:fldCharType="end"/>
      </w:r>
    </w:p>
    <w:p>
      <w:pPr>
        <w:pStyle w:val="21"/>
        <w:tabs>
          <w:tab w:val="right" w:pos="1200"/>
          <w:tab w:val="right" w:leader="dot" w:pos="9641"/>
          <w:tab w:val="clear" w:pos="9639"/>
        </w:tabs>
      </w:pPr>
      <w:r>
        <w:t>7.7A</w:t>
      </w:r>
      <w:r>
        <w:tab/>
      </w:r>
      <w:r>
        <w:t>Spurious response for category M1</w:t>
      </w:r>
      <w:r>
        <w:tab/>
      </w:r>
      <w:r>
        <w:fldChar w:fldCharType="begin"/>
      </w:r>
      <w:r>
        <w:instrText xml:space="preserve"> PAGEREF _Toc12699 \h </w:instrText>
      </w:r>
      <w:r>
        <w:fldChar w:fldCharType="separate"/>
      </w:r>
      <w:r>
        <w:t>171</w:t>
      </w:r>
      <w:r>
        <w:fldChar w:fldCharType="end"/>
      </w:r>
    </w:p>
    <w:p>
      <w:pPr>
        <w:pStyle w:val="21"/>
        <w:tabs>
          <w:tab w:val="right" w:pos="1200"/>
          <w:tab w:val="right" w:leader="dot" w:pos="9641"/>
          <w:tab w:val="clear" w:pos="9639"/>
        </w:tabs>
      </w:pPr>
      <w:r>
        <w:t>7.7B</w:t>
      </w:r>
      <w:r>
        <w:tab/>
      </w:r>
      <w:r>
        <w:t>Spurious response for category NB1 and NB2</w:t>
      </w:r>
      <w:r>
        <w:tab/>
      </w:r>
      <w:r>
        <w:fldChar w:fldCharType="begin"/>
      </w:r>
      <w:r>
        <w:instrText xml:space="preserve"> PAGEREF _Toc16417 \h </w:instrText>
      </w:r>
      <w:r>
        <w:fldChar w:fldCharType="separate"/>
      </w:r>
      <w:r>
        <w:t>171</w:t>
      </w:r>
      <w:r>
        <w:fldChar w:fldCharType="end"/>
      </w:r>
    </w:p>
    <w:p>
      <w:pPr>
        <w:pStyle w:val="21"/>
        <w:tabs>
          <w:tab w:val="right" w:pos="1200"/>
          <w:tab w:val="right" w:leader="dot" w:pos="9641"/>
          <w:tab w:val="clear" w:pos="9639"/>
        </w:tabs>
      </w:pPr>
      <w:r>
        <w:t>7.8</w:t>
      </w:r>
      <w:r>
        <w:tab/>
      </w:r>
      <w:r>
        <w:t>Intermodulation characteristics</w:t>
      </w:r>
      <w:r>
        <w:tab/>
      </w:r>
      <w:r>
        <w:fldChar w:fldCharType="begin"/>
      </w:r>
      <w:r>
        <w:instrText xml:space="preserve"> PAGEREF _Toc19453 \h </w:instrText>
      </w:r>
      <w:r>
        <w:fldChar w:fldCharType="separate"/>
      </w:r>
      <w:r>
        <w:t>171</w:t>
      </w:r>
      <w:r>
        <w:fldChar w:fldCharType="end"/>
      </w:r>
    </w:p>
    <w:p>
      <w:pPr>
        <w:pStyle w:val="21"/>
        <w:tabs>
          <w:tab w:val="right" w:pos="1200"/>
          <w:tab w:val="right" w:leader="dot" w:pos="9641"/>
          <w:tab w:val="clear" w:pos="9639"/>
        </w:tabs>
      </w:pPr>
      <w:r>
        <w:t>7.8</w:t>
      </w:r>
      <w:r>
        <w:rPr>
          <w:rFonts w:eastAsia="宋体"/>
          <w:lang w:eastAsia="zh-CN"/>
        </w:rPr>
        <w:t>A</w:t>
      </w:r>
      <w:r>
        <w:tab/>
      </w:r>
      <w:r>
        <w:t>Intermodulation</w:t>
      </w:r>
      <w:r>
        <w:rPr>
          <w:rFonts w:eastAsia="宋体"/>
          <w:lang w:eastAsia="zh-CN"/>
        </w:rPr>
        <w:t xml:space="preserve"> characteristics for category </w:t>
      </w:r>
      <w:r>
        <w:rPr>
          <w:lang w:eastAsia="zh-CN"/>
        </w:rPr>
        <w:t>M1</w:t>
      </w:r>
      <w:r>
        <w:tab/>
      </w:r>
      <w:r>
        <w:fldChar w:fldCharType="begin"/>
      </w:r>
      <w:r>
        <w:instrText xml:space="preserve"> PAGEREF _Toc31626 \h </w:instrText>
      </w:r>
      <w:r>
        <w:fldChar w:fldCharType="separate"/>
      </w:r>
      <w:r>
        <w:t>171</w:t>
      </w:r>
      <w:r>
        <w:fldChar w:fldCharType="end"/>
      </w:r>
    </w:p>
    <w:p>
      <w:pPr>
        <w:pStyle w:val="21"/>
        <w:tabs>
          <w:tab w:val="right" w:pos="1200"/>
          <w:tab w:val="right" w:leader="dot" w:pos="9641"/>
          <w:tab w:val="clear" w:pos="9639"/>
        </w:tabs>
      </w:pPr>
      <w:r>
        <w:t>7.8</w:t>
      </w:r>
      <w:r>
        <w:rPr>
          <w:rFonts w:eastAsia="宋体"/>
          <w:lang w:eastAsia="zh-CN"/>
        </w:rPr>
        <w:t>B</w:t>
      </w:r>
      <w:r>
        <w:tab/>
      </w:r>
      <w:r>
        <w:t>Intermodulation</w:t>
      </w:r>
      <w:r>
        <w:rPr>
          <w:rFonts w:eastAsia="宋体"/>
          <w:lang w:eastAsia="zh-CN"/>
        </w:rPr>
        <w:t xml:space="preserve"> characteristics for category </w:t>
      </w:r>
      <w:r>
        <w:rPr>
          <w:lang w:eastAsia="zh-CN"/>
        </w:rPr>
        <w:t>NB1 and NB2</w:t>
      </w:r>
      <w:r>
        <w:tab/>
      </w:r>
      <w:r>
        <w:fldChar w:fldCharType="begin"/>
      </w:r>
      <w:r>
        <w:instrText xml:space="preserve"> PAGEREF _Toc18224 \h </w:instrText>
      </w:r>
      <w:r>
        <w:fldChar w:fldCharType="separate"/>
      </w:r>
      <w:r>
        <w:t>171</w:t>
      </w:r>
      <w:r>
        <w:fldChar w:fldCharType="end"/>
      </w:r>
    </w:p>
    <w:p>
      <w:pPr>
        <w:pStyle w:val="21"/>
        <w:tabs>
          <w:tab w:val="right" w:pos="1200"/>
          <w:tab w:val="right" w:leader="dot" w:pos="9641"/>
          <w:tab w:val="clear" w:pos="9639"/>
        </w:tabs>
      </w:pPr>
      <w:r>
        <w:t>7.9</w:t>
      </w:r>
      <w:r>
        <w:tab/>
      </w:r>
      <w:r>
        <w:t>Spurious emissions</w:t>
      </w:r>
      <w:r>
        <w:tab/>
      </w:r>
      <w:r>
        <w:fldChar w:fldCharType="begin"/>
      </w:r>
      <w:r>
        <w:instrText xml:space="preserve"> PAGEREF _Toc6729 \h </w:instrText>
      </w:r>
      <w:r>
        <w:fldChar w:fldCharType="separate"/>
      </w:r>
      <w:r>
        <w:t>172</w:t>
      </w:r>
      <w:r>
        <w:fldChar w:fldCharType="end"/>
      </w:r>
    </w:p>
    <w:p>
      <w:pPr>
        <w:pStyle w:val="21"/>
        <w:tabs>
          <w:tab w:val="right" w:pos="1200"/>
          <w:tab w:val="right" w:leader="dot" w:pos="9641"/>
          <w:tab w:val="clear" w:pos="9639"/>
        </w:tabs>
      </w:pPr>
      <w:r>
        <w:t>7.9A</w:t>
      </w:r>
      <w:r>
        <w:tab/>
      </w:r>
      <w:r>
        <w:t>Spurious emissions for category M1</w:t>
      </w:r>
      <w:r>
        <w:tab/>
      </w:r>
      <w:r>
        <w:fldChar w:fldCharType="begin"/>
      </w:r>
      <w:r>
        <w:instrText xml:space="preserve"> PAGEREF _Toc28688 \h </w:instrText>
      </w:r>
      <w:r>
        <w:fldChar w:fldCharType="separate"/>
      </w:r>
      <w:r>
        <w:t>172</w:t>
      </w:r>
      <w:r>
        <w:fldChar w:fldCharType="end"/>
      </w:r>
    </w:p>
    <w:p>
      <w:pPr>
        <w:pStyle w:val="21"/>
        <w:tabs>
          <w:tab w:val="right" w:pos="1200"/>
          <w:tab w:val="right" w:leader="dot" w:pos="9641"/>
          <w:tab w:val="clear" w:pos="9639"/>
        </w:tabs>
      </w:pPr>
      <w:r>
        <w:t>7.9B</w:t>
      </w:r>
      <w:r>
        <w:tab/>
      </w:r>
      <w:r>
        <w:t>Spurious emissions for category NB1 and NB2</w:t>
      </w:r>
      <w:r>
        <w:tab/>
      </w:r>
      <w:r>
        <w:fldChar w:fldCharType="begin"/>
      </w:r>
      <w:r>
        <w:instrText xml:space="preserve"> PAGEREF _Toc28154 \h </w:instrText>
      </w:r>
      <w:r>
        <w:fldChar w:fldCharType="separate"/>
      </w:r>
      <w:r>
        <w:t>173</w:t>
      </w:r>
      <w:r>
        <w:fldChar w:fldCharType="end"/>
      </w:r>
    </w:p>
    <w:p>
      <w:pPr>
        <w:pStyle w:val="22"/>
        <w:tabs>
          <w:tab w:val="right" w:pos="800"/>
          <w:tab w:val="right" w:leader="dot" w:pos="9641"/>
          <w:tab w:val="clear" w:pos="9639"/>
        </w:tabs>
      </w:pPr>
      <w:r>
        <w:t>8</w:t>
      </w:r>
      <w:r>
        <w:tab/>
      </w:r>
      <w:r>
        <w:t>Performance requirement</w:t>
      </w:r>
      <w:r>
        <w:tab/>
      </w:r>
      <w:r>
        <w:fldChar w:fldCharType="begin"/>
      </w:r>
      <w:r>
        <w:instrText xml:space="preserve"> PAGEREF _Toc28975 \h </w:instrText>
      </w:r>
      <w:r>
        <w:fldChar w:fldCharType="separate"/>
      </w:r>
      <w:r>
        <w:t>175</w:t>
      </w:r>
      <w:r>
        <w:fldChar w:fldCharType="end"/>
      </w:r>
    </w:p>
    <w:p>
      <w:pPr>
        <w:pStyle w:val="21"/>
        <w:tabs>
          <w:tab w:val="right" w:pos="1200"/>
          <w:tab w:val="right" w:leader="dot" w:pos="9641"/>
          <w:tab w:val="clear" w:pos="9639"/>
        </w:tabs>
      </w:pPr>
      <w:r>
        <w:t>8.1</w:t>
      </w:r>
      <w:r>
        <w:tab/>
      </w:r>
      <w:r>
        <w:t>General</w:t>
      </w:r>
      <w:r>
        <w:tab/>
      </w:r>
      <w:r>
        <w:fldChar w:fldCharType="begin"/>
      </w:r>
      <w:r>
        <w:instrText xml:space="preserve"> PAGEREF _Toc16548 \h </w:instrText>
      </w:r>
      <w:r>
        <w:fldChar w:fldCharType="separate"/>
      </w:r>
      <w:r>
        <w:t>175</w:t>
      </w:r>
      <w:r>
        <w:fldChar w:fldCharType="end"/>
      </w:r>
    </w:p>
    <w:p>
      <w:pPr>
        <w:pStyle w:val="20"/>
        <w:tabs>
          <w:tab w:val="right" w:pos="1200"/>
          <w:tab w:val="right" w:leader="dot" w:pos="9641"/>
          <w:tab w:val="clear" w:pos="9639"/>
        </w:tabs>
      </w:pPr>
      <w:r>
        <w:rPr>
          <w:rFonts w:eastAsia="MS Mincho"/>
        </w:rPr>
        <w:t>8.1.1</w:t>
      </w:r>
      <w:r>
        <w:rPr>
          <w:rFonts w:eastAsia="MS Mincho"/>
        </w:rPr>
        <w:tab/>
      </w:r>
      <w:r>
        <w:rPr>
          <w:rFonts w:eastAsia="MS Mincho"/>
        </w:rPr>
        <w:t>Receiver antenna capability</w:t>
      </w:r>
      <w:r>
        <w:tab/>
      </w:r>
      <w:r>
        <w:fldChar w:fldCharType="begin"/>
      </w:r>
      <w:r>
        <w:instrText xml:space="preserve"> PAGEREF _Toc5939 \h </w:instrText>
      </w:r>
      <w:r>
        <w:fldChar w:fldCharType="separate"/>
      </w:r>
      <w:r>
        <w:t>175</w:t>
      </w:r>
      <w:r>
        <w:fldChar w:fldCharType="end"/>
      </w:r>
    </w:p>
    <w:p>
      <w:pPr>
        <w:pStyle w:val="20"/>
        <w:tabs>
          <w:tab w:val="right" w:pos="1200"/>
          <w:tab w:val="right" w:leader="dot" w:pos="9641"/>
          <w:tab w:val="clear" w:pos="9639"/>
        </w:tabs>
      </w:pPr>
      <w:r>
        <w:rPr>
          <w:rFonts w:eastAsia="MS Mincho"/>
        </w:rPr>
        <w:t>8.1.</w:t>
      </w:r>
      <w:r>
        <w:rPr>
          <w:rFonts w:hint="eastAsia"/>
        </w:rPr>
        <w:t>2</w:t>
      </w:r>
      <w:r>
        <w:rPr>
          <w:rFonts w:eastAsia="MS Mincho"/>
        </w:rPr>
        <w:tab/>
      </w:r>
      <w:r>
        <w:rPr>
          <w:snapToGrid w:val="0"/>
        </w:rPr>
        <w:t xml:space="preserve">Applicability </w:t>
      </w:r>
      <w:r>
        <w:rPr>
          <w:rFonts w:hint="eastAsia"/>
          <w:snapToGrid w:val="0"/>
        </w:rPr>
        <w:t xml:space="preserve">of </w:t>
      </w:r>
      <w:r>
        <w:rPr>
          <w:snapToGrid w:val="0"/>
        </w:rPr>
        <w:t>requirements</w:t>
      </w:r>
      <w:r>
        <w:tab/>
      </w:r>
      <w:r>
        <w:fldChar w:fldCharType="begin"/>
      </w:r>
      <w:r>
        <w:instrText xml:space="preserve"> PAGEREF _Toc5167 \h </w:instrText>
      </w:r>
      <w:r>
        <w:fldChar w:fldCharType="separate"/>
      </w:r>
      <w:r>
        <w:t>175</w:t>
      </w:r>
      <w:r>
        <w:fldChar w:fldCharType="end"/>
      </w:r>
    </w:p>
    <w:p>
      <w:pPr>
        <w:pStyle w:val="19"/>
        <w:tabs>
          <w:tab w:val="right" w:pos="1600"/>
          <w:tab w:val="right" w:leader="dot" w:pos="9641"/>
          <w:tab w:val="clear" w:pos="9639"/>
        </w:tabs>
      </w:pPr>
      <w:r>
        <w:rPr>
          <w:snapToGrid w:val="0"/>
        </w:rPr>
        <w:t>8.1.</w:t>
      </w:r>
      <w:r>
        <w:rPr>
          <w:rFonts w:hint="eastAsia"/>
          <w:snapToGrid w:val="0"/>
        </w:rPr>
        <w:t>2</w:t>
      </w:r>
      <w:r>
        <w:rPr>
          <w:snapToGrid w:val="0"/>
        </w:rPr>
        <w:t>.</w:t>
      </w:r>
      <w:r>
        <w:rPr>
          <w:rFonts w:hint="eastAsia"/>
          <w:snapToGrid w:val="0"/>
        </w:rPr>
        <w:t>1</w:t>
      </w:r>
      <w:r>
        <w:rPr>
          <w:snapToGrid w:val="0"/>
        </w:rPr>
        <w:tab/>
      </w:r>
      <w:r>
        <w:rPr>
          <w:snapToGrid w:val="0"/>
        </w:rPr>
        <w:t xml:space="preserve">Applicability </w:t>
      </w:r>
      <w:r>
        <w:rPr>
          <w:rFonts w:hint="eastAsia"/>
          <w:snapToGrid w:val="0"/>
        </w:rPr>
        <w:t xml:space="preserve">of </w:t>
      </w:r>
      <w:r>
        <w:rPr>
          <w:snapToGrid w:val="0"/>
        </w:rPr>
        <w:t>requirements</w:t>
      </w:r>
      <w:r>
        <w:rPr>
          <w:rFonts w:hint="eastAsia"/>
          <w:snapToGrid w:val="0"/>
        </w:rPr>
        <w:t xml:space="preserve"> for different channel bandwidths</w:t>
      </w:r>
      <w:r>
        <w:tab/>
      </w:r>
      <w:r>
        <w:fldChar w:fldCharType="begin"/>
      </w:r>
      <w:r>
        <w:instrText xml:space="preserve"> PAGEREF _Toc27889 \h </w:instrText>
      </w:r>
      <w:r>
        <w:fldChar w:fldCharType="separate"/>
      </w:r>
      <w:r>
        <w:t>175</w:t>
      </w:r>
      <w:r>
        <w:fldChar w:fldCharType="end"/>
      </w:r>
    </w:p>
    <w:p>
      <w:pPr>
        <w:pStyle w:val="19"/>
        <w:tabs>
          <w:tab w:val="right" w:pos="1600"/>
          <w:tab w:val="right" w:leader="dot" w:pos="9641"/>
          <w:tab w:val="clear" w:pos="9639"/>
        </w:tabs>
      </w:pPr>
      <w:r>
        <w:t>8.2.1.2</w:t>
      </w:r>
      <w:r>
        <w:rPr>
          <w:rFonts w:hint="eastAsia"/>
        </w:rPr>
        <w:tab/>
      </w:r>
      <w:r>
        <w:t xml:space="preserve">Applicability of requirements for optional UE </w:t>
      </w:r>
      <w:r>
        <w:rPr>
          <w:rFonts w:hint="eastAsia"/>
        </w:rPr>
        <w:t>features</w:t>
      </w:r>
      <w:r>
        <w:tab/>
      </w:r>
      <w:r>
        <w:fldChar w:fldCharType="begin"/>
      </w:r>
      <w:r>
        <w:instrText xml:space="preserve"> PAGEREF _Toc15994 \h </w:instrText>
      </w:r>
      <w:r>
        <w:fldChar w:fldCharType="separate"/>
      </w:r>
      <w:r>
        <w:t>176</w:t>
      </w:r>
      <w:r>
        <w:fldChar w:fldCharType="end"/>
      </w:r>
    </w:p>
    <w:p>
      <w:pPr>
        <w:pStyle w:val="20"/>
        <w:tabs>
          <w:tab w:val="right" w:pos="1200"/>
          <w:tab w:val="right" w:leader="dot" w:pos="9641"/>
          <w:tab w:val="clear" w:pos="9639"/>
        </w:tabs>
      </w:pPr>
      <w:r>
        <w:rPr>
          <w:rFonts w:eastAsia="MS Mincho"/>
        </w:rPr>
        <w:t>8.1.</w:t>
      </w:r>
      <w:r>
        <w:t>3</w:t>
      </w:r>
      <w:r>
        <w:rPr>
          <w:rFonts w:eastAsia="MS Mincho"/>
        </w:rPr>
        <w:tab/>
      </w:r>
      <w:r>
        <w:rPr>
          <w:snapToGrid w:val="0"/>
        </w:rPr>
        <w:t>UE category and UE DL category</w:t>
      </w:r>
      <w:r>
        <w:tab/>
      </w:r>
      <w:r>
        <w:fldChar w:fldCharType="begin"/>
      </w:r>
      <w:r>
        <w:instrText xml:space="preserve"> PAGEREF _Toc5540 \h </w:instrText>
      </w:r>
      <w:r>
        <w:fldChar w:fldCharType="separate"/>
      </w:r>
      <w:r>
        <w:t>176</w:t>
      </w:r>
      <w:r>
        <w:fldChar w:fldCharType="end"/>
      </w:r>
    </w:p>
    <w:p>
      <w:pPr>
        <w:pStyle w:val="21"/>
        <w:tabs>
          <w:tab w:val="right" w:pos="1200"/>
          <w:tab w:val="right" w:leader="dot" w:pos="9641"/>
          <w:tab w:val="clear" w:pos="9639"/>
        </w:tabs>
      </w:pPr>
      <w:r>
        <w:rPr>
          <w:rFonts w:eastAsia="PMingLiU"/>
          <w:lang w:val="en-US"/>
        </w:rPr>
        <w:t>8.2</w:t>
      </w:r>
      <w:r>
        <w:rPr>
          <w:rFonts w:eastAsia="PMingLiU"/>
          <w:lang w:val="en-US"/>
        </w:rPr>
        <w:tab/>
      </w:r>
      <w:r>
        <w:rPr>
          <w:rFonts w:eastAsia="PMingLiU"/>
          <w:lang w:val="en-US"/>
        </w:rPr>
        <w:t>Demodulation for IOT NTN UE category M1</w:t>
      </w:r>
      <w:r>
        <w:tab/>
      </w:r>
      <w:r>
        <w:fldChar w:fldCharType="begin"/>
      </w:r>
      <w:r>
        <w:instrText xml:space="preserve"> PAGEREF _Toc20291 \h </w:instrText>
      </w:r>
      <w:r>
        <w:fldChar w:fldCharType="separate"/>
      </w:r>
      <w:r>
        <w:t>176</w:t>
      </w:r>
      <w:r>
        <w:fldChar w:fldCharType="end"/>
      </w:r>
    </w:p>
    <w:p>
      <w:pPr>
        <w:pStyle w:val="20"/>
        <w:tabs>
          <w:tab w:val="right" w:pos="1200"/>
          <w:tab w:val="right" w:leader="dot" w:pos="9641"/>
          <w:tab w:val="clear" w:pos="9639"/>
        </w:tabs>
      </w:pPr>
      <w:r>
        <w:rPr>
          <w:rFonts w:cs="Arial"/>
          <w:szCs w:val="28"/>
        </w:rPr>
        <w:t>8.2.1</w:t>
      </w:r>
      <w:r>
        <w:rPr>
          <w:rFonts w:cs="Arial"/>
          <w:szCs w:val="28"/>
        </w:rPr>
        <w:tab/>
      </w:r>
      <w:r>
        <w:rPr>
          <w:rFonts w:cs="Arial"/>
          <w:szCs w:val="28"/>
        </w:rPr>
        <w:t>FDD and half-duplex FDD</w:t>
      </w:r>
      <w:r>
        <w:tab/>
      </w:r>
      <w:r>
        <w:fldChar w:fldCharType="begin"/>
      </w:r>
      <w:r>
        <w:instrText xml:space="preserve"> PAGEREF _Toc15803 \h </w:instrText>
      </w:r>
      <w:r>
        <w:fldChar w:fldCharType="separate"/>
      </w:r>
      <w:r>
        <w:t>176</w:t>
      </w:r>
      <w:r>
        <w:fldChar w:fldCharType="end"/>
      </w:r>
    </w:p>
    <w:p>
      <w:pPr>
        <w:pStyle w:val="19"/>
        <w:tabs>
          <w:tab w:val="right" w:pos="1600"/>
          <w:tab w:val="right" w:leader="dot" w:pos="9641"/>
          <w:tab w:val="clear" w:pos="9639"/>
        </w:tabs>
      </w:pPr>
      <w:r>
        <w:t>8.2.1.1</w:t>
      </w:r>
      <w:r>
        <w:tab/>
      </w:r>
      <w:r>
        <w:t>PDSCH</w:t>
      </w:r>
      <w:r>
        <w:tab/>
      </w:r>
      <w:r>
        <w:fldChar w:fldCharType="begin"/>
      </w:r>
      <w:r>
        <w:instrText xml:space="preserve"> PAGEREF _Toc22085 \h </w:instrText>
      </w:r>
      <w:r>
        <w:fldChar w:fldCharType="separate"/>
      </w:r>
      <w:r>
        <w:t>176</w:t>
      </w:r>
      <w:r>
        <w:fldChar w:fldCharType="end"/>
      </w:r>
    </w:p>
    <w:p>
      <w:pPr>
        <w:pStyle w:val="18"/>
        <w:tabs>
          <w:tab w:val="right" w:pos="1600"/>
          <w:tab w:val="right" w:leader="dot" w:pos="9641"/>
          <w:tab w:val="clear" w:pos="9639"/>
        </w:tabs>
      </w:pPr>
      <w:r>
        <w:rPr>
          <w:snapToGrid w:val="0"/>
          <w:lang w:val="en-US"/>
        </w:rPr>
        <w:t>8.2.1.1.1</w:t>
      </w:r>
      <w:r>
        <w:rPr>
          <w:snapToGrid w:val="0"/>
          <w:lang w:val="en-US"/>
        </w:rPr>
        <w:tab/>
      </w:r>
      <w:r>
        <w:rPr>
          <w:snapToGrid w:val="0"/>
          <w:lang w:val="en-US"/>
        </w:rPr>
        <w:t>PDSCH in standalone mode under NTN fading conditions</w:t>
      </w:r>
      <w:r>
        <w:tab/>
      </w:r>
      <w:r>
        <w:fldChar w:fldCharType="begin"/>
      </w:r>
      <w:r>
        <w:instrText xml:space="preserve"> PAGEREF _Toc32513 \h </w:instrText>
      </w:r>
      <w:r>
        <w:fldChar w:fldCharType="separate"/>
      </w:r>
      <w:r>
        <w:t>177</w:t>
      </w:r>
      <w:r>
        <w:fldChar w:fldCharType="end"/>
      </w:r>
    </w:p>
    <w:p>
      <w:pPr>
        <w:pStyle w:val="21"/>
        <w:tabs>
          <w:tab w:val="right" w:pos="1200"/>
          <w:tab w:val="right" w:leader="dot" w:pos="9641"/>
          <w:tab w:val="clear" w:pos="9639"/>
        </w:tabs>
      </w:pPr>
      <w:r>
        <w:t>8.3</w:t>
      </w:r>
      <w:r>
        <w:tab/>
      </w:r>
      <w:r>
        <w:t>Demodulation for IOT NTN UE category</w:t>
      </w:r>
      <w:r>
        <w:rPr>
          <w:rFonts w:eastAsiaTheme="minorEastAsia"/>
        </w:rPr>
        <w:t xml:space="preserve"> NB1 and NB2</w:t>
      </w:r>
      <w:r>
        <w:tab/>
      </w:r>
      <w:r>
        <w:fldChar w:fldCharType="begin"/>
      </w:r>
      <w:r>
        <w:instrText xml:space="preserve"> PAGEREF _Toc4910 \h </w:instrText>
      </w:r>
      <w:r>
        <w:fldChar w:fldCharType="separate"/>
      </w:r>
      <w:r>
        <w:t>181</w:t>
      </w:r>
      <w:r>
        <w:fldChar w:fldCharType="end"/>
      </w:r>
    </w:p>
    <w:p>
      <w:pPr>
        <w:pStyle w:val="20"/>
        <w:tabs>
          <w:tab w:val="right" w:pos="1200"/>
          <w:tab w:val="right" w:leader="dot" w:pos="9641"/>
          <w:tab w:val="clear" w:pos="9639"/>
        </w:tabs>
      </w:pPr>
      <w:r>
        <w:rPr>
          <w:rFonts w:cs="Arial"/>
          <w:szCs w:val="28"/>
        </w:rPr>
        <w:t>8.3.1</w:t>
      </w:r>
      <w:r>
        <w:rPr>
          <w:rFonts w:cs="Arial"/>
          <w:szCs w:val="28"/>
        </w:rPr>
        <w:tab/>
      </w:r>
      <w:r>
        <w:rPr>
          <w:rFonts w:cs="Arial"/>
          <w:szCs w:val="28"/>
        </w:rPr>
        <w:t>Half-duplex FDD</w:t>
      </w:r>
      <w:r>
        <w:tab/>
      </w:r>
      <w:r>
        <w:fldChar w:fldCharType="begin"/>
      </w:r>
      <w:r>
        <w:instrText xml:space="preserve"> PAGEREF _Toc15160 \h </w:instrText>
      </w:r>
      <w:r>
        <w:fldChar w:fldCharType="separate"/>
      </w:r>
      <w:r>
        <w:t>181</w:t>
      </w:r>
      <w:r>
        <w:fldChar w:fldCharType="end"/>
      </w:r>
    </w:p>
    <w:p>
      <w:pPr>
        <w:pStyle w:val="19"/>
        <w:tabs>
          <w:tab w:val="right" w:pos="1600"/>
          <w:tab w:val="right" w:leader="dot" w:pos="9641"/>
          <w:tab w:val="clear" w:pos="9639"/>
        </w:tabs>
      </w:pPr>
      <w:r>
        <w:t>8.3.1.1</w:t>
      </w:r>
      <w:r>
        <w:tab/>
      </w:r>
      <w:r>
        <w:t>NPDSCH</w:t>
      </w:r>
      <w:r>
        <w:tab/>
      </w:r>
      <w:r>
        <w:fldChar w:fldCharType="begin"/>
      </w:r>
      <w:r>
        <w:instrText xml:space="preserve"> PAGEREF _Toc9820 \h </w:instrText>
      </w:r>
      <w:r>
        <w:fldChar w:fldCharType="separate"/>
      </w:r>
      <w:r>
        <w:t>181</w:t>
      </w:r>
      <w:r>
        <w:fldChar w:fldCharType="end"/>
      </w:r>
    </w:p>
    <w:p>
      <w:pPr>
        <w:pStyle w:val="18"/>
        <w:tabs>
          <w:tab w:val="right" w:pos="1600"/>
          <w:tab w:val="right" w:leader="dot" w:pos="9641"/>
          <w:tab w:val="clear" w:pos="9639"/>
        </w:tabs>
      </w:pPr>
      <w:r>
        <w:rPr>
          <w:snapToGrid w:val="0"/>
          <w:lang w:val="en-US"/>
        </w:rPr>
        <w:t>8.3.1.1.1</w:t>
      </w:r>
      <w:r>
        <w:rPr>
          <w:snapToGrid w:val="0"/>
          <w:lang w:val="en-US"/>
        </w:rPr>
        <w:tab/>
      </w:r>
      <w:r>
        <w:rPr>
          <w:snapToGrid w:val="0"/>
          <w:lang w:val="en-US"/>
        </w:rPr>
        <w:t>Demodulation of NPDSCH (Cell-Specific Reference Symbols) in standalone mode for category NB1 and NB2 under NTN fading conditions</w:t>
      </w:r>
      <w:r>
        <w:tab/>
      </w:r>
      <w:r>
        <w:fldChar w:fldCharType="begin"/>
      </w:r>
      <w:r>
        <w:instrText xml:space="preserve"> PAGEREF _Toc18524 \h </w:instrText>
      </w:r>
      <w:r>
        <w:fldChar w:fldCharType="separate"/>
      </w:r>
      <w:r>
        <w:t>182</w:t>
      </w:r>
      <w:r>
        <w:fldChar w:fldCharType="end"/>
      </w:r>
    </w:p>
    <w:p>
      <w:pPr>
        <w:pStyle w:val="18"/>
        <w:tabs>
          <w:tab w:val="right" w:pos="1600"/>
          <w:tab w:val="right" w:leader="dot" w:pos="9641"/>
          <w:tab w:val="clear" w:pos="9639"/>
        </w:tabs>
      </w:pPr>
      <w:r>
        <w:rPr>
          <w:snapToGrid w:val="0"/>
          <w:lang w:val="en-US"/>
        </w:rPr>
        <w:t>8.3.1.1.2</w:t>
      </w:r>
      <w:r>
        <w:rPr>
          <w:snapToGrid w:val="0"/>
          <w:lang w:val="en-US"/>
        </w:rPr>
        <w:tab/>
      </w:r>
      <w:r>
        <w:rPr>
          <w:snapToGrid w:val="0"/>
          <w:lang w:val="en-US"/>
        </w:rPr>
        <w:t>Demodulation of NPDSCH (Cell-Specific Reference Symbols) in standalone mode for category NB1 and NB2</w:t>
      </w:r>
      <w:r>
        <w:tab/>
      </w:r>
      <w:r>
        <w:fldChar w:fldCharType="begin"/>
      </w:r>
      <w:r>
        <w:instrText xml:space="preserve"> PAGEREF _Toc20618 \h </w:instrText>
      </w:r>
      <w:r>
        <w:fldChar w:fldCharType="separate"/>
      </w:r>
      <w:r>
        <w:t>185</w:t>
      </w:r>
      <w:r>
        <w:fldChar w:fldCharType="end"/>
      </w:r>
    </w:p>
    <w:p>
      <w:pPr>
        <w:pStyle w:val="18"/>
        <w:tabs>
          <w:tab w:val="right" w:pos="1600"/>
          <w:tab w:val="right" w:leader="dot" w:pos="9641"/>
          <w:tab w:val="clear" w:pos="9639"/>
        </w:tabs>
      </w:pPr>
      <w:r>
        <w:rPr>
          <w:snapToGrid w:val="0"/>
          <w:lang w:val="en-US"/>
        </w:rPr>
        <w:t>8.3.1.1.3</w:t>
      </w:r>
      <w:r>
        <w:rPr>
          <w:snapToGrid w:val="0"/>
          <w:lang w:val="en-US"/>
        </w:rPr>
        <w:tab/>
      </w:r>
      <w:r>
        <w:rPr>
          <w:snapToGrid w:val="0"/>
        </w:rPr>
        <w:t>Demodulation of NPDSCH (Cell-Specific Reference Symbols) in standalone for NB2</w:t>
      </w:r>
      <w:r>
        <w:tab/>
      </w:r>
      <w:r>
        <w:fldChar w:fldCharType="begin"/>
      </w:r>
      <w:r>
        <w:instrText xml:space="preserve"> PAGEREF _Toc25638 \h </w:instrText>
      </w:r>
      <w:r>
        <w:fldChar w:fldCharType="separate"/>
      </w:r>
      <w:r>
        <w:t>187</w:t>
      </w:r>
      <w:r>
        <w:fldChar w:fldCharType="end"/>
      </w:r>
    </w:p>
    <w:p>
      <w:pPr>
        <w:pStyle w:val="19"/>
        <w:tabs>
          <w:tab w:val="right" w:pos="1600"/>
          <w:tab w:val="right" w:leader="dot" w:pos="9641"/>
          <w:tab w:val="clear" w:pos="9639"/>
        </w:tabs>
      </w:pPr>
      <w:r>
        <w:t>8.3.1.2</w:t>
      </w:r>
      <w:r>
        <w:tab/>
      </w:r>
      <w:r>
        <w:t>NPDCCH</w:t>
      </w:r>
      <w:r>
        <w:tab/>
      </w:r>
      <w:r>
        <w:fldChar w:fldCharType="begin"/>
      </w:r>
      <w:r>
        <w:instrText xml:space="preserve"> PAGEREF _Toc206 \h </w:instrText>
      </w:r>
      <w:r>
        <w:fldChar w:fldCharType="separate"/>
      </w:r>
      <w:r>
        <w:t>190</w:t>
      </w:r>
      <w:r>
        <w:fldChar w:fldCharType="end"/>
      </w:r>
    </w:p>
    <w:p>
      <w:pPr>
        <w:pStyle w:val="18"/>
        <w:tabs>
          <w:tab w:val="right" w:pos="1600"/>
          <w:tab w:val="right" w:leader="dot" w:pos="9641"/>
          <w:tab w:val="clear" w:pos="9639"/>
        </w:tabs>
      </w:pPr>
      <w:r>
        <w:rPr>
          <w:snapToGrid w:val="0"/>
          <w:lang w:val="en-US"/>
        </w:rPr>
        <w:t>8.3.1.2.1</w:t>
      </w:r>
      <w:r>
        <w:rPr>
          <w:snapToGrid w:val="0"/>
          <w:lang w:val="en-US"/>
        </w:rPr>
        <w:tab/>
      </w:r>
      <w:r>
        <w:rPr>
          <w:snapToGrid w:val="0"/>
          <w:kern w:val="2"/>
        </w:rPr>
        <w:t>Demodulation of NPDCCH single-antenna performance for category NB1 and NB2</w:t>
      </w:r>
      <w:r>
        <w:tab/>
      </w:r>
      <w:r>
        <w:fldChar w:fldCharType="begin"/>
      </w:r>
      <w:r>
        <w:instrText xml:space="preserve"> PAGEREF _Toc20621 \h </w:instrText>
      </w:r>
      <w:r>
        <w:fldChar w:fldCharType="separate"/>
      </w:r>
      <w:r>
        <w:t>191</w:t>
      </w:r>
      <w:r>
        <w:fldChar w:fldCharType="end"/>
      </w:r>
    </w:p>
    <w:p>
      <w:pPr>
        <w:pStyle w:val="54"/>
        <w:tabs>
          <w:tab w:val="right" w:leader="dot" w:pos="9641"/>
          <w:tab w:val="clear" w:pos="9639"/>
        </w:tabs>
      </w:pPr>
      <w:r>
        <w:t>Annex A (</w:t>
      </w:r>
      <w:r>
        <w:rPr>
          <w:rFonts w:hint="eastAsia"/>
        </w:rPr>
        <w:t>normative</w:t>
      </w:r>
      <w:r>
        <w:t>): Measurement Channels</w:t>
      </w:r>
      <w:r>
        <w:tab/>
      </w:r>
      <w:r>
        <w:fldChar w:fldCharType="begin"/>
      </w:r>
      <w:r>
        <w:instrText xml:space="preserve"> PAGEREF _Toc11161 \h </w:instrText>
      </w:r>
      <w:r>
        <w:fldChar w:fldCharType="separate"/>
      </w:r>
      <w:r>
        <w:t>194</w:t>
      </w:r>
      <w:r>
        <w:fldChar w:fldCharType="end"/>
      </w:r>
    </w:p>
    <w:p>
      <w:pPr>
        <w:pStyle w:val="22"/>
        <w:tabs>
          <w:tab w:val="right" w:pos="1200"/>
          <w:tab w:val="right" w:leader="dot" w:pos="9641"/>
          <w:tab w:val="clear" w:pos="9639"/>
        </w:tabs>
      </w:pPr>
      <w:r>
        <w:t>A.1</w:t>
      </w:r>
      <w:r>
        <w:tab/>
      </w:r>
      <w:r>
        <w:t>General</w:t>
      </w:r>
      <w:r>
        <w:tab/>
      </w:r>
      <w:r>
        <w:fldChar w:fldCharType="begin"/>
      </w:r>
      <w:r>
        <w:instrText xml:space="preserve"> PAGEREF _Toc18767 \h </w:instrText>
      </w:r>
      <w:r>
        <w:fldChar w:fldCharType="separate"/>
      </w:r>
      <w:r>
        <w:t>194</w:t>
      </w:r>
      <w:r>
        <w:fldChar w:fldCharType="end"/>
      </w:r>
    </w:p>
    <w:p>
      <w:pPr>
        <w:pStyle w:val="22"/>
        <w:tabs>
          <w:tab w:val="right" w:pos="1200"/>
          <w:tab w:val="right" w:leader="dot" w:pos="9641"/>
          <w:tab w:val="clear" w:pos="9639"/>
        </w:tabs>
      </w:pPr>
      <w:r>
        <w:t>A.2</w:t>
      </w:r>
      <w:r>
        <w:tab/>
      </w:r>
      <w:r>
        <w:t>UL reference measurement channels</w:t>
      </w:r>
      <w:r>
        <w:tab/>
      </w:r>
      <w:r>
        <w:fldChar w:fldCharType="begin"/>
      </w:r>
      <w:r>
        <w:instrText xml:space="preserve"> PAGEREF _Toc31377 \h </w:instrText>
      </w:r>
      <w:r>
        <w:fldChar w:fldCharType="separate"/>
      </w:r>
      <w:r>
        <w:t>195</w:t>
      </w:r>
      <w:r>
        <w:fldChar w:fldCharType="end"/>
      </w:r>
    </w:p>
    <w:p>
      <w:pPr>
        <w:pStyle w:val="21"/>
        <w:tabs>
          <w:tab w:val="right" w:pos="1200"/>
          <w:tab w:val="right" w:leader="dot" w:pos="9641"/>
          <w:tab w:val="clear" w:pos="9639"/>
        </w:tabs>
      </w:pPr>
      <w:r>
        <w:t>A.2.1</w:t>
      </w:r>
      <w:r>
        <w:tab/>
      </w:r>
      <w:r>
        <w:t>General</w:t>
      </w:r>
      <w:r>
        <w:tab/>
      </w:r>
      <w:r>
        <w:fldChar w:fldCharType="begin"/>
      </w:r>
      <w:r>
        <w:instrText xml:space="preserve"> PAGEREF _Toc17100 \h </w:instrText>
      </w:r>
      <w:r>
        <w:fldChar w:fldCharType="separate"/>
      </w:r>
      <w:r>
        <w:t>195</w:t>
      </w:r>
      <w:r>
        <w:fldChar w:fldCharType="end"/>
      </w:r>
    </w:p>
    <w:p>
      <w:pPr>
        <w:pStyle w:val="20"/>
        <w:tabs>
          <w:tab w:val="right" w:pos="1600"/>
          <w:tab w:val="right" w:leader="dot" w:pos="9641"/>
          <w:tab w:val="clear" w:pos="9639"/>
        </w:tabs>
      </w:pPr>
      <w:r>
        <w:rPr>
          <w:snapToGrid w:val="0"/>
        </w:rPr>
        <w:t>A.2.1.1</w:t>
      </w:r>
      <w:r>
        <w:rPr>
          <w:snapToGrid w:val="0"/>
        </w:rPr>
        <w:tab/>
      </w:r>
      <w:r>
        <w:rPr>
          <w:snapToGrid w:val="0"/>
        </w:rPr>
        <w:t>Applicability and common parameters</w:t>
      </w:r>
      <w:r>
        <w:tab/>
      </w:r>
      <w:r>
        <w:fldChar w:fldCharType="begin"/>
      </w:r>
      <w:r>
        <w:instrText xml:space="preserve"> PAGEREF _Toc9352 \h </w:instrText>
      </w:r>
      <w:r>
        <w:fldChar w:fldCharType="separate"/>
      </w:r>
      <w:r>
        <w:t>195</w:t>
      </w:r>
      <w:r>
        <w:fldChar w:fldCharType="end"/>
      </w:r>
    </w:p>
    <w:p>
      <w:pPr>
        <w:pStyle w:val="20"/>
        <w:tabs>
          <w:tab w:val="right" w:pos="1600"/>
          <w:tab w:val="right" w:leader="dot" w:pos="9641"/>
          <w:tab w:val="clear" w:pos="9639"/>
        </w:tabs>
      </w:pPr>
      <w:r>
        <w:rPr>
          <w:snapToGrid w:val="0"/>
        </w:rPr>
        <w:t>A.2.1.2</w:t>
      </w:r>
      <w:r>
        <w:rPr>
          <w:snapToGrid w:val="0"/>
        </w:rPr>
        <w:tab/>
      </w:r>
      <w:r>
        <w:rPr>
          <w:snapToGrid w:val="0"/>
        </w:rPr>
        <w:t>Determination of payload size</w:t>
      </w:r>
      <w:r>
        <w:tab/>
      </w:r>
      <w:r>
        <w:fldChar w:fldCharType="begin"/>
      </w:r>
      <w:r>
        <w:instrText xml:space="preserve"> PAGEREF _Toc9403 \h </w:instrText>
      </w:r>
      <w:r>
        <w:fldChar w:fldCharType="separate"/>
      </w:r>
      <w:r>
        <w:t>195</w:t>
      </w:r>
      <w:r>
        <w:fldChar w:fldCharType="end"/>
      </w:r>
    </w:p>
    <w:p>
      <w:pPr>
        <w:pStyle w:val="20"/>
        <w:tabs>
          <w:tab w:val="right" w:pos="1600"/>
          <w:tab w:val="right" w:leader="dot" w:pos="9641"/>
          <w:tab w:val="clear" w:pos="9639"/>
        </w:tabs>
      </w:pPr>
      <w:r>
        <w:rPr>
          <w:snapToGrid w:val="0"/>
        </w:rPr>
        <w:t>A.2.1.3</w:t>
      </w:r>
      <w:r>
        <w:rPr>
          <w:snapToGrid w:val="0"/>
        </w:rPr>
        <w:tab/>
      </w:r>
      <w:r>
        <w:rPr>
          <w:snapToGrid w:val="0"/>
        </w:rPr>
        <w:t>Overview of UL reference measurement channels</w:t>
      </w:r>
      <w:r>
        <w:tab/>
      </w:r>
      <w:r>
        <w:fldChar w:fldCharType="begin"/>
      </w:r>
      <w:r>
        <w:instrText xml:space="preserve"> PAGEREF _Toc30172 \h </w:instrText>
      </w:r>
      <w:r>
        <w:fldChar w:fldCharType="separate"/>
      </w:r>
      <w:r>
        <w:t>195</w:t>
      </w:r>
      <w:r>
        <w:fldChar w:fldCharType="end"/>
      </w:r>
    </w:p>
    <w:p>
      <w:pPr>
        <w:pStyle w:val="21"/>
        <w:tabs>
          <w:tab w:val="right" w:pos="1200"/>
          <w:tab w:val="right" w:leader="dot" w:pos="9641"/>
          <w:tab w:val="clear" w:pos="9639"/>
        </w:tabs>
      </w:pPr>
      <w:r>
        <w:t>A.2.2</w:t>
      </w:r>
      <w:r>
        <w:tab/>
      </w:r>
      <w:r>
        <w:t>Reference measurement channels for FDD</w:t>
      </w:r>
      <w:r>
        <w:tab/>
      </w:r>
      <w:r>
        <w:fldChar w:fldCharType="begin"/>
      </w:r>
      <w:r>
        <w:instrText xml:space="preserve"> PAGEREF _Toc1919 \h </w:instrText>
      </w:r>
      <w:r>
        <w:fldChar w:fldCharType="separate"/>
      </w:r>
      <w:r>
        <w:t>197</w:t>
      </w:r>
      <w:r>
        <w:fldChar w:fldCharType="end"/>
      </w:r>
    </w:p>
    <w:p>
      <w:pPr>
        <w:pStyle w:val="20"/>
        <w:tabs>
          <w:tab w:val="right" w:pos="1600"/>
          <w:tab w:val="right" w:leader="dot" w:pos="9641"/>
          <w:tab w:val="clear" w:pos="9639"/>
        </w:tabs>
      </w:pPr>
      <w:r>
        <w:rPr>
          <w:snapToGrid w:val="0"/>
        </w:rPr>
        <w:t>A.2.2.1</w:t>
      </w:r>
      <w:r>
        <w:rPr>
          <w:snapToGrid w:val="0"/>
        </w:rPr>
        <w:tab/>
      </w:r>
      <w:r>
        <w:rPr>
          <w:snapToGrid w:val="0"/>
        </w:rPr>
        <w:t>Full RB allocation</w:t>
      </w:r>
      <w:r>
        <w:tab/>
      </w:r>
      <w:r>
        <w:fldChar w:fldCharType="begin"/>
      </w:r>
      <w:r>
        <w:instrText xml:space="preserve"> PAGEREF _Toc5365 \h </w:instrText>
      </w:r>
      <w:r>
        <w:fldChar w:fldCharType="separate"/>
      </w:r>
      <w:r>
        <w:t>197</w:t>
      </w:r>
      <w:r>
        <w:fldChar w:fldCharType="end"/>
      </w:r>
    </w:p>
    <w:p>
      <w:pPr>
        <w:pStyle w:val="19"/>
        <w:tabs>
          <w:tab w:val="right" w:pos="1600"/>
          <w:tab w:val="right" w:leader="dot" w:pos="9641"/>
          <w:tab w:val="clear" w:pos="9639"/>
        </w:tabs>
      </w:pPr>
      <w:r>
        <w:t>A.2.2.1.1</w:t>
      </w:r>
      <w:r>
        <w:tab/>
      </w:r>
      <w:r>
        <w:t>QPSK</w:t>
      </w:r>
      <w:r>
        <w:tab/>
      </w:r>
      <w:r>
        <w:fldChar w:fldCharType="begin"/>
      </w:r>
      <w:r>
        <w:instrText xml:space="preserve"> PAGEREF _Toc28964 \h </w:instrText>
      </w:r>
      <w:r>
        <w:fldChar w:fldCharType="separate"/>
      </w:r>
      <w:r>
        <w:t>197</w:t>
      </w:r>
      <w:r>
        <w:fldChar w:fldCharType="end"/>
      </w:r>
    </w:p>
    <w:p>
      <w:pPr>
        <w:pStyle w:val="19"/>
        <w:tabs>
          <w:tab w:val="right" w:pos="1600"/>
          <w:tab w:val="right" w:leader="dot" w:pos="9641"/>
          <w:tab w:val="clear" w:pos="9639"/>
        </w:tabs>
      </w:pPr>
      <w:r>
        <w:t>A.2.2.1.2</w:t>
      </w:r>
      <w:r>
        <w:tab/>
      </w:r>
      <w:r>
        <w:t>16-QAM</w:t>
      </w:r>
      <w:r>
        <w:tab/>
      </w:r>
      <w:r>
        <w:fldChar w:fldCharType="begin"/>
      </w:r>
      <w:r>
        <w:instrText xml:space="preserve"> PAGEREF _Toc11217 \h </w:instrText>
      </w:r>
      <w:r>
        <w:fldChar w:fldCharType="separate"/>
      </w:r>
      <w:r>
        <w:t>197</w:t>
      </w:r>
      <w:r>
        <w:fldChar w:fldCharType="end"/>
      </w:r>
    </w:p>
    <w:p>
      <w:pPr>
        <w:pStyle w:val="20"/>
        <w:tabs>
          <w:tab w:val="right" w:pos="1600"/>
          <w:tab w:val="right" w:leader="dot" w:pos="9641"/>
          <w:tab w:val="clear" w:pos="9639"/>
        </w:tabs>
      </w:pPr>
      <w:r>
        <w:rPr>
          <w:snapToGrid w:val="0"/>
        </w:rPr>
        <w:t>A.2.2.2</w:t>
      </w:r>
      <w:r>
        <w:rPr>
          <w:snapToGrid w:val="0"/>
        </w:rPr>
        <w:tab/>
      </w:r>
      <w:r>
        <w:rPr>
          <w:snapToGrid w:val="0"/>
        </w:rPr>
        <w:t>Partial RB allocation</w:t>
      </w:r>
      <w:r>
        <w:tab/>
      </w:r>
      <w:r>
        <w:fldChar w:fldCharType="begin"/>
      </w:r>
      <w:r>
        <w:instrText xml:space="preserve"> PAGEREF _Toc14160 \h </w:instrText>
      </w:r>
      <w:r>
        <w:fldChar w:fldCharType="separate"/>
      </w:r>
      <w:r>
        <w:t>198</w:t>
      </w:r>
      <w:r>
        <w:fldChar w:fldCharType="end"/>
      </w:r>
    </w:p>
    <w:p>
      <w:pPr>
        <w:pStyle w:val="19"/>
        <w:tabs>
          <w:tab w:val="right" w:pos="1600"/>
          <w:tab w:val="right" w:leader="dot" w:pos="9641"/>
          <w:tab w:val="clear" w:pos="9639"/>
        </w:tabs>
      </w:pPr>
      <w:r>
        <w:t>A.2.2.2.1</w:t>
      </w:r>
      <w:r>
        <w:tab/>
      </w:r>
      <w:r>
        <w:t>QPSK</w:t>
      </w:r>
      <w:r>
        <w:tab/>
      </w:r>
      <w:r>
        <w:fldChar w:fldCharType="begin"/>
      </w:r>
      <w:r>
        <w:instrText xml:space="preserve"> PAGEREF _Toc9904 \h </w:instrText>
      </w:r>
      <w:r>
        <w:fldChar w:fldCharType="separate"/>
      </w:r>
      <w:r>
        <w:t>198</w:t>
      </w:r>
      <w:r>
        <w:fldChar w:fldCharType="end"/>
      </w:r>
    </w:p>
    <w:p>
      <w:pPr>
        <w:pStyle w:val="19"/>
        <w:tabs>
          <w:tab w:val="right" w:pos="1600"/>
          <w:tab w:val="right" w:leader="dot" w:pos="9641"/>
          <w:tab w:val="clear" w:pos="9639"/>
        </w:tabs>
      </w:pPr>
      <w:r>
        <w:t>A.2.2.2.2</w:t>
      </w:r>
      <w:r>
        <w:tab/>
      </w:r>
      <w:r>
        <w:t>16-QAM</w:t>
      </w:r>
      <w:r>
        <w:tab/>
      </w:r>
      <w:r>
        <w:fldChar w:fldCharType="begin"/>
      </w:r>
      <w:r>
        <w:instrText xml:space="preserve"> PAGEREF _Toc5546 \h </w:instrText>
      </w:r>
      <w:r>
        <w:fldChar w:fldCharType="separate"/>
      </w:r>
      <w:r>
        <w:t>198</w:t>
      </w:r>
      <w:r>
        <w:fldChar w:fldCharType="end"/>
      </w:r>
    </w:p>
    <w:p>
      <w:pPr>
        <w:pStyle w:val="20"/>
        <w:tabs>
          <w:tab w:val="right" w:pos="1600"/>
          <w:tab w:val="right" w:leader="dot" w:pos="9641"/>
          <w:tab w:val="clear" w:pos="9639"/>
        </w:tabs>
      </w:pPr>
      <w:r>
        <w:rPr>
          <w:snapToGrid w:val="0"/>
        </w:rPr>
        <w:t>A.2.2.3</w:t>
      </w:r>
      <w:r>
        <w:rPr>
          <w:snapToGrid w:val="0"/>
        </w:rPr>
        <w:tab/>
      </w:r>
      <w:r>
        <w:rPr>
          <w:rFonts w:hint="eastAsia" w:eastAsia="宋体"/>
          <w:snapToGrid w:val="0"/>
          <w:lang w:val="en-US" w:eastAsia="zh-CN"/>
        </w:rPr>
        <w:t>FFS</w:t>
      </w:r>
      <w:r>
        <w:tab/>
      </w:r>
      <w:r>
        <w:fldChar w:fldCharType="begin"/>
      </w:r>
      <w:r>
        <w:instrText xml:space="preserve"> PAGEREF _Toc31071 \h </w:instrText>
      </w:r>
      <w:r>
        <w:fldChar w:fldCharType="separate"/>
      </w:r>
      <w:r>
        <w:t>198</w:t>
      </w:r>
      <w:r>
        <w:fldChar w:fldCharType="end"/>
      </w:r>
    </w:p>
    <w:p>
      <w:pPr>
        <w:pStyle w:val="20"/>
        <w:tabs>
          <w:tab w:val="right" w:pos="1600"/>
          <w:tab w:val="right" w:leader="dot" w:pos="9641"/>
          <w:tab w:val="clear" w:pos="9639"/>
        </w:tabs>
      </w:pPr>
      <w:r>
        <w:rPr>
          <w:snapToGrid w:val="0"/>
        </w:rPr>
        <w:t>A.2.2.4</w:t>
      </w:r>
      <w:r>
        <w:rPr>
          <w:snapToGrid w:val="0"/>
        </w:rPr>
        <w:tab/>
      </w:r>
      <w:r>
        <w:rPr>
          <w:snapToGrid w:val="0"/>
        </w:rPr>
        <w:t>subPRB allocation</w:t>
      </w:r>
      <w:r>
        <w:tab/>
      </w:r>
      <w:r>
        <w:fldChar w:fldCharType="begin"/>
      </w:r>
      <w:r>
        <w:instrText xml:space="preserve"> PAGEREF _Toc17539 \h </w:instrText>
      </w:r>
      <w:r>
        <w:fldChar w:fldCharType="separate"/>
      </w:r>
      <w:r>
        <w:t>199</w:t>
      </w:r>
      <w:r>
        <w:fldChar w:fldCharType="end"/>
      </w:r>
    </w:p>
    <w:p>
      <w:pPr>
        <w:pStyle w:val="21"/>
        <w:tabs>
          <w:tab w:val="right" w:pos="1200"/>
          <w:tab w:val="right" w:leader="dot" w:pos="9641"/>
          <w:tab w:val="clear" w:pos="9639"/>
        </w:tabs>
      </w:pPr>
      <w:r>
        <w:t>A.2.3</w:t>
      </w:r>
      <w:r>
        <w:tab/>
      </w:r>
      <w:r>
        <w:t>FFS</w:t>
      </w:r>
      <w:r>
        <w:tab/>
      </w:r>
      <w:r>
        <w:fldChar w:fldCharType="begin"/>
      </w:r>
      <w:r>
        <w:instrText xml:space="preserve"> PAGEREF _Toc10174 \h </w:instrText>
      </w:r>
      <w:r>
        <w:fldChar w:fldCharType="separate"/>
      </w:r>
      <w:r>
        <w:t>199</w:t>
      </w:r>
      <w:r>
        <w:fldChar w:fldCharType="end"/>
      </w:r>
    </w:p>
    <w:p>
      <w:pPr>
        <w:pStyle w:val="21"/>
        <w:tabs>
          <w:tab w:val="right" w:pos="1200"/>
          <w:tab w:val="right" w:leader="dot" w:pos="9641"/>
          <w:tab w:val="clear" w:pos="9639"/>
        </w:tabs>
      </w:pPr>
      <w:r>
        <w:t>A.2.</w:t>
      </w:r>
      <w:r>
        <w:rPr>
          <w:lang w:eastAsia="zh-CN"/>
        </w:rPr>
        <w:t>4</w:t>
      </w:r>
      <w:r>
        <w:tab/>
      </w:r>
      <w:r>
        <w:t>Reference measurement channels for category NB1</w:t>
      </w:r>
      <w:r>
        <w:tab/>
      </w:r>
      <w:r>
        <w:fldChar w:fldCharType="begin"/>
      </w:r>
      <w:r>
        <w:instrText xml:space="preserve"> PAGEREF _Toc31176 \h </w:instrText>
      </w:r>
      <w:r>
        <w:fldChar w:fldCharType="separate"/>
      </w:r>
      <w:r>
        <w:t>199</w:t>
      </w:r>
      <w:r>
        <w:fldChar w:fldCharType="end"/>
      </w:r>
    </w:p>
    <w:p>
      <w:pPr>
        <w:pStyle w:val="22"/>
        <w:tabs>
          <w:tab w:val="right" w:pos="1200"/>
          <w:tab w:val="right" w:leader="dot" w:pos="9641"/>
          <w:tab w:val="clear" w:pos="9639"/>
        </w:tabs>
      </w:pPr>
      <w:r>
        <w:t>A.3</w:t>
      </w:r>
      <w:r>
        <w:tab/>
      </w:r>
      <w:r>
        <w:t>DL reference measurement channels</w:t>
      </w:r>
      <w:r>
        <w:tab/>
      </w:r>
      <w:r>
        <w:fldChar w:fldCharType="begin"/>
      </w:r>
      <w:r>
        <w:instrText xml:space="preserve"> PAGEREF _Toc29543 \h </w:instrText>
      </w:r>
      <w:r>
        <w:fldChar w:fldCharType="separate"/>
      </w:r>
      <w:r>
        <w:t>201</w:t>
      </w:r>
      <w:r>
        <w:fldChar w:fldCharType="end"/>
      </w:r>
    </w:p>
    <w:p>
      <w:pPr>
        <w:pStyle w:val="21"/>
        <w:tabs>
          <w:tab w:val="right" w:pos="1200"/>
          <w:tab w:val="right" w:leader="dot" w:pos="9641"/>
          <w:tab w:val="clear" w:pos="9639"/>
        </w:tabs>
      </w:pPr>
      <w:r>
        <w:t>A.3.1</w:t>
      </w:r>
      <w:r>
        <w:tab/>
      </w:r>
      <w:r>
        <w:t>General</w:t>
      </w:r>
      <w:r>
        <w:tab/>
      </w:r>
      <w:r>
        <w:fldChar w:fldCharType="begin"/>
      </w:r>
      <w:r>
        <w:instrText xml:space="preserve"> PAGEREF _Toc20102 \h </w:instrText>
      </w:r>
      <w:r>
        <w:fldChar w:fldCharType="separate"/>
      </w:r>
      <w:r>
        <w:t>201</w:t>
      </w:r>
      <w:r>
        <w:fldChar w:fldCharType="end"/>
      </w:r>
    </w:p>
    <w:p>
      <w:pPr>
        <w:pStyle w:val="20"/>
        <w:tabs>
          <w:tab w:val="right" w:pos="1600"/>
          <w:tab w:val="right" w:leader="dot" w:pos="9641"/>
          <w:tab w:val="clear" w:pos="9639"/>
        </w:tabs>
      </w:pPr>
      <w:r>
        <w:rPr>
          <w:snapToGrid w:val="0"/>
        </w:rPr>
        <w:t>A.3.1.1</w:t>
      </w:r>
      <w:r>
        <w:rPr>
          <w:snapToGrid w:val="0"/>
        </w:rPr>
        <w:tab/>
      </w:r>
      <w:r>
        <w:rPr>
          <w:snapToGrid w:val="0"/>
        </w:rPr>
        <w:t>Overview of DL reference measurement channels</w:t>
      </w:r>
      <w:r>
        <w:tab/>
      </w:r>
      <w:r>
        <w:fldChar w:fldCharType="begin"/>
      </w:r>
      <w:r>
        <w:instrText xml:space="preserve"> PAGEREF _Toc24484 \h </w:instrText>
      </w:r>
      <w:r>
        <w:fldChar w:fldCharType="separate"/>
      </w:r>
      <w:r>
        <w:t>201</w:t>
      </w:r>
      <w:r>
        <w:fldChar w:fldCharType="end"/>
      </w:r>
    </w:p>
    <w:p>
      <w:pPr>
        <w:pStyle w:val="21"/>
        <w:tabs>
          <w:tab w:val="right" w:pos="1200"/>
          <w:tab w:val="right" w:leader="dot" w:pos="9641"/>
          <w:tab w:val="clear" w:pos="9639"/>
        </w:tabs>
      </w:pPr>
      <w:r>
        <w:t>A.3.2</w:t>
      </w:r>
      <w:r>
        <w:tab/>
      </w:r>
      <w:r>
        <w:t>Reference measurement channel for receiver characteristics</w:t>
      </w:r>
      <w:r>
        <w:tab/>
      </w:r>
      <w:r>
        <w:fldChar w:fldCharType="begin"/>
      </w:r>
      <w:r>
        <w:instrText xml:space="preserve"> PAGEREF _Toc5511 \h </w:instrText>
      </w:r>
      <w:r>
        <w:fldChar w:fldCharType="separate"/>
      </w:r>
      <w:r>
        <w:t>202</w:t>
      </w:r>
      <w:r>
        <w:fldChar w:fldCharType="end"/>
      </w:r>
    </w:p>
    <w:p>
      <w:pPr>
        <w:pStyle w:val="21"/>
        <w:tabs>
          <w:tab w:val="right" w:pos="1600"/>
          <w:tab w:val="right" w:leader="dot" w:pos="9641"/>
          <w:tab w:val="clear" w:pos="9639"/>
        </w:tabs>
      </w:pPr>
      <w:r>
        <w:t>A.3.2A</w:t>
      </w:r>
      <w:r>
        <w:tab/>
      </w:r>
      <w:r>
        <w:t>Downlink Reference measurement channel for TX characteristics</w:t>
      </w:r>
      <w:r>
        <w:tab/>
      </w:r>
      <w:r>
        <w:fldChar w:fldCharType="begin"/>
      </w:r>
      <w:r>
        <w:instrText xml:space="preserve"> PAGEREF _Toc1565 \h </w:instrText>
      </w:r>
      <w:r>
        <w:fldChar w:fldCharType="separate"/>
      </w:r>
      <w:r>
        <w:t>206</w:t>
      </w:r>
      <w:r>
        <w:fldChar w:fldCharType="end"/>
      </w:r>
    </w:p>
    <w:p>
      <w:pPr>
        <w:pStyle w:val="21"/>
        <w:tabs>
          <w:tab w:val="right" w:pos="1200"/>
          <w:tab w:val="right" w:leader="dot" w:pos="9641"/>
          <w:tab w:val="clear" w:pos="9639"/>
        </w:tabs>
      </w:pPr>
      <w:r>
        <w:t>A.3.3</w:t>
      </w:r>
      <w:r>
        <w:tab/>
      </w:r>
      <w:r>
        <w:t>Reference measurement channel for PDSCH performance requirements (FDD)</w:t>
      </w:r>
      <w:r>
        <w:tab/>
      </w:r>
      <w:r>
        <w:fldChar w:fldCharType="begin"/>
      </w:r>
      <w:r>
        <w:instrText xml:space="preserve"> PAGEREF _Toc21450 \h </w:instrText>
      </w:r>
      <w:r>
        <w:fldChar w:fldCharType="separate"/>
      </w:r>
      <w:r>
        <w:t>208</w:t>
      </w:r>
      <w:r>
        <w:fldChar w:fldCharType="end"/>
      </w:r>
    </w:p>
    <w:p>
      <w:pPr>
        <w:pStyle w:val="20"/>
        <w:tabs>
          <w:tab w:val="right" w:pos="1600"/>
          <w:tab w:val="right" w:leader="dot" w:pos="9641"/>
          <w:tab w:val="clear" w:pos="9639"/>
        </w:tabs>
      </w:pPr>
      <w:r>
        <w:rPr>
          <w:lang w:eastAsia="en-GB"/>
        </w:rPr>
        <w:t>A.3.3.1</w:t>
      </w:r>
      <w:r>
        <w:rPr>
          <w:lang w:eastAsia="en-GB"/>
        </w:rPr>
        <w:tab/>
      </w:r>
      <w:r>
        <w:rPr>
          <w:lang w:eastAsia="en-GB"/>
        </w:rPr>
        <w:t>Single-antenna transmission (Common Reference Symbols)</w:t>
      </w:r>
      <w:r>
        <w:tab/>
      </w:r>
      <w:r>
        <w:fldChar w:fldCharType="begin"/>
      </w:r>
      <w:r>
        <w:instrText xml:space="preserve"> PAGEREF _Toc18914 \h </w:instrText>
      </w:r>
      <w:r>
        <w:fldChar w:fldCharType="separate"/>
      </w:r>
      <w:r>
        <w:t>208</w:t>
      </w:r>
      <w:r>
        <w:fldChar w:fldCharType="end"/>
      </w:r>
    </w:p>
    <w:p>
      <w:pPr>
        <w:pStyle w:val="21"/>
        <w:tabs>
          <w:tab w:val="right" w:pos="1200"/>
          <w:tab w:val="right" w:leader="dot" w:pos="9641"/>
          <w:tab w:val="clear" w:pos="9639"/>
        </w:tabs>
      </w:pPr>
      <w:r>
        <w:t>A.3.5</w:t>
      </w:r>
      <w:r>
        <w:tab/>
      </w:r>
      <w:r>
        <w:rPr>
          <w:rFonts w:eastAsia="宋体"/>
          <w:lang w:val="en-US" w:eastAsia="zh-CN"/>
        </w:rPr>
        <w:t>FFS</w:t>
      </w:r>
      <w:r>
        <w:tab/>
      </w:r>
      <w:r>
        <w:fldChar w:fldCharType="begin"/>
      </w:r>
      <w:r>
        <w:instrText xml:space="preserve"> PAGEREF _Toc20977 \h </w:instrText>
      </w:r>
      <w:r>
        <w:fldChar w:fldCharType="separate"/>
      </w:r>
      <w:r>
        <w:t>208</w:t>
      </w:r>
      <w:r>
        <w:fldChar w:fldCharType="end"/>
      </w:r>
    </w:p>
    <w:p>
      <w:pPr>
        <w:pStyle w:val="21"/>
        <w:tabs>
          <w:tab w:val="right" w:pos="1200"/>
          <w:tab w:val="right" w:leader="dot" w:pos="9641"/>
          <w:tab w:val="clear" w:pos="9639"/>
        </w:tabs>
      </w:pPr>
      <w:r>
        <w:t>A.3.7</w:t>
      </w:r>
      <w:r>
        <w:tab/>
      </w:r>
      <w:r>
        <w:t>FFS</w:t>
      </w:r>
      <w:r>
        <w:tab/>
      </w:r>
      <w:r>
        <w:fldChar w:fldCharType="begin"/>
      </w:r>
      <w:r>
        <w:instrText xml:space="preserve"> PAGEREF _Toc9138 \h </w:instrText>
      </w:r>
      <w:r>
        <w:fldChar w:fldCharType="separate"/>
      </w:r>
      <w:r>
        <w:t>208</w:t>
      </w:r>
      <w:r>
        <w:fldChar w:fldCharType="end"/>
      </w:r>
    </w:p>
    <w:p>
      <w:pPr>
        <w:pStyle w:val="21"/>
        <w:tabs>
          <w:tab w:val="right" w:pos="1200"/>
          <w:tab w:val="right" w:leader="dot" w:pos="9641"/>
          <w:tab w:val="clear" w:pos="9639"/>
        </w:tabs>
      </w:pPr>
      <w:r>
        <w:t>A.3.8</w:t>
      </w:r>
      <w:r>
        <w:tab/>
      </w:r>
      <w:r>
        <w:t>FFS</w:t>
      </w:r>
      <w:r>
        <w:tab/>
      </w:r>
      <w:r>
        <w:fldChar w:fldCharType="begin"/>
      </w:r>
      <w:r>
        <w:instrText xml:space="preserve"> PAGEREF _Toc13778 \h </w:instrText>
      </w:r>
      <w:r>
        <w:fldChar w:fldCharType="separate"/>
      </w:r>
      <w:r>
        <w:t>208</w:t>
      </w:r>
      <w:r>
        <w:fldChar w:fldCharType="end"/>
      </w:r>
    </w:p>
    <w:p>
      <w:pPr>
        <w:pStyle w:val="21"/>
        <w:tabs>
          <w:tab w:val="right" w:pos="1200"/>
          <w:tab w:val="right" w:leader="dot" w:pos="9641"/>
          <w:tab w:val="clear" w:pos="9639"/>
        </w:tabs>
      </w:pPr>
      <w:r>
        <w:rPr>
          <w:rFonts w:eastAsia="MS Mincho"/>
        </w:rPr>
        <w:t>A.3.9</w:t>
      </w:r>
      <w:r>
        <w:rPr>
          <w:rFonts w:eastAsia="MS Mincho"/>
        </w:rPr>
        <w:tab/>
      </w:r>
      <w:r>
        <w:rPr>
          <w:rFonts w:hint="eastAsia" w:eastAsia="宋体"/>
          <w:lang w:val="en-US" w:eastAsia="zh-CN"/>
        </w:rPr>
        <w:t>FFS</w:t>
      </w:r>
      <w:r>
        <w:tab/>
      </w:r>
      <w:r>
        <w:fldChar w:fldCharType="begin"/>
      </w:r>
      <w:r>
        <w:instrText xml:space="preserve"> PAGEREF _Toc22973 \h </w:instrText>
      </w:r>
      <w:r>
        <w:fldChar w:fldCharType="separate"/>
      </w:r>
      <w:r>
        <w:t>208</w:t>
      </w:r>
      <w:r>
        <w:fldChar w:fldCharType="end"/>
      </w:r>
    </w:p>
    <w:p>
      <w:pPr>
        <w:pStyle w:val="21"/>
        <w:tabs>
          <w:tab w:val="right" w:pos="1600"/>
          <w:tab w:val="right" w:leader="dot" w:pos="9641"/>
          <w:tab w:val="clear" w:pos="9639"/>
        </w:tabs>
      </w:pPr>
      <w:r>
        <w:t>A</w:t>
      </w:r>
      <w:r>
        <w:rPr>
          <w:lang w:eastAsia="zh-CN"/>
        </w:rPr>
        <w:t>.</w:t>
      </w:r>
      <w:r>
        <w:t>3.10</w:t>
      </w:r>
      <w:r>
        <w:tab/>
      </w:r>
      <w:r>
        <w:rPr>
          <w:rFonts w:hint="eastAsia" w:eastAsia="宋体"/>
          <w:lang w:val="en-US" w:eastAsia="zh-CN"/>
        </w:rPr>
        <w:t>FFS</w:t>
      </w:r>
      <w:r>
        <w:tab/>
      </w:r>
      <w:r>
        <w:fldChar w:fldCharType="begin"/>
      </w:r>
      <w:r>
        <w:instrText xml:space="preserve"> PAGEREF _Toc19913 \h </w:instrText>
      </w:r>
      <w:r>
        <w:fldChar w:fldCharType="separate"/>
      </w:r>
      <w:r>
        <w:t>209</w:t>
      </w:r>
      <w:r>
        <w:fldChar w:fldCharType="end"/>
      </w:r>
    </w:p>
    <w:p>
      <w:pPr>
        <w:pStyle w:val="21"/>
        <w:tabs>
          <w:tab w:val="right" w:pos="1600"/>
          <w:tab w:val="right" w:leader="dot" w:pos="9641"/>
          <w:tab w:val="clear" w:pos="9639"/>
        </w:tabs>
      </w:pPr>
      <w:r>
        <w:t>A.3.</w:t>
      </w:r>
      <w:r>
        <w:rPr>
          <w:lang w:eastAsia="zh-CN"/>
        </w:rPr>
        <w:t>11</w:t>
      </w:r>
      <w:r>
        <w:tab/>
      </w:r>
      <w:r>
        <w:t xml:space="preserve">Reference Measurement Channels for </w:t>
      </w:r>
      <w:r>
        <w:rPr>
          <w:lang w:eastAsia="zh-CN"/>
        </w:rPr>
        <w:t>M</w:t>
      </w:r>
      <w:r>
        <w:t>PDCCH performance requirements</w:t>
      </w:r>
      <w:r>
        <w:tab/>
      </w:r>
      <w:r>
        <w:fldChar w:fldCharType="begin"/>
      </w:r>
      <w:r>
        <w:instrText xml:space="preserve"> PAGEREF _Toc17968 \h </w:instrText>
      </w:r>
      <w:r>
        <w:fldChar w:fldCharType="separate"/>
      </w:r>
      <w:r>
        <w:t>209</w:t>
      </w:r>
      <w:r>
        <w:fldChar w:fldCharType="end"/>
      </w:r>
    </w:p>
    <w:p>
      <w:pPr>
        <w:pStyle w:val="20"/>
        <w:tabs>
          <w:tab w:val="right" w:pos="1600"/>
          <w:tab w:val="right" w:leader="dot" w:pos="9641"/>
          <w:tab w:val="clear" w:pos="9639"/>
        </w:tabs>
      </w:pPr>
      <w:r>
        <w:rPr>
          <w:rFonts w:eastAsia="MS Mincho"/>
        </w:rPr>
        <w:t>A.3.</w:t>
      </w:r>
      <w:r>
        <w:rPr>
          <w:lang w:eastAsia="zh-CN"/>
        </w:rPr>
        <w:t>11</w:t>
      </w:r>
      <w:r>
        <w:rPr>
          <w:rFonts w:eastAsia="MS Mincho"/>
        </w:rPr>
        <w:t>.1</w:t>
      </w:r>
      <w:r>
        <w:rPr>
          <w:rFonts w:eastAsia="MS Mincho"/>
        </w:rPr>
        <w:tab/>
      </w:r>
      <w:r>
        <w:rPr>
          <w:rFonts w:eastAsia="MS Mincho"/>
        </w:rPr>
        <w:t>FDD and half-duplex FDD</w:t>
      </w:r>
      <w:r>
        <w:tab/>
      </w:r>
      <w:r>
        <w:fldChar w:fldCharType="begin"/>
      </w:r>
      <w:r>
        <w:instrText xml:space="preserve"> PAGEREF _Toc17290 \h </w:instrText>
      </w:r>
      <w:r>
        <w:fldChar w:fldCharType="separate"/>
      </w:r>
      <w:r>
        <w:t>209</w:t>
      </w:r>
      <w:r>
        <w:fldChar w:fldCharType="end"/>
      </w:r>
    </w:p>
    <w:p>
      <w:pPr>
        <w:pStyle w:val="21"/>
        <w:tabs>
          <w:tab w:val="right" w:pos="1600"/>
          <w:tab w:val="right" w:leader="dot" w:pos="9641"/>
          <w:tab w:val="clear" w:pos="9639"/>
        </w:tabs>
      </w:pPr>
      <w:r>
        <w:t>A.3.12</w:t>
      </w:r>
      <w:r>
        <w:tab/>
      </w:r>
      <w:r>
        <w:t>Reference measurement channels for NPDSCH performance requirements</w:t>
      </w:r>
      <w:r>
        <w:tab/>
      </w:r>
      <w:r>
        <w:fldChar w:fldCharType="begin"/>
      </w:r>
      <w:r>
        <w:instrText xml:space="preserve"> PAGEREF _Toc11073 \h </w:instrText>
      </w:r>
      <w:r>
        <w:fldChar w:fldCharType="separate"/>
      </w:r>
      <w:r>
        <w:t>209</w:t>
      </w:r>
      <w:r>
        <w:fldChar w:fldCharType="end"/>
      </w:r>
    </w:p>
    <w:p>
      <w:pPr>
        <w:pStyle w:val="22"/>
        <w:tabs>
          <w:tab w:val="right" w:pos="1200"/>
          <w:tab w:val="right" w:leader="dot" w:pos="9641"/>
          <w:tab w:val="clear" w:pos="9639"/>
        </w:tabs>
      </w:pPr>
      <w:r>
        <w:t>A.4</w:t>
      </w:r>
      <w:r>
        <w:tab/>
      </w:r>
      <w:r>
        <w:t>CQI reference measurement channels</w:t>
      </w:r>
      <w:r>
        <w:tab/>
      </w:r>
      <w:r>
        <w:fldChar w:fldCharType="begin"/>
      </w:r>
      <w:r>
        <w:instrText xml:space="preserve"> PAGEREF _Toc23161 \h </w:instrText>
      </w:r>
      <w:r>
        <w:fldChar w:fldCharType="separate"/>
      </w:r>
      <w:r>
        <w:t>212</w:t>
      </w:r>
      <w:r>
        <w:fldChar w:fldCharType="end"/>
      </w:r>
    </w:p>
    <w:p>
      <w:pPr>
        <w:pStyle w:val="22"/>
        <w:tabs>
          <w:tab w:val="right" w:pos="1200"/>
          <w:tab w:val="right" w:leader="dot" w:pos="9641"/>
          <w:tab w:val="clear" w:pos="9639"/>
        </w:tabs>
      </w:pPr>
      <w:r>
        <w:t>A.5</w:t>
      </w:r>
      <w:r>
        <w:tab/>
      </w:r>
      <w:r>
        <w:t>OFDMA Channel Noise Generator (OCNG)</w:t>
      </w:r>
      <w:r>
        <w:tab/>
      </w:r>
      <w:r>
        <w:fldChar w:fldCharType="begin"/>
      </w:r>
      <w:r>
        <w:instrText xml:space="preserve"> PAGEREF _Toc18597 \h </w:instrText>
      </w:r>
      <w:r>
        <w:fldChar w:fldCharType="separate"/>
      </w:r>
      <w:r>
        <w:t>212</w:t>
      </w:r>
      <w:r>
        <w:fldChar w:fldCharType="end"/>
      </w:r>
    </w:p>
    <w:p>
      <w:pPr>
        <w:pStyle w:val="21"/>
        <w:tabs>
          <w:tab w:val="right" w:pos="1200"/>
          <w:tab w:val="right" w:leader="dot" w:pos="9641"/>
          <w:tab w:val="clear" w:pos="9639"/>
        </w:tabs>
      </w:pPr>
      <w:r>
        <w:t>A.5.1</w:t>
      </w:r>
      <w:r>
        <w:tab/>
      </w:r>
      <w:r>
        <w:t>OCNG Patterns for FDD</w:t>
      </w:r>
      <w:r>
        <w:tab/>
      </w:r>
      <w:r>
        <w:fldChar w:fldCharType="begin"/>
      </w:r>
      <w:r>
        <w:instrText xml:space="preserve"> PAGEREF _Toc15833 \h </w:instrText>
      </w:r>
      <w:r>
        <w:fldChar w:fldCharType="separate"/>
      </w:r>
      <w:r>
        <w:t>212</w:t>
      </w:r>
      <w:r>
        <w:fldChar w:fldCharType="end"/>
      </w:r>
    </w:p>
    <w:p>
      <w:pPr>
        <w:pStyle w:val="20"/>
        <w:tabs>
          <w:tab w:val="right" w:pos="1600"/>
          <w:tab w:val="right" w:leader="dot" w:pos="9641"/>
          <w:tab w:val="clear" w:pos="9639"/>
        </w:tabs>
      </w:pPr>
      <w:r>
        <w:rPr>
          <w:snapToGrid w:val="0"/>
        </w:rPr>
        <w:t>A.5.1.1</w:t>
      </w:r>
      <w:r>
        <w:rPr>
          <w:snapToGrid w:val="0"/>
        </w:rPr>
        <w:tab/>
      </w:r>
      <w:r>
        <w:rPr>
          <w:snapToGrid w:val="0"/>
        </w:rPr>
        <w:t>OCNG FDD pattern 1: One sided dynamic OCNG FDD pattern</w:t>
      </w:r>
      <w:r>
        <w:tab/>
      </w:r>
      <w:r>
        <w:fldChar w:fldCharType="begin"/>
      </w:r>
      <w:r>
        <w:instrText xml:space="preserve"> PAGEREF _Toc17799 \h </w:instrText>
      </w:r>
      <w:r>
        <w:fldChar w:fldCharType="separate"/>
      </w:r>
      <w:r>
        <w:t>212</w:t>
      </w:r>
      <w:r>
        <w:fldChar w:fldCharType="end"/>
      </w:r>
    </w:p>
    <w:p>
      <w:pPr>
        <w:pStyle w:val="20"/>
        <w:tabs>
          <w:tab w:val="right" w:pos="1600"/>
          <w:tab w:val="right" w:leader="dot" w:pos="9641"/>
          <w:tab w:val="clear" w:pos="9639"/>
        </w:tabs>
      </w:pPr>
      <w:r>
        <w:rPr>
          <w:snapToGrid w:val="0"/>
          <w:lang w:val="en-US" w:eastAsia="zh-TW"/>
        </w:rPr>
        <w:t>A</w:t>
      </w:r>
      <w:r>
        <w:rPr>
          <w:snapToGrid w:val="0"/>
          <w:lang w:val="en-US"/>
        </w:rPr>
        <w:t>.</w:t>
      </w:r>
      <w:r>
        <w:rPr>
          <w:rFonts w:eastAsia="宋体"/>
          <w:snapToGrid w:val="0"/>
          <w:lang w:val="en-US" w:eastAsia="zh-CN"/>
        </w:rPr>
        <w:t>5</w:t>
      </w:r>
      <w:r>
        <w:rPr>
          <w:snapToGrid w:val="0"/>
          <w:lang w:val="en-US"/>
        </w:rPr>
        <w:t>.</w:t>
      </w:r>
      <w:r>
        <w:rPr>
          <w:rFonts w:eastAsia="宋体"/>
          <w:snapToGrid w:val="0"/>
          <w:lang w:val="en-US" w:eastAsia="zh-CN"/>
        </w:rPr>
        <w:t>1</w:t>
      </w:r>
      <w:r>
        <w:rPr>
          <w:snapToGrid w:val="0"/>
          <w:lang w:val="en-US"/>
        </w:rPr>
        <w:t>.</w:t>
      </w:r>
      <w:r>
        <w:rPr>
          <w:snapToGrid w:val="0"/>
          <w:lang w:val="en-US" w:eastAsia="zh-CN"/>
        </w:rPr>
        <w:t>2</w:t>
      </w:r>
      <w:r>
        <w:rPr>
          <w:snapToGrid w:val="0"/>
          <w:lang w:val="en-US"/>
        </w:rPr>
        <w:tab/>
      </w:r>
      <w:r>
        <w:t xml:space="preserve">OCNG FDD Pattern </w:t>
      </w:r>
      <w:r>
        <w:rPr>
          <w:rFonts w:eastAsia="宋体"/>
          <w:lang w:val="en-US" w:eastAsia="zh-CN"/>
        </w:rPr>
        <w:t>2</w:t>
      </w:r>
      <w:r>
        <w:t>: Two sided dynamic OCNG FDD pattern</w:t>
      </w:r>
      <w:r>
        <w:tab/>
      </w:r>
      <w:r>
        <w:fldChar w:fldCharType="begin"/>
      </w:r>
      <w:r>
        <w:instrText xml:space="preserve"> PAGEREF _Toc17740 \h </w:instrText>
      </w:r>
      <w:r>
        <w:fldChar w:fldCharType="separate"/>
      </w:r>
      <w:r>
        <w:t>213</w:t>
      </w:r>
      <w:r>
        <w:fldChar w:fldCharType="end"/>
      </w:r>
    </w:p>
    <w:p>
      <w:pPr>
        <w:pStyle w:val="21"/>
        <w:tabs>
          <w:tab w:val="right" w:pos="1200"/>
          <w:tab w:val="right" w:leader="dot" w:pos="9641"/>
          <w:tab w:val="clear" w:pos="9639"/>
        </w:tabs>
      </w:pPr>
      <w:r>
        <w:t>A.5.2</w:t>
      </w:r>
      <w:r>
        <w:tab/>
      </w:r>
      <w:r>
        <w:rPr>
          <w:rFonts w:hint="eastAsia" w:eastAsia="宋体"/>
          <w:lang w:val="en-US" w:eastAsia="zh-CN"/>
        </w:rPr>
        <w:t>FFS</w:t>
      </w:r>
      <w:r>
        <w:tab/>
      </w:r>
      <w:r>
        <w:fldChar w:fldCharType="begin"/>
      </w:r>
      <w:r>
        <w:instrText xml:space="preserve"> PAGEREF _Toc23427 \h </w:instrText>
      </w:r>
      <w:r>
        <w:fldChar w:fldCharType="separate"/>
      </w:r>
      <w:r>
        <w:t>213</w:t>
      </w:r>
      <w:r>
        <w:fldChar w:fldCharType="end"/>
      </w:r>
    </w:p>
    <w:p>
      <w:pPr>
        <w:pStyle w:val="21"/>
        <w:tabs>
          <w:tab w:val="right" w:pos="1200"/>
          <w:tab w:val="right" w:leader="dot" w:pos="9641"/>
          <w:tab w:val="clear" w:pos="9639"/>
        </w:tabs>
      </w:pPr>
      <w:r>
        <w:t>A.5.3</w:t>
      </w:r>
      <w:r>
        <w:tab/>
      </w:r>
      <w:r>
        <w:t xml:space="preserve">OCNG Patterns for </w:t>
      </w:r>
      <w:r>
        <w:rPr>
          <w:lang w:eastAsia="zh-CN"/>
        </w:rPr>
        <w:t>Narrowband IoT</w:t>
      </w:r>
      <w:r>
        <w:tab/>
      </w:r>
      <w:r>
        <w:fldChar w:fldCharType="begin"/>
      </w:r>
      <w:r>
        <w:instrText xml:space="preserve"> PAGEREF _Toc2681 \h </w:instrText>
      </w:r>
      <w:r>
        <w:fldChar w:fldCharType="separate"/>
      </w:r>
      <w:r>
        <w:t>213</w:t>
      </w:r>
      <w:r>
        <w:fldChar w:fldCharType="end"/>
      </w:r>
    </w:p>
    <w:p>
      <w:pPr>
        <w:pStyle w:val="20"/>
        <w:tabs>
          <w:tab w:val="right" w:pos="1600"/>
          <w:tab w:val="right" w:leader="dot" w:pos="9641"/>
          <w:tab w:val="clear" w:pos="9639"/>
        </w:tabs>
      </w:pPr>
      <w:r>
        <w:rPr>
          <w:snapToGrid w:val="0"/>
        </w:rPr>
        <w:t>A.5.</w:t>
      </w:r>
      <w:r>
        <w:rPr>
          <w:snapToGrid w:val="0"/>
          <w:lang w:eastAsia="zh-CN"/>
        </w:rPr>
        <w:t>3</w:t>
      </w:r>
      <w:r>
        <w:rPr>
          <w:snapToGrid w:val="0"/>
        </w:rPr>
        <w:t>.1</w:t>
      </w:r>
      <w:r>
        <w:rPr>
          <w:snapToGrid w:val="0"/>
        </w:rPr>
        <w:tab/>
      </w:r>
      <w:r>
        <w:rPr>
          <w:lang w:eastAsia="zh-CN"/>
        </w:rPr>
        <w:t>Narrowband IoT</w:t>
      </w:r>
      <w:r>
        <w:rPr>
          <w:snapToGrid w:val="0"/>
        </w:rPr>
        <w:t xml:space="preserve"> OCNG pattern 1</w:t>
      </w:r>
      <w:r>
        <w:tab/>
      </w:r>
      <w:r>
        <w:fldChar w:fldCharType="begin"/>
      </w:r>
      <w:r>
        <w:instrText xml:space="preserve"> PAGEREF _Toc21044 \h </w:instrText>
      </w:r>
      <w:r>
        <w:fldChar w:fldCharType="separate"/>
      </w:r>
      <w:r>
        <w:t>214</w:t>
      </w:r>
      <w:r>
        <w:fldChar w:fldCharType="end"/>
      </w:r>
    </w:p>
    <w:p>
      <w:pPr>
        <w:pStyle w:val="54"/>
        <w:tabs>
          <w:tab w:val="right" w:leader="dot" w:pos="9641"/>
          <w:tab w:val="clear" w:pos="9639"/>
        </w:tabs>
      </w:pPr>
      <w:r>
        <w:t>Annex B (</w:t>
      </w:r>
      <w:r>
        <w:rPr>
          <w:lang w:eastAsia="en-GB"/>
        </w:rPr>
        <w:t>normative</w:t>
      </w:r>
      <w:r>
        <w:t>): Propagation Conditions</w:t>
      </w:r>
      <w:r>
        <w:tab/>
      </w:r>
      <w:r>
        <w:fldChar w:fldCharType="begin"/>
      </w:r>
      <w:r>
        <w:instrText xml:space="preserve"> PAGEREF _Toc16605 \h </w:instrText>
      </w:r>
      <w:r>
        <w:fldChar w:fldCharType="separate"/>
      </w:r>
      <w:r>
        <w:t>214</w:t>
      </w:r>
      <w:r>
        <w:fldChar w:fldCharType="end"/>
      </w:r>
    </w:p>
    <w:p>
      <w:pPr>
        <w:pStyle w:val="22"/>
        <w:tabs>
          <w:tab w:val="right" w:pos="1200"/>
          <w:tab w:val="right" w:leader="dot" w:pos="9641"/>
          <w:tab w:val="clear" w:pos="9639"/>
        </w:tabs>
      </w:pPr>
      <w:r>
        <w:t>B.0</w:t>
      </w:r>
      <w:r>
        <w:tab/>
      </w:r>
      <w:r>
        <w:t>No interference</w:t>
      </w:r>
      <w:r>
        <w:tab/>
      </w:r>
      <w:r>
        <w:fldChar w:fldCharType="begin"/>
      </w:r>
      <w:r>
        <w:instrText xml:space="preserve"> PAGEREF _Toc6215 \h </w:instrText>
      </w:r>
      <w:r>
        <w:fldChar w:fldCharType="separate"/>
      </w:r>
      <w:r>
        <w:t>214</w:t>
      </w:r>
      <w:r>
        <w:fldChar w:fldCharType="end"/>
      </w:r>
    </w:p>
    <w:p>
      <w:pPr>
        <w:pStyle w:val="22"/>
        <w:tabs>
          <w:tab w:val="right" w:pos="1200"/>
          <w:tab w:val="right" w:leader="dot" w:pos="9641"/>
          <w:tab w:val="clear" w:pos="9639"/>
        </w:tabs>
      </w:pPr>
      <w:r>
        <w:t>B.1</w:t>
      </w:r>
      <w:r>
        <w:tab/>
      </w:r>
      <w:r>
        <w:t>Static propagation condition</w:t>
      </w:r>
      <w:r>
        <w:tab/>
      </w:r>
      <w:r>
        <w:fldChar w:fldCharType="begin"/>
      </w:r>
      <w:r>
        <w:instrText xml:space="preserve"> PAGEREF _Toc2311 \h </w:instrText>
      </w:r>
      <w:r>
        <w:fldChar w:fldCharType="separate"/>
      </w:r>
      <w:r>
        <w:t>214</w:t>
      </w:r>
      <w:r>
        <w:fldChar w:fldCharType="end"/>
      </w:r>
    </w:p>
    <w:p>
      <w:pPr>
        <w:pStyle w:val="21"/>
        <w:tabs>
          <w:tab w:val="right" w:pos="1200"/>
          <w:tab w:val="right" w:leader="dot" w:pos="9641"/>
          <w:tab w:val="clear" w:pos="9639"/>
        </w:tabs>
      </w:pPr>
      <w:r>
        <w:t>B.1.1</w:t>
      </w:r>
      <w:r>
        <w:tab/>
      </w:r>
      <w:r>
        <w:t>Definition of Additive White Gaussian Noise (AWGN) Interferer</w:t>
      </w:r>
      <w:r>
        <w:tab/>
      </w:r>
      <w:r>
        <w:fldChar w:fldCharType="begin"/>
      </w:r>
      <w:r>
        <w:instrText xml:space="preserve"> PAGEREF _Toc28226 \h </w:instrText>
      </w:r>
      <w:r>
        <w:fldChar w:fldCharType="separate"/>
      </w:r>
      <w:r>
        <w:t>215</w:t>
      </w:r>
      <w:r>
        <w:fldChar w:fldCharType="end"/>
      </w:r>
    </w:p>
    <w:p>
      <w:pPr>
        <w:pStyle w:val="22"/>
        <w:tabs>
          <w:tab w:val="right" w:pos="1200"/>
          <w:tab w:val="right" w:leader="dot" w:pos="9641"/>
          <w:tab w:val="clear" w:pos="9639"/>
        </w:tabs>
      </w:pPr>
      <w:r>
        <w:t>B.2</w:t>
      </w:r>
      <w:r>
        <w:tab/>
      </w:r>
      <w:r>
        <w:t>Multi-path fading Propagation Conditions</w:t>
      </w:r>
      <w:r>
        <w:tab/>
      </w:r>
      <w:r>
        <w:fldChar w:fldCharType="begin"/>
      </w:r>
      <w:r>
        <w:instrText xml:space="preserve"> PAGEREF _Toc720 \h </w:instrText>
      </w:r>
      <w:r>
        <w:fldChar w:fldCharType="separate"/>
      </w:r>
      <w:r>
        <w:t>215</w:t>
      </w:r>
      <w:r>
        <w:fldChar w:fldCharType="end"/>
      </w:r>
    </w:p>
    <w:p>
      <w:pPr>
        <w:pStyle w:val="21"/>
        <w:tabs>
          <w:tab w:val="right" w:pos="1200"/>
          <w:tab w:val="right" w:leader="dot" w:pos="9641"/>
          <w:tab w:val="clear" w:pos="9639"/>
        </w:tabs>
      </w:pPr>
      <w:r>
        <w:rPr>
          <w:snapToGrid w:val="0"/>
        </w:rPr>
        <w:t>B.2.1</w:t>
      </w:r>
      <w:r>
        <w:rPr>
          <w:snapToGrid w:val="0"/>
        </w:rPr>
        <w:tab/>
      </w:r>
      <w:r>
        <w:rPr>
          <w:snapToGrid w:val="0"/>
        </w:rPr>
        <w:t>Delay profiles</w:t>
      </w:r>
      <w:r>
        <w:tab/>
      </w:r>
      <w:r>
        <w:fldChar w:fldCharType="begin"/>
      </w:r>
      <w:r>
        <w:instrText xml:space="preserve"> PAGEREF _Toc30809 \h </w:instrText>
      </w:r>
      <w:r>
        <w:fldChar w:fldCharType="separate"/>
      </w:r>
      <w:r>
        <w:t>215</w:t>
      </w:r>
      <w:r>
        <w:fldChar w:fldCharType="end"/>
      </w:r>
    </w:p>
    <w:p>
      <w:pPr>
        <w:pStyle w:val="21"/>
        <w:tabs>
          <w:tab w:val="right" w:pos="1200"/>
          <w:tab w:val="right" w:leader="dot" w:pos="9641"/>
          <w:tab w:val="clear" w:pos="9639"/>
        </w:tabs>
      </w:pPr>
      <w:r>
        <w:t>B.2.2</w:t>
      </w:r>
      <w:r>
        <w:tab/>
      </w:r>
      <w:r>
        <w:t>Combinations of channel model parameters</w:t>
      </w:r>
      <w:r>
        <w:tab/>
      </w:r>
      <w:r>
        <w:fldChar w:fldCharType="begin"/>
      </w:r>
      <w:r>
        <w:instrText xml:space="preserve"> PAGEREF _Toc15958 \h </w:instrText>
      </w:r>
      <w:r>
        <w:fldChar w:fldCharType="separate"/>
      </w:r>
      <w:r>
        <w:t>216</w:t>
      </w:r>
      <w:r>
        <w:fldChar w:fldCharType="end"/>
      </w:r>
    </w:p>
    <w:p>
      <w:pPr>
        <w:pStyle w:val="54"/>
        <w:tabs>
          <w:tab w:val="right" w:leader="dot" w:pos="9641"/>
          <w:tab w:val="clear" w:pos="9639"/>
        </w:tabs>
      </w:pPr>
      <w:r>
        <w:t>Annex C (</w:t>
      </w:r>
      <w:r>
        <w:rPr>
          <w:lang w:eastAsia="en-GB"/>
        </w:rPr>
        <w:t>normative</w:t>
      </w:r>
      <w:r>
        <w:t>): Downlink Physical Channels</w:t>
      </w:r>
      <w:r>
        <w:tab/>
      </w:r>
      <w:r>
        <w:fldChar w:fldCharType="begin"/>
      </w:r>
      <w:r>
        <w:instrText xml:space="preserve"> PAGEREF _Toc30723 \h </w:instrText>
      </w:r>
      <w:r>
        <w:fldChar w:fldCharType="separate"/>
      </w:r>
      <w:r>
        <w:t>217</w:t>
      </w:r>
      <w:r>
        <w:fldChar w:fldCharType="end"/>
      </w:r>
    </w:p>
    <w:p>
      <w:pPr>
        <w:pStyle w:val="22"/>
        <w:tabs>
          <w:tab w:val="right" w:pos="1200"/>
          <w:tab w:val="right" w:leader="dot" w:pos="9641"/>
          <w:tab w:val="clear" w:pos="9639"/>
        </w:tabs>
      </w:pPr>
      <w:r>
        <w:t>C.0</w:t>
      </w:r>
      <w:r>
        <w:tab/>
      </w:r>
      <w:r>
        <w:t>Downlink signal levels</w:t>
      </w:r>
      <w:r>
        <w:tab/>
      </w:r>
      <w:r>
        <w:fldChar w:fldCharType="begin"/>
      </w:r>
      <w:r>
        <w:instrText xml:space="preserve"> PAGEREF _Toc27071 \h </w:instrText>
      </w:r>
      <w:r>
        <w:fldChar w:fldCharType="separate"/>
      </w:r>
      <w:r>
        <w:t>217</w:t>
      </w:r>
      <w:r>
        <w:fldChar w:fldCharType="end"/>
      </w:r>
    </w:p>
    <w:p>
      <w:pPr>
        <w:pStyle w:val="22"/>
        <w:tabs>
          <w:tab w:val="right" w:pos="1200"/>
          <w:tab w:val="right" w:leader="dot" w:pos="9641"/>
          <w:tab w:val="clear" w:pos="9639"/>
        </w:tabs>
      </w:pPr>
      <w:r>
        <w:t>C.1</w:t>
      </w:r>
      <w:r>
        <w:tab/>
      </w:r>
      <w:r>
        <w:t>General</w:t>
      </w:r>
      <w:r>
        <w:tab/>
      </w:r>
      <w:r>
        <w:fldChar w:fldCharType="begin"/>
      </w:r>
      <w:r>
        <w:instrText xml:space="preserve"> PAGEREF _Toc13107 \h </w:instrText>
      </w:r>
      <w:r>
        <w:fldChar w:fldCharType="separate"/>
      </w:r>
      <w:r>
        <w:t>217</w:t>
      </w:r>
      <w:r>
        <w:fldChar w:fldCharType="end"/>
      </w:r>
    </w:p>
    <w:p>
      <w:pPr>
        <w:pStyle w:val="22"/>
        <w:tabs>
          <w:tab w:val="right" w:pos="1200"/>
          <w:tab w:val="right" w:leader="dot" w:pos="9641"/>
          <w:tab w:val="clear" w:pos="9639"/>
        </w:tabs>
      </w:pPr>
      <w:r>
        <w:t>C.2</w:t>
      </w:r>
      <w:r>
        <w:tab/>
      </w:r>
      <w:r>
        <w:t>Set-up</w:t>
      </w:r>
      <w:r>
        <w:tab/>
      </w:r>
      <w:r>
        <w:fldChar w:fldCharType="begin"/>
      </w:r>
      <w:r>
        <w:instrText xml:space="preserve"> PAGEREF _Toc18953 \h </w:instrText>
      </w:r>
      <w:r>
        <w:fldChar w:fldCharType="separate"/>
      </w:r>
      <w:r>
        <w:t>221</w:t>
      </w:r>
      <w:r>
        <w:fldChar w:fldCharType="end"/>
      </w:r>
    </w:p>
    <w:p>
      <w:pPr>
        <w:pStyle w:val="22"/>
        <w:tabs>
          <w:tab w:val="right" w:pos="1200"/>
          <w:tab w:val="right" w:leader="dot" w:pos="9641"/>
          <w:tab w:val="clear" w:pos="9639"/>
        </w:tabs>
      </w:pPr>
      <w:r>
        <w:t>C.3</w:t>
      </w:r>
      <w:r>
        <w:tab/>
      </w:r>
      <w:r>
        <w:t>Connection</w:t>
      </w:r>
      <w:r>
        <w:tab/>
      </w:r>
      <w:r>
        <w:fldChar w:fldCharType="begin"/>
      </w:r>
      <w:r>
        <w:instrText xml:space="preserve"> PAGEREF _Toc32354 \h </w:instrText>
      </w:r>
      <w:r>
        <w:fldChar w:fldCharType="separate"/>
      </w:r>
      <w:r>
        <w:t>222</w:t>
      </w:r>
      <w:r>
        <w:fldChar w:fldCharType="end"/>
      </w:r>
    </w:p>
    <w:p>
      <w:pPr>
        <w:pStyle w:val="21"/>
        <w:tabs>
          <w:tab w:val="right" w:pos="1200"/>
          <w:tab w:val="right" w:leader="dot" w:pos="9641"/>
          <w:tab w:val="clear" w:pos="9639"/>
        </w:tabs>
      </w:pPr>
      <w:r>
        <w:t>C.3.0</w:t>
      </w:r>
      <w:r>
        <w:tab/>
      </w:r>
      <w:r>
        <w:t>Measurement of Transmitter Characteristics</w:t>
      </w:r>
      <w:r>
        <w:tab/>
      </w:r>
      <w:r>
        <w:fldChar w:fldCharType="begin"/>
      </w:r>
      <w:r>
        <w:instrText xml:space="preserve"> PAGEREF _Toc16247 \h </w:instrText>
      </w:r>
      <w:r>
        <w:fldChar w:fldCharType="separate"/>
      </w:r>
      <w:r>
        <w:t>222</w:t>
      </w:r>
      <w:r>
        <w:fldChar w:fldCharType="end"/>
      </w:r>
    </w:p>
    <w:p>
      <w:pPr>
        <w:pStyle w:val="21"/>
        <w:tabs>
          <w:tab w:val="right" w:pos="1200"/>
          <w:tab w:val="right" w:leader="dot" w:pos="9641"/>
          <w:tab w:val="clear" w:pos="9639"/>
        </w:tabs>
      </w:pPr>
      <w:r>
        <w:t>C.3.1</w:t>
      </w:r>
      <w:r>
        <w:tab/>
      </w:r>
      <w:r>
        <w:t>Measurement of Receiver Characteristics</w:t>
      </w:r>
      <w:r>
        <w:tab/>
      </w:r>
      <w:r>
        <w:fldChar w:fldCharType="begin"/>
      </w:r>
      <w:r>
        <w:instrText xml:space="preserve"> PAGEREF _Toc18374 \h </w:instrText>
      </w:r>
      <w:r>
        <w:fldChar w:fldCharType="separate"/>
      </w:r>
      <w:r>
        <w:t>223</w:t>
      </w:r>
      <w:r>
        <w:fldChar w:fldCharType="end"/>
      </w:r>
    </w:p>
    <w:p>
      <w:pPr>
        <w:pStyle w:val="21"/>
        <w:tabs>
          <w:tab w:val="right" w:pos="1200"/>
          <w:tab w:val="right" w:leader="dot" w:pos="9641"/>
          <w:tab w:val="clear" w:pos="9639"/>
        </w:tabs>
      </w:pPr>
      <w:r>
        <w:t>C.3.2</w:t>
      </w:r>
      <w:r>
        <w:tab/>
      </w:r>
      <w:r>
        <w:t>Measurement of Performance requirements</w:t>
      </w:r>
      <w:r>
        <w:tab/>
      </w:r>
      <w:r>
        <w:fldChar w:fldCharType="begin"/>
      </w:r>
      <w:r>
        <w:instrText xml:space="preserve"> PAGEREF _Toc23137 \h </w:instrText>
      </w:r>
      <w:r>
        <w:fldChar w:fldCharType="separate"/>
      </w:r>
      <w:r>
        <w:t>224</w:t>
      </w:r>
      <w:r>
        <w:fldChar w:fldCharType="end"/>
      </w:r>
    </w:p>
    <w:p>
      <w:pPr>
        <w:pStyle w:val="21"/>
        <w:tabs>
          <w:tab w:val="right" w:pos="1200"/>
          <w:tab w:val="right" w:leader="dot" w:pos="9641"/>
          <w:tab w:val="clear" w:pos="9639"/>
        </w:tabs>
      </w:pPr>
      <w:r>
        <w:rPr>
          <w:rFonts w:eastAsia="宋体"/>
          <w:lang w:val="en-US" w:eastAsia="zh-CN"/>
        </w:rPr>
        <w:t>C</w:t>
      </w:r>
      <w:r>
        <w:rPr>
          <w:lang w:val="en-US"/>
        </w:rPr>
        <w:t>.3.3</w:t>
      </w:r>
      <w:r>
        <w:rPr>
          <w:lang w:val="en-US"/>
        </w:rPr>
        <w:tab/>
      </w:r>
      <w:r>
        <w:rPr>
          <w:lang w:val="en-US"/>
        </w:rPr>
        <w:t>Measurement of Receiver Characteristics for Narrowband IoT</w:t>
      </w:r>
      <w:r>
        <w:tab/>
      </w:r>
      <w:r>
        <w:fldChar w:fldCharType="begin"/>
      </w:r>
      <w:r>
        <w:instrText xml:space="preserve"> PAGEREF _Toc13677 \h </w:instrText>
      </w:r>
      <w:r>
        <w:fldChar w:fldCharType="separate"/>
      </w:r>
      <w:r>
        <w:t>225</w:t>
      </w:r>
      <w:r>
        <w:fldChar w:fldCharType="end"/>
      </w:r>
    </w:p>
    <w:p>
      <w:pPr>
        <w:pStyle w:val="54"/>
        <w:tabs>
          <w:tab w:val="right" w:leader="dot" w:pos="9641"/>
          <w:tab w:val="clear" w:pos="9639"/>
        </w:tabs>
      </w:pPr>
      <w:r>
        <w:t>Annex D (</w:t>
      </w:r>
      <w:r>
        <w:rPr>
          <w:lang w:eastAsia="en-GB"/>
        </w:rPr>
        <w:t>normative</w:t>
      </w:r>
      <w:r>
        <w:t>): Characteristics of the Interfering Signal</w:t>
      </w:r>
      <w:r>
        <w:tab/>
      </w:r>
      <w:r>
        <w:fldChar w:fldCharType="begin"/>
      </w:r>
      <w:r>
        <w:instrText xml:space="preserve"> PAGEREF _Toc27493 \h </w:instrText>
      </w:r>
      <w:r>
        <w:fldChar w:fldCharType="separate"/>
      </w:r>
      <w:r>
        <w:t>225</w:t>
      </w:r>
      <w:r>
        <w:fldChar w:fldCharType="end"/>
      </w:r>
    </w:p>
    <w:p>
      <w:pPr>
        <w:pStyle w:val="22"/>
        <w:tabs>
          <w:tab w:val="right" w:pos="1200"/>
          <w:tab w:val="right" w:leader="dot" w:pos="9641"/>
          <w:tab w:val="clear" w:pos="9639"/>
        </w:tabs>
      </w:pPr>
      <w:r>
        <w:t>D.1</w:t>
      </w:r>
      <w:r>
        <w:tab/>
      </w:r>
      <w:r>
        <w:t>General</w:t>
      </w:r>
      <w:r>
        <w:tab/>
      </w:r>
      <w:r>
        <w:fldChar w:fldCharType="begin"/>
      </w:r>
      <w:r>
        <w:instrText xml:space="preserve"> PAGEREF _Toc13593 \h </w:instrText>
      </w:r>
      <w:r>
        <w:fldChar w:fldCharType="separate"/>
      </w:r>
      <w:r>
        <w:t>225</w:t>
      </w:r>
      <w:r>
        <w:fldChar w:fldCharType="end"/>
      </w:r>
    </w:p>
    <w:p>
      <w:pPr>
        <w:pStyle w:val="22"/>
        <w:tabs>
          <w:tab w:val="right" w:pos="1200"/>
          <w:tab w:val="right" w:leader="dot" w:pos="9641"/>
          <w:tab w:val="clear" w:pos="9639"/>
        </w:tabs>
      </w:pPr>
      <w:r>
        <w:t>D.2</w:t>
      </w:r>
      <w:r>
        <w:tab/>
      </w:r>
      <w:r>
        <w:t>Interference signals</w:t>
      </w:r>
      <w:r>
        <w:tab/>
      </w:r>
      <w:r>
        <w:fldChar w:fldCharType="begin"/>
      </w:r>
      <w:r>
        <w:instrText xml:space="preserve"> PAGEREF _Toc4691 \h </w:instrText>
      </w:r>
      <w:r>
        <w:fldChar w:fldCharType="separate"/>
      </w:r>
      <w:r>
        <w:t>226</w:t>
      </w:r>
      <w:r>
        <w:fldChar w:fldCharType="end"/>
      </w:r>
    </w:p>
    <w:p>
      <w:pPr>
        <w:pStyle w:val="54"/>
        <w:tabs>
          <w:tab w:val="right" w:leader="dot" w:pos="9641"/>
          <w:tab w:val="clear" w:pos="9639"/>
        </w:tabs>
      </w:pPr>
      <w:r>
        <w:t>Annex E (no</w:t>
      </w:r>
      <w:r>
        <w:rPr>
          <w:lang w:eastAsia="en-GB"/>
        </w:rPr>
        <w:t>rmative</w:t>
      </w:r>
      <w:r>
        <w:t>): Global In-Channel TX-Test</w:t>
      </w:r>
      <w:r>
        <w:tab/>
      </w:r>
      <w:r>
        <w:fldChar w:fldCharType="begin"/>
      </w:r>
      <w:r>
        <w:instrText xml:space="preserve"> PAGEREF _Toc5136 \h </w:instrText>
      </w:r>
      <w:r>
        <w:fldChar w:fldCharType="separate"/>
      </w:r>
      <w:r>
        <w:t>226</w:t>
      </w:r>
      <w:r>
        <w:fldChar w:fldCharType="end"/>
      </w:r>
    </w:p>
    <w:p>
      <w:pPr>
        <w:pStyle w:val="22"/>
        <w:tabs>
          <w:tab w:val="right" w:pos="1200"/>
          <w:tab w:val="right" w:leader="dot" w:pos="9641"/>
          <w:tab w:val="clear" w:pos="9639"/>
        </w:tabs>
      </w:pPr>
      <w:r>
        <w:rPr>
          <w:snapToGrid w:val="0"/>
        </w:rPr>
        <w:t>E.1</w:t>
      </w:r>
      <w:r>
        <w:rPr>
          <w:snapToGrid w:val="0"/>
        </w:rPr>
        <w:tab/>
      </w:r>
      <w:r>
        <w:rPr>
          <w:snapToGrid w:val="0"/>
        </w:rPr>
        <w:t>General</w:t>
      </w:r>
      <w:r>
        <w:tab/>
      </w:r>
      <w:r>
        <w:fldChar w:fldCharType="begin"/>
      </w:r>
      <w:r>
        <w:instrText xml:space="preserve"> PAGEREF _Toc10571 \h </w:instrText>
      </w:r>
      <w:r>
        <w:fldChar w:fldCharType="separate"/>
      </w:r>
      <w:r>
        <w:t>226</w:t>
      </w:r>
      <w:r>
        <w:fldChar w:fldCharType="end"/>
      </w:r>
    </w:p>
    <w:p>
      <w:pPr>
        <w:pStyle w:val="22"/>
        <w:tabs>
          <w:tab w:val="right" w:pos="1200"/>
          <w:tab w:val="right" w:leader="dot" w:pos="9641"/>
          <w:tab w:val="clear" w:pos="9639"/>
        </w:tabs>
      </w:pPr>
      <w:r>
        <w:t>E.2</w:t>
      </w:r>
      <w:r>
        <w:tab/>
      </w:r>
      <w:r>
        <w:t>Signals and results</w:t>
      </w:r>
      <w:r>
        <w:tab/>
      </w:r>
      <w:r>
        <w:fldChar w:fldCharType="begin"/>
      </w:r>
      <w:r>
        <w:instrText xml:space="preserve"> PAGEREF _Toc9780 \h </w:instrText>
      </w:r>
      <w:r>
        <w:fldChar w:fldCharType="separate"/>
      </w:r>
      <w:r>
        <w:t>226</w:t>
      </w:r>
      <w:r>
        <w:fldChar w:fldCharType="end"/>
      </w:r>
    </w:p>
    <w:p>
      <w:pPr>
        <w:pStyle w:val="21"/>
        <w:tabs>
          <w:tab w:val="right" w:pos="1200"/>
          <w:tab w:val="right" w:leader="dot" w:pos="9641"/>
          <w:tab w:val="clear" w:pos="9639"/>
        </w:tabs>
      </w:pPr>
      <w:r>
        <w:t>E.2.1</w:t>
      </w:r>
      <w:r>
        <w:tab/>
      </w:r>
      <w:r>
        <w:t>Basic principle</w:t>
      </w:r>
      <w:r>
        <w:tab/>
      </w:r>
      <w:r>
        <w:fldChar w:fldCharType="begin"/>
      </w:r>
      <w:r>
        <w:instrText xml:space="preserve"> PAGEREF _Toc5598 \h </w:instrText>
      </w:r>
      <w:r>
        <w:fldChar w:fldCharType="separate"/>
      </w:r>
      <w:r>
        <w:t>226</w:t>
      </w:r>
      <w:r>
        <w:fldChar w:fldCharType="end"/>
      </w:r>
    </w:p>
    <w:p>
      <w:pPr>
        <w:pStyle w:val="21"/>
        <w:tabs>
          <w:tab w:val="right" w:pos="1200"/>
          <w:tab w:val="right" w:leader="dot" w:pos="9641"/>
          <w:tab w:val="clear" w:pos="9639"/>
        </w:tabs>
      </w:pPr>
      <w:r>
        <w:t>E.2.2</w:t>
      </w:r>
      <w:r>
        <w:tab/>
      </w:r>
      <w:r>
        <w:t>Output signal of the TX under test</w:t>
      </w:r>
      <w:r>
        <w:tab/>
      </w:r>
      <w:r>
        <w:fldChar w:fldCharType="begin"/>
      </w:r>
      <w:r>
        <w:instrText xml:space="preserve"> PAGEREF _Toc32547 \h </w:instrText>
      </w:r>
      <w:r>
        <w:fldChar w:fldCharType="separate"/>
      </w:r>
      <w:r>
        <w:t>227</w:t>
      </w:r>
      <w:r>
        <w:fldChar w:fldCharType="end"/>
      </w:r>
    </w:p>
    <w:p>
      <w:pPr>
        <w:pStyle w:val="21"/>
        <w:tabs>
          <w:tab w:val="right" w:pos="1200"/>
          <w:tab w:val="right" w:leader="dot" w:pos="9641"/>
          <w:tab w:val="clear" w:pos="9639"/>
        </w:tabs>
      </w:pPr>
      <w:r>
        <w:t>E.2.3</w:t>
      </w:r>
      <w:r>
        <w:tab/>
      </w:r>
      <w:r>
        <w:t>Reference signal</w:t>
      </w:r>
      <w:r>
        <w:tab/>
      </w:r>
      <w:r>
        <w:fldChar w:fldCharType="begin"/>
      </w:r>
      <w:r>
        <w:instrText xml:space="preserve"> PAGEREF _Toc6199 \h </w:instrText>
      </w:r>
      <w:r>
        <w:fldChar w:fldCharType="separate"/>
      </w:r>
      <w:r>
        <w:t>227</w:t>
      </w:r>
      <w:r>
        <w:fldChar w:fldCharType="end"/>
      </w:r>
    </w:p>
    <w:p>
      <w:pPr>
        <w:pStyle w:val="21"/>
        <w:tabs>
          <w:tab w:val="right" w:pos="1200"/>
          <w:tab w:val="right" w:leader="dot" w:pos="9641"/>
          <w:tab w:val="clear" w:pos="9639"/>
        </w:tabs>
      </w:pPr>
      <w:r>
        <w:rPr>
          <w:snapToGrid w:val="0"/>
        </w:rPr>
        <w:t>E.2.4</w:t>
      </w:r>
      <w:r>
        <w:rPr>
          <w:snapToGrid w:val="0"/>
        </w:rPr>
        <w:tab/>
      </w:r>
      <w:r>
        <w:rPr>
          <w:snapToGrid w:val="0"/>
        </w:rPr>
        <w:t>Measurement results</w:t>
      </w:r>
      <w:r>
        <w:tab/>
      </w:r>
      <w:r>
        <w:fldChar w:fldCharType="begin"/>
      </w:r>
      <w:r>
        <w:instrText xml:space="preserve"> PAGEREF _Toc5436 \h </w:instrText>
      </w:r>
      <w:r>
        <w:fldChar w:fldCharType="separate"/>
      </w:r>
      <w:r>
        <w:t>227</w:t>
      </w:r>
      <w:r>
        <w:fldChar w:fldCharType="end"/>
      </w:r>
    </w:p>
    <w:p>
      <w:pPr>
        <w:pStyle w:val="21"/>
        <w:tabs>
          <w:tab w:val="right" w:pos="1200"/>
          <w:tab w:val="right" w:leader="dot" w:pos="9641"/>
          <w:tab w:val="clear" w:pos="9639"/>
        </w:tabs>
      </w:pPr>
      <w:r>
        <w:t>E.2.5</w:t>
      </w:r>
      <w:r>
        <w:tab/>
      </w:r>
      <w:r>
        <w:t>Measurement points</w:t>
      </w:r>
      <w:r>
        <w:tab/>
      </w:r>
      <w:r>
        <w:fldChar w:fldCharType="begin"/>
      </w:r>
      <w:r>
        <w:instrText xml:space="preserve"> PAGEREF _Toc12443 \h </w:instrText>
      </w:r>
      <w:r>
        <w:fldChar w:fldCharType="separate"/>
      </w:r>
      <w:r>
        <w:t>228</w:t>
      </w:r>
      <w:r>
        <w:fldChar w:fldCharType="end"/>
      </w:r>
    </w:p>
    <w:p>
      <w:pPr>
        <w:pStyle w:val="22"/>
        <w:tabs>
          <w:tab w:val="right" w:pos="1200"/>
          <w:tab w:val="right" w:leader="dot" w:pos="9641"/>
          <w:tab w:val="clear" w:pos="9639"/>
        </w:tabs>
      </w:pPr>
      <w:r>
        <w:rPr>
          <w:snapToGrid w:val="0"/>
        </w:rPr>
        <w:t>E.3</w:t>
      </w:r>
      <w:r>
        <w:rPr>
          <w:snapToGrid w:val="0"/>
        </w:rPr>
        <w:tab/>
      </w:r>
      <w:r>
        <w:rPr>
          <w:snapToGrid w:val="0"/>
        </w:rPr>
        <w:t>Signal processing</w:t>
      </w:r>
      <w:r>
        <w:tab/>
      </w:r>
      <w:r>
        <w:fldChar w:fldCharType="begin"/>
      </w:r>
      <w:r>
        <w:instrText xml:space="preserve"> PAGEREF _Toc9640 \h </w:instrText>
      </w:r>
      <w:r>
        <w:fldChar w:fldCharType="separate"/>
      </w:r>
      <w:r>
        <w:t>228</w:t>
      </w:r>
      <w:r>
        <w:fldChar w:fldCharType="end"/>
      </w:r>
    </w:p>
    <w:p>
      <w:pPr>
        <w:pStyle w:val="21"/>
        <w:tabs>
          <w:tab w:val="right" w:pos="1200"/>
          <w:tab w:val="right" w:leader="dot" w:pos="9641"/>
          <w:tab w:val="clear" w:pos="9639"/>
        </w:tabs>
      </w:pPr>
      <w:r>
        <w:t>E.3.1</w:t>
      </w:r>
      <w:r>
        <w:tab/>
      </w:r>
      <w:r>
        <w:t>Pre FFT minimization process</w:t>
      </w:r>
      <w:r>
        <w:tab/>
      </w:r>
      <w:r>
        <w:fldChar w:fldCharType="begin"/>
      </w:r>
      <w:r>
        <w:instrText xml:space="preserve"> PAGEREF _Toc13750 \h </w:instrText>
      </w:r>
      <w:r>
        <w:fldChar w:fldCharType="separate"/>
      </w:r>
      <w:r>
        <w:t>228</w:t>
      </w:r>
      <w:r>
        <w:fldChar w:fldCharType="end"/>
      </w:r>
    </w:p>
    <w:p>
      <w:pPr>
        <w:pStyle w:val="21"/>
        <w:tabs>
          <w:tab w:val="right" w:pos="1200"/>
          <w:tab w:val="right" w:leader="dot" w:pos="9641"/>
          <w:tab w:val="clear" w:pos="9639"/>
        </w:tabs>
      </w:pPr>
      <w:r>
        <w:t>E.3.2</w:t>
      </w:r>
      <w:r>
        <w:tab/>
      </w:r>
      <w:r>
        <w:t>Timing of the FFT window</w:t>
      </w:r>
      <w:r>
        <w:tab/>
      </w:r>
      <w:r>
        <w:fldChar w:fldCharType="begin"/>
      </w:r>
      <w:r>
        <w:instrText xml:space="preserve"> PAGEREF _Toc10719 \h </w:instrText>
      </w:r>
      <w:r>
        <w:fldChar w:fldCharType="separate"/>
      </w:r>
      <w:r>
        <w:t>228</w:t>
      </w:r>
      <w:r>
        <w:fldChar w:fldCharType="end"/>
      </w:r>
    </w:p>
    <w:p>
      <w:pPr>
        <w:pStyle w:val="21"/>
        <w:tabs>
          <w:tab w:val="right" w:pos="1200"/>
          <w:tab w:val="right" w:leader="dot" w:pos="9641"/>
          <w:tab w:val="clear" w:pos="9639"/>
        </w:tabs>
      </w:pPr>
      <w:r>
        <w:t>E.3.3</w:t>
      </w:r>
      <w:r>
        <w:tab/>
      </w:r>
      <w:r>
        <w:t>Post FFT equalisation</w:t>
      </w:r>
      <w:r>
        <w:tab/>
      </w:r>
      <w:r>
        <w:fldChar w:fldCharType="begin"/>
      </w:r>
      <w:r>
        <w:instrText xml:space="preserve"> PAGEREF _Toc19094 \h </w:instrText>
      </w:r>
      <w:r>
        <w:fldChar w:fldCharType="separate"/>
      </w:r>
      <w:r>
        <w:t>229</w:t>
      </w:r>
      <w:r>
        <w:fldChar w:fldCharType="end"/>
      </w:r>
    </w:p>
    <w:p>
      <w:pPr>
        <w:pStyle w:val="22"/>
        <w:tabs>
          <w:tab w:val="right" w:pos="1200"/>
          <w:tab w:val="right" w:leader="dot" w:pos="9641"/>
          <w:tab w:val="clear" w:pos="9639"/>
        </w:tabs>
      </w:pPr>
      <w:r>
        <w:rPr>
          <w:snapToGrid w:val="0"/>
        </w:rPr>
        <w:t>E.4</w:t>
      </w:r>
      <w:r>
        <w:rPr>
          <w:snapToGrid w:val="0"/>
        </w:rPr>
        <w:tab/>
      </w:r>
      <w:r>
        <w:rPr>
          <w:snapToGrid w:val="0"/>
        </w:rPr>
        <w:t>Derivation of the results</w:t>
      </w:r>
      <w:r>
        <w:tab/>
      </w:r>
      <w:r>
        <w:fldChar w:fldCharType="begin"/>
      </w:r>
      <w:r>
        <w:instrText xml:space="preserve"> PAGEREF _Toc29261 \h </w:instrText>
      </w:r>
      <w:r>
        <w:fldChar w:fldCharType="separate"/>
      </w:r>
      <w:r>
        <w:t>230</w:t>
      </w:r>
      <w:r>
        <w:fldChar w:fldCharType="end"/>
      </w:r>
    </w:p>
    <w:p>
      <w:pPr>
        <w:pStyle w:val="21"/>
        <w:tabs>
          <w:tab w:val="right" w:pos="1200"/>
          <w:tab w:val="right" w:leader="dot" w:pos="9641"/>
          <w:tab w:val="clear" w:pos="9639"/>
        </w:tabs>
      </w:pPr>
      <w:r>
        <w:t>E.4.1</w:t>
      </w:r>
      <w:r>
        <w:tab/>
      </w:r>
      <w:r>
        <w:t>EVM</w:t>
      </w:r>
      <w:r>
        <w:tab/>
      </w:r>
      <w:r>
        <w:fldChar w:fldCharType="begin"/>
      </w:r>
      <w:r>
        <w:instrText xml:space="preserve"> PAGEREF _Toc6469 \h </w:instrText>
      </w:r>
      <w:r>
        <w:fldChar w:fldCharType="separate"/>
      </w:r>
      <w:r>
        <w:t>230</w:t>
      </w:r>
      <w:r>
        <w:fldChar w:fldCharType="end"/>
      </w:r>
    </w:p>
    <w:p>
      <w:pPr>
        <w:pStyle w:val="21"/>
        <w:tabs>
          <w:tab w:val="right" w:pos="1200"/>
          <w:tab w:val="right" w:leader="dot" w:pos="9641"/>
          <w:tab w:val="clear" w:pos="9639"/>
        </w:tabs>
      </w:pPr>
      <w:r>
        <w:t>E.4.2</w:t>
      </w:r>
      <w:r>
        <w:tab/>
      </w:r>
      <w:r>
        <w:t>Averaged EVM</w:t>
      </w:r>
      <w:r>
        <w:tab/>
      </w:r>
      <w:r>
        <w:fldChar w:fldCharType="begin"/>
      </w:r>
      <w:r>
        <w:instrText xml:space="preserve"> PAGEREF _Toc22259 \h </w:instrText>
      </w:r>
      <w:r>
        <w:fldChar w:fldCharType="separate"/>
      </w:r>
      <w:r>
        <w:t>231</w:t>
      </w:r>
      <w:r>
        <w:fldChar w:fldCharType="end"/>
      </w:r>
    </w:p>
    <w:p>
      <w:pPr>
        <w:pStyle w:val="21"/>
        <w:tabs>
          <w:tab w:val="right" w:pos="1200"/>
          <w:tab w:val="right" w:leader="dot" w:pos="9641"/>
          <w:tab w:val="clear" w:pos="9639"/>
        </w:tabs>
      </w:pPr>
      <w:r>
        <w:t>E.4.3</w:t>
      </w:r>
      <w:r>
        <w:tab/>
      </w:r>
      <w:r>
        <w:t>In-band emissions measurement</w:t>
      </w:r>
      <w:r>
        <w:tab/>
      </w:r>
      <w:r>
        <w:fldChar w:fldCharType="begin"/>
      </w:r>
      <w:r>
        <w:instrText xml:space="preserve"> PAGEREF _Toc8028 \h </w:instrText>
      </w:r>
      <w:r>
        <w:fldChar w:fldCharType="separate"/>
      </w:r>
      <w:r>
        <w:t>231</w:t>
      </w:r>
      <w:r>
        <w:fldChar w:fldCharType="end"/>
      </w:r>
    </w:p>
    <w:p>
      <w:pPr>
        <w:pStyle w:val="21"/>
        <w:tabs>
          <w:tab w:val="right" w:pos="1200"/>
          <w:tab w:val="right" w:leader="dot" w:pos="9641"/>
          <w:tab w:val="clear" w:pos="9639"/>
        </w:tabs>
      </w:pPr>
      <w:r>
        <w:t>E.4.4</w:t>
      </w:r>
      <w:r>
        <w:tab/>
      </w:r>
      <w:r>
        <w:t>EVM equalizer spectrum flatness</w:t>
      </w:r>
      <w:r>
        <w:tab/>
      </w:r>
      <w:r>
        <w:fldChar w:fldCharType="begin"/>
      </w:r>
      <w:r>
        <w:instrText xml:space="preserve"> PAGEREF _Toc13881 \h </w:instrText>
      </w:r>
      <w:r>
        <w:fldChar w:fldCharType="separate"/>
      </w:r>
      <w:r>
        <w:t>233</w:t>
      </w:r>
      <w:r>
        <w:fldChar w:fldCharType="end"/>
      </w:r>
    </w:p>
    <w:p>
      <w:pPr>
        <w:pStyle w:val="21"/>
        <w:tabs>
          <w:tab w:val="right" w:pos="1200"/>
          <w:tab w:val="right" w:leader="dot" w:pos="9641"/>
          <w:tab w:val="clear" w:pos="9639"/>
        </w:tabs>
      </w:pPr>
      <w:r>
        <w:t>E.4.5</w:t>
      </w:r>
      <w:r>
        <w:tab/>
      </w:r>
      <w:r>
        <w:t>Frequency error and Carrier leakage</w:t>
      </w:r>
      <w:r>
        <w:tab/>
      </w:r>
      <w:r>
        <w:fldChar w:fldCharType="begin"/>
      </w:r>
      <w:r>
        <w:instrText xml:space="preserve"> PAGEREF _Toc1032 \h </w:instrText>
      </w:r>
      <w:r>
        <w:fldChar w:fldCharType="separate"/>
      </w:r>
      <w:r>
        <w:t>234</w:t>
      </w:r>
      <w:r>
        <w:fldChar w:fldCharType="end"/>
      </w:r>
    </w:p>
    <w:p>
      <w:pPr>
        <w:pStyle w:val="21"/>
        <w:tabs>
          <w:tab w:val="right" w:pos="1200"/>
          <w:tab w:val="right" w:leader="dot" w:pos="9641"/>
          <w:tab w:val="clear" w:pos="9639"/>
        </w:tabs>
      </w:pPr>
      <w:r>
        <w:t>E.4.6</w:t>
      </w:r>
      <w:r>
        <w:tab/>
      </w:r>
      <w:r>
        <w:t>EVM of Demodulation reference symbols (EVM</w:t>
      </w:r>
      <w:r>
        <w:rPr>
          <w:szCs w:val="28"/>
          <w:vertAlign w:val="subscript"/>
        </w:rPr>
        <w:t>DMRS</w:t>
      </w:r>
      <w:r>
        <w:t>)</w:t>
      </w:r>
      <w:r>
        <w:tab/>
      </w:r>
      <w:r>
        <w:fldChar w:fldCharType="begin"/>
      </w:r>
      <w:r>
        <w:instrText xml:space="preserve"> PAGEREF _Toc31577 \h </w:instrText>
      </w:r>
      <w:r>
        <w:fldChar w:fldCharType="separate"/>
      </w:r>
      <w:r>
        <w:t>234</w:t>
      </w:r>
      <w:r>
        <w:fldChar w:fldCharType="end"/>
      </w:r>
    </w:p>
    <w:p>
      <w:pPr>
        <w:pStyle w:val="20"/>
        <w:tabs>
          <w:tab w:val="right" w:pos="1600"/>
          <w:tab w:val="right" w:leader="dot" w:pos="9641"/>
          <w:tab w:val="clear" w:pos="9639"/>
        </w:tabs>
      </w:pPr>
      <w:r>
        <w:t>E.4.6.1</w:t>
      </w:r>
      <w:r>
        <w:tab/>
      </w:r>
      <w:r>
        <w:t>1</w:t>
      </w:r>
      <w:r>
        <w:rPr>
          <w:vertAlign w:val="superscript"/>
        </w:rPr>
        <w:t>st</w:t>
      </w:r>
      <w:r>
        <w:t xml:space="preserve"> average for EVM </w:t>
      </w:r>
      <w:r>
        <w:rPr>
          <w:vertAlign w:val="subscript"/>
        </w:rPr>
        <w:t>DMRS</w:t>
      </w:r>
      <w:r>
        <w:tab/>
      </w:r>
      <w:r>
        <w:fldChar w:fldCharType="begin"/>
      </w:r>
      <w:r>
        <w:instrText xml:space="preserve"> PAGEREF _Toc27477 \h </w:instrText>
      </w:r>
      <w:r>
        <w:fldChar w:fldCharType="separate"/>
      </w:r>
      <w:r>
        <w:t>235</w:t>
      </w:r>
      <w:r>
        <w:fldChar w:fldCharType="end"/>
      </w:r>
    </w:p>
    <w:p>
      <w:pPr>
        <w:pStyle w:val="20"/>
        <w:tabs>
          <w:tab w:val="right" w:pos="1600"/>
          <w:tab w:val="right" w:leader="dot" w:pos="9641"/>
          <w:tab w:val="clear" w:pos="9639"/>
        </w:tabs>
      </w:pPr>
      <w:r>
        <w:t>E.4.6.2</w:t>
      </w:r>
      <w:r>
        <w:tab/>
      </w:r>
      <w:r>
        <w:t xml:space="preserve">Final average for EVM </w:t>
      </w:r>
      <w:r>
        <w:rPr>
          <w:vertAlign w:val="subscript"/>
        </w:rPr>
        <w:t>DMRS</w:t>
      </w:r>
      <w:r>
        <w:tab/>
      </w:r>
      <w:r>
        <w:fldChar w:fldCharType="begin"/>
      </w:r>
      <w:r>
        <w:instrText xml:space="preserve"> PAGEREF _Toc28932 \h </w:instrText>
      </w:r>
      <w:r>
        <w:fldChar w:fldCharType="separate"/>
      </w:r>
      <w:r>
        <w:t>235</w:t>
      </w:r>
      <w:r>
        <w:fldChar w:fldCharType="end"/>
      </w:r>
    </w:p>
    <w:p>
      <w:pPr>
        <w:pStyle w:val="22"/>
        <w:tabs>
          <w:tab w:val="right" w:pos="1200"/>
          <w:tab w:val="right" w:leader="dot" w:pos="9641"/>
          <w:tab w:val="clear" w:pos="9639"/>
        </w:tabs>
      </w:pPr>
      <w:r>
        <w:t>E.5</w:t>
      </w:r>
      <w:r>
        <w:tab/>
      </w:r>
      <w:r>
        <w:t>EVM and inband emissions for PUCCH</w:t>
      </w:r>
      <w:r>
        <w:tab/>
      </w:r>
      <w:r>
        <w:fldChar w:fldCharType="begin"/>
      </w:r>
      <w:r>
        <w:instrText xml:space="preserve"> PAGEREF _Toc6335 \h </w:instrText>
      </w:r>
      <w:r>
        <w:fldChar w:fldCharType="separate"/>
      </w:r>
      <w:r>
        <w:t>235</w:t>
      </w:r>
      <w:r>
        <w:fldChar w:fldCharType="end"/>
      </w:r>
    </w:p>
    <w:p>
      <w:pPr>
        <w:pStyle w:val="21"/>
        <w:tabs>
          <w:tab w:val="right" w:pos="1200"/>
          <w:tab w:val="right" w:leader="dot" w:pos="9641"/>
          <w:tab w:val="clear" w:pos="9639"/>
        </w:tabs>
      </w:pPr>
      <w:r>
        <w:t>E.5.1</w:t>
      </w:r>
      <w:r>
        <w:tab/>
      </w:r>
      <w:r>
        <w:t>Basic principle</w:t>
      </w:r>
      <w:r>
        <w:tab/>
      </w:r>
      <w:r>
        <w:fldChar w:fldCharType="begin"/>
      </w:r>
      <w:r>
        <w:instrText xml:space="preserve"> PAGEREF _Toc2600 \h </w:instrText>
      </w:r>
      <w:r>
        <w:fldChar w:fldCharType="separate"/>
      </w:r>
      <w:r>
        <w:t>235</w:t>
      </w:r>
      <w:r>
        <w:fldChar w:fldCharType="end"/>
      </w:r>
    </w:p>
    <w:p>
      <w:pPr>
        <w:pStyle w:val="21"/>
        <w:tabs>
          <w:tab w:val="right" w:pos="1200"/>
          <w:tab w:val="right" w:leader="dot" w:pos="9641"/>
          <w:tab w:val="clear" w:pos="9639"/>
        </w:tabs>
      </w:pPr>
      <w:r>
        <w:t>E.5.2</w:t>
      </w:r>
      <w:r>
        <w:tab/>
      </w:r>
      <w:r>
        <w:t>Output signal of the TX under test</w:t>
      </w:r>
      <w:r>
        <w:tab/>
      </w:r>
      <w:r>
        <w:fldChar w:fldCharType="begin"/>
      </w:r>
      <w:r>
        <w:instrText xml:space="preserve"> PAGEREF _Toc852 \h </w:instrText>
      </w:r>
      <w:r>
        <w:fldChar w:fldCharType="separate"/>
      </w:r>
      <w:r>
        <w:t>236</w:t>
      </w:r>
      <w:r>
        <w:fldChar w:fldCharType="end"/>
      </w:r>
    </w:p>
    <w:p>
      <w:pPr>
        <w:pStyle w:val="21"/>
        <w:tabs>
          <w:tab w:val="right" w:pos="1200"/>
          <w:tab w:val="right" w:leader="dot" w:pos="9641"/>
          <w:tab w:val="clear" w:pos="9639"/>
        </w:tabs>
      </w:pPr>
      <w:r>
        <w:t>E.5.3</w:t>
      </w:r>
      <w:r>
        <w:tab/>
      </w:r>
      <w:r>
        <w:t>Reference signal</w:t>
      </w:r>
      <w:r>
        <w:tab/>
      </w:r>
      <w:r>
        <w:fldChar w:fldCharType="begin"/>
      </w:r>
      <w:r>
        <w:instrText xml:space="preserve"> PAGEREF _Toc23047 \h </w:instrText>
      </w:r>
      <w:r>
        <w:fldChar w:fldCharType="separate"/>
      </w:r>
      <w:r>
        <w:t>236</w:t>
      </w:r>
      <w:r>
        <w:fldChar w:fldCharType="end"/>
      </w:r>
    </w:p>
    <w:p>
      <w:pPr>
        <w:pStyle w:val="21"/>
        <w:tabs>
          <w:tab w:val="right" w:pos="1200"/>
          <w:tab w:val="right" w:leader="dot" w:pos="9641"/>
          <w:tab w:val="clear" w:pos="9639"/>
        </w:tabs>
      </w:pPr>
      <w:r>
        <w:t>E.5.4</w:t>
      </w:r>
      <w:r>
        <w:tab/>
      </w:r>
      <w:r>
        <w:t>Measurement results</w:t>
      </w:r>
      <w:r>
        <w:tab/>
      </w:r>
      <w:r>
        <w:fldChar w:fldCharType="begin"/>
      </w:r>
      <w:r>
        <w:instrText xml:space="preserve"> PAGEREF _Toc20469 \h </w:instrText>
      </w:r>
      <w:r>
        <w:fldChar w:fldCharType="separate"/>
      </w:r>
      <w:r>
        <w:t>236</w:t>
      </w:r>
      <w:r>
        <w:fldChar w:fldCharType="end"/>
      </w:r>
    </w:p>
    <w:p>
      <w:pPr>
        <w:pStyle w:val="21"/>
        <w:tabs>
          <w:tab w:val="right" w:pos="1200"/>
          <w:tab w:val="right" w:leader="dot" w:pos="9641"/>
          <w:tab w:val="clear" w:pos="9639"/>
        </w:tabs>
      </w:pPr>
      <w:r>
        <w:t>E.5.5</w:t>
      </w:r>
      <w:r>
        <w:tab/>
      </w:r>
      <w:r>
        <w:t>Measurement points</w:t>
      </w:r>
      <w:r>
        <w:tab/>
      </w:r>
      <w:r>
        <w:fldChar w:fldCharType="begin"/>
      </w:r>
      <w:r>
        <w:instrText xml:space="preserve"> PAGEREF _Toc32263 \h </w:instrText>
      </w:r>
      <w:r>
        <w:fldChar w:fldCharType="separate"/>
      </w:r>
      <w:r>
        <w:t>236</w:t>
      </w:r>
      <w:r>
        <w:fldChar w:fldCharType="end"/>
      </w:r>
    </w:p>
    <w:p>
      <w:pPr>
        <w:pStyle w:val="21"/>
        <w:tabs>
          <w:tab w:val="right" w:pos="1200"/>
          <w:tab w:val="right" w:leader="dot" w:pos="9641"/>
          <w:tab w:val="clear" w:pos="9639"/>
        </w:tabs>
      </w:pPr>
      <w:r>
        <w:t>E.5.6</w:t>
      </w:r>
      <w:r>
        <w:tab/>
      </w:r>
      <w:r>
        <w:t>Pre FFT minimization process</w:t>
      </w:r>
      <w:r>
        <w:tab/>
      </w:r>
      <w:r>
        <w:fldChar w:fldCharType="begin"/>
      </w:r>
      <w:r>
        <w:instrText xml:space="preserve"> PAGEREF _Toc2669 \h </w:instrText>
      </w:r>
      <w:r>
        <w:fldChar w:fldCharType="separate"/>
      </w:r>
      <w:r>
        <w:t>236</w:t>
      </w:r>
      <w:r>
        <w:fldChar w:fldCharType="end"/>
      </w:r>
    </w:p>
    <w:p>
      <w:pPr>
        <w:pStyle w:val="21"/>
        <w:tabs>
          <w:tab w:val="right" w:pos="1200"/>
          <w:tab w:val="right" w:leader="dot" w:pos="9641"/>
          <w:tab w:val="clear" w:pos="9639"/>
        </w:tabs>
      </w:pPr>
      <w:r>
        <w:t>E.5.7</w:t>
      </w:r>
      <w:r>
        <w:tab/>
      </w:r>
      <w:r>
        <w:t>Timing of the FFT window</w:t>
      </w:r>
      <w:r>
        <w:tab/>
      </w:r>
      <w:r>
        <w:fldChar w:fldCharType="begin"/>
      </w:r>
      <w:r>
        <w:instrText xml:space="preserve"> PAGEREF _Toc3799 \h </w:instrText>
      </w:r>
      <w:r>
        <w:fldChar w:fldCharType="separate"/>
      </w:r>
      <w:r>
        <w:t>236</w:t>
      </w:r>
      <w:r>
        <w:fldChar w:fldCharType="end"/>
      </w:r>
    </w:p>
    <w:p>
      <w:pPr>
        <w:pStyle w:val="21"/>
        <w:tabs>
          <w:tab w:val="right" w:pos="1200"/>
          <w:tab w:val="right" w:leader="dot" w:pos="9641"/>
          <w:tab w:val="clear" w:pos="9639"/>
        </w:tabs>
      </w:pPr>
      <w:r>
        <w:t>E.5.8</w:t>
      </w:r>
      <w:r>
        <w:tab/>
      </w:r>
      <w:r>
        <w:t>Post FFT equalisation</w:t>
      </w:r>
      <w:r>
        <w:tab/>
      </w:r>
      <w:r>
        <w:fldChar w:fldCharType="begin"/>
      </w:r>
      <w:r>
        <w:instrText xml:space="preserve"> PAGEREF _Toc31866 \h </w:instrText>
      </w:r>
      <w:r>
        <w:fldChar w:fldCharType="separate"/>
      </w:r>
      <w:r>
        <w:t>236</w:t>
      </w:r>
      <w:r>
        <w:fldChar w:fldCharType="end"/>
      </w:r>
    </w:p>
    <w:p>
      <w:pPr>
        <w:pStyle w:val="21"/>
        <w:tabs>
          <w:tab w:val="right" w:pos="1200"/>
          <w:tab w:val="right" w:leader="dot" w:pos="9641"/>
          <w:tab w:val="clear" w:pos="9639"/>
        </w:tabs>
      </w:pPr>
      <w:r>
        <w:rPr>
          <w:snapToGrid w:val="0"/>
        </w:rPr>
        <w:t>E.5.9</w:t>
      </w:r>
      <w:r>
        <w:rPr>
          <w:snapToGrid w:val="0"/>
        </w:rPr>
        <w:tab/>
      </w:r>
      <w:r>
        <w:rPr>
          <w:snapToGrid w:val="0"/>
        </w:rPr>
        <w:t>Derivation of the results</w:t>
      </w:r>
      <w:r>
        <w:tab/>
      </w:r>
      <w:r>
        <w:fldChar w:fldCharType="begin"/>
      </w:r>
      <w:r>
        <w:instrText xml:space="preserve"> PAGEREF _Toc7131 \h </w:instrText>
      </w:r>
      <w:r>
        <w:fldChar w:fldCharType="separate"/>
      </w:r>
      <w:r>
        <w:t>237</w:t>
      </w:r>
      <w:r>
        <w:fldChar w:fldCharType="end"/>
      </w:r>
    </w:p>
    <w:p>
      <w:pPr>
        <w:pStyle w:val="20"/>
        <w:tabs>
          <w:tab w:val="right" w:pos="1600"/>
          <w:tab w:val="right" w:leader="dot" w:pos="9641"/>
          <w:tab w:val="clear" w:pos="9639"/>
        </w:tabs>
      </w:pPr>
      <w:r>
        <w:t>E.5.9.1</w:t>
      </w:r>
      <w:r>
        <w:tab/>
      </w:r>
      <w:r>
        <w:t>EVM</w:t>
      </w:r>
      <w:r>
        <w:rPr>
          <w:szCs w:val="24"/>
          <w:vertAlign w:val="subscript"/>
        </w:rPr>
        <w:t>PUCCH</w:t>
      </w:r>
      <w:r>
        <w:tab/>
      </w:r>
      <w:r>
        <w:fldChar w:fldCharType="begin"/>
      </w:r>
      <w:r>
        <w:instrText xml:space="preserve"> PAGEREF _Toc14855 \h </w:instrText>
      </w:r>
      <w:r>
        <w:fldChar w:fldCharType="separate"/>
      </w:r>
      <w:r>
        <w:t>237</w:t>
      </w:r>
      <w:r>
        <w:fldChar w:fldCharType="end"/>
      </w:r>
    </w:p>
    <w:p>
      <w:pPr>
        <w:pStyle w:val="20"/>
        <w:tabs>
          <w:tab w:val="right" w:pos="1600"/>
          <w:tab w:val="right" w:leader="dot" w:pos="9641"/>
          <w:tab w:val="clear" w:pos="9639"/>
        </w:tabs>
      </w:pPr>
      <w:r>
        <w:t>E.5.9.2</w:t>
      </w:r>
      <w:r>
        <w:tab/>
      </w:r>
      <w:r>
        <w:t>Averaged EVM</w:t>
      </w:r>
      <w:r>
        <w:rPr>
          <w:vertAlign w:val="subscript"/>
        </w:rPr>
        <w:t>PUCCH</w:t>
      </w:r>
      <w:r>
        <w:tab/>
      </w:r>
      <w:r>
        <w:fldChar w:fldCharType="begin"/>
      </w:r>
      <w:r>
        <w:instrText xml:space="preserve"> PAGEREF _Toc2828 \h </w:instrText>
      </w:r>
      <w:r>
        <w:fldChar w:fldCharType="separate"/>
      </w:r>
      <w:r>
        <w:t>238</w:t>
      </w:r>
      <w:r>
        <w:fldChar w:fldCharType="end"/>
      </w:r>
    </w:p>
    <w:p>
      <w:pPr>
        <w:pStyle w:val="20"/>
        <w:tabs>
          <w:tab w:val="right" w:pos="1600"/>
          <w:tab w:val="right" w:leader="dot" w:pos="9641"/>
          <w:tab w:val="clear" w:pos="9639"/>
        </w:tabs>
      </w:pPr>
      <w:r>
        <w:t>E.5.9.3</w:t>
      </w:r>
      <w:r>
        <w:tab/>
      </w:r>
      <w:r>
        <w:t>In-band emissions measurement</w:t>
      </w:r>
      <w:r>
        <w:tab/>
      </w:r>
      <w:r>
        <w:fldChar w:fldCharType="begin"/>
      </w:r>
      <w:r>
        <w:instrText xml:space="preserve"> PAGEREF _Toc29716 \h </w:instrText>
      </w:r>
      <w:r>
        <w:fldChar w:fldCharType="separate"/>
      </w:r>
      <w:r>
        <w:t>238</w:t>
      </w:r>
      <w:r>
        <w:fldChar w:fldCharType="end"/>
      </w:r>
    </w:p>
    <w:p>
      <w:pPr>
        <w:pStyle w:val="22"/>
        <w:tabs>
          <w:tab w:val="right" w:pos="1200"/>
          <w:tab w:val="right" w:leader="dot" w:pos="9641"/>
          <w:tab w:val="clear" w:pos="9639"/>
        </w:tabs>
      </w:pPr>
      <w:r>
        <w:t>E.6</w:t>
      </w:r>
      <w:r>
        <w:tab/>
      </w:r>
      <w:r>
        <w:t>EVM for PRACH</w:t>
      </w:r>
      <w:r>
        <w:tab/>
      </w:r>
      <w:r>
        <w:fldChar w:fldCharType="begin"/>
      </w:r>
      <w:r>
        <w:instrText xml:space="preserve"> PAGEREF _Toc18595 \h </w:instrText>
      </w:r>
      <w:r>
        <w:fldChar w:fldCharType="separate"/>
      </w:r>
      <w:r>
        <w:t>239</w:t>
      </w:r>
      <w:r>
        <w:fldChar w:fldCharType="end"/>
      </w:r>
    </w:p>
    <w:p>
      <w:pPr>
        <w:pStyle w:val="21"/>
        <w:tabs>
          <w:tab w:val="right" w:pos="1200"/>
          <w:tab w:val="right" w:leader="dot" w:pos="9641"/>
          <w:tab w:val="clear" w:pos="9639"/>
        </w:tabs>
      </w:pPr>
      <w:r>
        <w:t>E.6.1</w:t>
      </w:r>
      <w:r>
        <w:tab/>
      </w:r>
      <w:r>
        <w:t>Basic principle</w:t>
      </w:r>
      <w:r>
        <w:tab/>
      </w:r>
      <w:r>
        <w:fldChar w:fldCharType="begin"/>
      </w:r>
      <w:r>
        <w:instrText xml:space="preserve"> PAGEREF _Toc19783 \h </w:instrText>
      </w:r>
      <w:r>
        <w:fldChar w:fldCharType="separate"/>
      </w:r>
      <w:r>
        <w:t>239</w:t>
      </w:r>
      <w:r>
        <w:fldChar w:fldCharType="end"/>
      </w:r>
    </w:p>
    <w:p>
      <w:pPr>
        <w:pStyle w:val="21"/>
        <w:tabs>
          <w:tab w:val="right" w:pos="1200"/>
          <w:tab w:val="right" w:leader="dot" w:pos="9641"/>
          <w:tab w:val="clear" w:pos="9639"/>
        </w:tabs>
      </w:pPr>
      <w:r>
        <w:t>E.6.2</w:t>
      </w:r>
      <w:r>
        <w:tab/>
      </w:r>
      <w:r>
        <w:t>Output signal of the TX under test</w:t>
      </w:r>
      <w:r>
        <w:tab/>
      </w:r>
      <w:r>
        <w:fldChar w:fldCharType="begin"/>
      </w:r>
      <w:r>
        <w:instrText xml:space="preserve"> PAGEREF _Toc12402 \h </w:instrText>
      </w:r>
      <w:r>
        <w:fldChar w:fldCharType="separate"/>
      </w:r>
      <w:r>
        <w:t>240</w:t>
      </w:r>
      <w:r>
        <w:fldChar w:fldCharType="end"/>
      </w:r>
    </w:p>
    <w:p>
      <w:pPr>
        <w:pStyle w:val="21"/>
        <w:tabs>
          <w:tab w:val="right" w:pos="1200"/>
          <w:tab w:val="right" w:leader="dot" w:pos="9641"/>
          <w:tab w:val="clear" w:pos="9639"/>
        </w:tabs>
      </w:pPr>
      <w:r>
        <w:t>E.6.3</w:t>
      </w:r>
      <w:r>
        <w:tab/>
      </w:r>
      <w:r>
        <w:t>Reference signal</w:t>
      </w:r>
      <w:r>
        <w:tab/>
      </w:r>
      <w:r>
        <w:fldChar w:fldCharType="begin"/>
      </w:r>
      <w:r>
        <w:instrText xml:space="preserve"> PAGEREF _Toc30367 \h </w:instrText>
      </w:r>
      <w:r>
        <w:fldChar w:fldCharType="separate"/>
      </w:r>
      <w:r>
        <w:t>240</w:t>
      </w:r>
      <w:r>
        <w:fldChar w:fldCharType="end"/>
      </w:r>
    </w:p>
    <w:p>
      <w:pPr>
        <w:pStyle w:val="21"/>
        <w:tabs>
          <w:tab w:val="right" w:pos="1200"/>
          <w:tab w:val="right" w:leader="dot" w:pos="9641"/>
          <w:tab w:val="clear" w:pos="9639"/>
        </w:tabs>
      </w:pPr>
      <w:r>
        <w:t>E.6.4</w:t>
      </w:r>
      <w:r>
        <w:tab/>
      </w:r>
      <w:r>
        <w:t>Measurement results</w:t>
      </w:r>
      <w:r>
        <w:tab/>
      </w:r>
      <w:r>
        <w:fldChar w:fldCharType="begin"/>
      </w:r>
      <w:r>
        <w:instrText xml:space="preserve"> PAGEREF _Toc30778 \h </w:instrText>
      </w:r>
      <w:r>
        <w:fldChar w:fldCharType="separate"/>
      </w:r>
      <w:r>
        <w:t>240</w:t>
      </w:r>
      <w:r>
        <w:fldChar w:fldCharType="end"/>
      </w:r>
    </w:p>
    <w:p>
      <w:pPr>
        <w:pStyle w:val="21"/>
        <w:tabs>
          <w:tab w:val="right" w:pos="1200"/>
          <w:tab w:val="right" w:leader="dot" w:pos="9641"/>
          <w:tab w:val="clear" w:pos="9639"/>
        </w:tabs>
      </w:pPr>
      <w:r>
        <w:t>E.6.5</w:t>
      </w:r>
      <w:r>
        <w:tab/>
      </w:r>
      <w:r>
        <w:t>Measurement points</w:t>
      </w:r>
      <w:r>
        <w:tab/>
      </w:r>
      <w:r>
        <w:fldChar w:fldCharType="begin"/>
      </w:r>
      <w:r>
        <w:instrText xml:space="preserve"> PAGEREF _Toc19827 \h </w:instrText>
      </w:r>
      <w:r>
        <w:fldChar w:fldCharType="separate"/>
      </w:r>
      <w:r>
        <w:t>240</w:t>
      </w:r>
      <w:r>
        <w:fldChar w:fldCharType="end"/>
      </w:r>
    </w:p>
    <w:p>
      <w:pPr>
        <w:pStyle w:val="21"/>
        <w:tabs>
          <w:tab w:val="right" w:pos="1200"/>
          <w:tab w:val="right" w:leader="dot" w:pos="9641"/>
          <w:tab w:val="clear" w:pos="9639"/>
        </w:tabs>
      </w:pPr>
      <w:r>
        <w:t>E.6.6</w:t>
      </w:r>
      <w:r>
        <w:tab/>
      </w:r>
      <w:r>
        <w:t>Pre FFT minimization process</w:t>
      </w:r>
      <w:r>
        <w:tab/>
      </w:r>
      <w:r>
        <w:fldChar w:fldCharType="begin"/>
      </w:r>
      <w:r>
        <w:instrText xml:space="preserve"> PAGEREF _Toc31841 \h </w:instrText>
      </w:r>
      <w:r>
        <w:fldChar w:fldCharType="separate"/>
      </w:r>
      <w:r>
        <w:t>240</w:t>
      </w:r>
      <w:r>
        <w:fldChar w:fldCharType="end"/>
      </w:r>
    </w:p>
    <w:p>
      <w:pPr>
        <w:pStyle w:val="21"/>
        <w:tabs>
          <w:tab w:val="right" w:pos="1200"/>
          <w:tab w:val="right" w:leader="dot" w:pos="9641"/>
          <w:tab w:val="clear" w:pos="9639"/>
        </w:tabs>
      </w:pPr>
      <w:r>
        <w:t>E.6.7</w:t>
      </w:r>
      <w:r>
        <w:tab/>
      </w:r>
      <w:r>
        <w:t>Timing of the FFT window</w:t>
      </w:r>
      <w:r>
        <w:tab/>
      </w:r>
      <w:r>
        <w:fldChar w:fldCharType="begin"/>
      </w:r>
      <w:r>
        <w:instrText xml:space="preserve"> PAGEREF _Toc28088 \h </w:instrText>
      </w:r>
      <w:r>
        <w:fldChar w:fldCharType="separate"/>
      </w:r>
      <w:r>
        <w:t>241</w:t>
      </w:r>
      <w:r>
        <w:fldChar w:fldCharType="end"/>
      </w:r>
    </w:p>
    <w:p>
      <w:pPr>
        <w:pStyle w:val="21"/>
        <w:tabs>
          <w:tab w:val="right" w:pos="1200"/>
          <w:tab w:val="right" w:leader="dot" w:pos="9641"/>
          <w:tab w:val="clear" w:pos="9639"/>
        </w:tabs>
      </w:pPr>
      <w:r>
        <w:t>E.6.8</w:t>
      </w:r>
      <w:r>
        <w:tab/>
      </w:r>
      <w:r>
        <w:t>Post FFT equalisation</w:t>
      </w:r>
      <w:r>
        <w:tab/>
      </w:r>
      <w:r>
        <w:fldChar w:fldCharType="begin"/>
      </w:r>
      <w:r>
        <w:instrText xml:space="preserve"> PAGEREF _Toc16763 \h </w:instrText>
      </w:r>
      <w:r>
        <w:fldChar w:fldCharType="separate"/>
      </w:r>
      <w:r>
        <w:t>241</w:t>
      </w:r>
      <w:r>
        <w:fldChar w:fldCharType="end"/>
      </w:r>
    </w:p>
    <w:p>
      <w:pPr>
        <w:pStyle w:val="21"/>
        <w:tabs>
          <w:tab w:val="right" w:pos="1200"/>
          <w:tab w:val="right" w:leader="dot" w:pos="9641"/>
          <w:tab w:val="clear" w:pos="9639"/>
        </w:tabs>
      </w:pPr>
      <w:r>
        <w:t>E.6.9</w:t>
      </w:r>
      <w:r>
        <w:tab/>
      </w:r>
      <w:r>
        <w:t>Derivation of the results</w:t>
      </w:r>
      <w:r>
        <w:tab/>
      </w:r>
      <w:r>
        <w:fldChar w:fldCharType="begin"/>
      </w:r>
      <w:r>
        <w:instrText xml:space="preserve"> PAGEREF _Toc10314 \h </w:instrText>
      </w:r>
      <w:r>
        <w:fldChar w:fldCharType="separate"/>
      </w:r>
      <w:r>
        <w:t>242</w:t>
      </w:r>
      <w:r>
        <w:fldChar w:fldCharType="end"/>
      </w:r>
    </w:p>
    <w:p>
      <w:pPr>
        <w:pStyle w:val="20"/>
        <w:tabs>
          <w:tab w:val="right" w:pos="1600"/>
          <w:tab w:val="right" w:leader="dot" w:pos="9641"/>
          <w:tab w:val="clear" w:pos="9639"/>
        </w:tabs>
      </w:pPr>
      <w:r>
        <w:t>E.6.9.1</w:t>
      </w:r>
      <w:r>
        <w:tab/>
      </w:r>
      <w:r>
        <w:t>EVM</w:t>
      </w:r>
      <w:r>
        <w:rPr>
          <w:szCs w:val="24"/>
          <w:vertAlign w:val="subscript"/>
        </w:rPr>
        <w:t>PRACH</w:t>
      </w:r>
      <w:r>
        <w:tab/>
      </w:r>
      <w:r>
        <w:fldChar w:fldCharType="begin"/>
      </w:r>
      <w:r>
        <w:instrText xml:space="preserve"> PAGEREF _Toc323 \h </w:instrText>
      </w:r>
      <w:r>
        <w:fldChar w:fldCharType="separate"/>
      </w:r>
      <w:r>
        <w:t>242</w:t>
      </w:r>
      <w:r>
        <w:fldChar w:fldCharType="end"/>
      </w:r>
    </w:p>
    <w:p>
      <w:pPr>
        <w:pStyle w:val="20"/>
        <w:tabs>
          <w:tab w:val="right" w:pos="1600"/>
          <w:tab w:val="right" w:leader="dot" w:pos="9641"/>
          <w:tab w:val="clear" w:pos="9639"/>
        </w:tabs>
      </w:pPr>
      <w:r>
        <w:t>E.6.9.2</w:t>
      </w:r>
      <w:r>
        <w:tab/>
      </w:r>
      <w:r>
        <w:t>Averaged EVM</w:t>
      </w:r>
      <w:r>
        <w:rPr>
          <w:szCs w:val="28"/>
          <w:vertAlign w:val="subscript"/>
        </w:rPr>
        <w:t>PRACH</w:t>
      </w:r>
      <w:r>
        <w:tab/>
      </w:r>
      <w:r>
        <w:fldChar w:fldCharType="begin"/>
      </w:r>
      <w:r>
        <w:instrText xml:space="preserve"> PAGEREF _Toc29468 \h </w:instrText>
      </w:r>
      <w:r>
        <w:fldChar w:fldCharType="separate"/>
      </w:r>
      <w:r>
        <w:t>242</w:t>
      </w:r>
      <w:r>
        <w:fldChar w:fldCharType="end"/>
      </w:r>
    </w:p>
    <w:p>
      <w:pPr>
        <w:pStyle w:val="22"/>
        <w:tabs>
          <w:tab w:val="right" w:pos="1200"/>
          <w:tab w:val="right" w:leader="dot" w:pos="9641"/>
          <w:tab w:val="clear" w:pos="9639"/>
        </w:tabs>
      </w:pPr>
      <w:r>
        <w:t>E.7</w:t>
      </w:r>
      <w:r>
        <w:tab/>
      </w:r>
      <w:r>
        <w:rPr>
          <w:rFonts w:hint="eastAsia" w:eastAsia="宋体"/>
          <w:lang w:val="en-US" w:eastAsia="zh-CN"/>
        </w:rPr>
        <w:t>[FFS]</w:t>
      </w:r>
      <w:r>
        <w:tab/>
      </w:r>
      <w:r>
        <w:fldChar w:fldCharType="begin"/>
      </w:r>
      <w:r>
        <w:instrText xml:space="preserve"> PAGEREF _Toc30840 \h </w:instrText>
      </w:r>
      <w:r>
        <w:fldChar w:fldCharType="separate"/>
      </w:r>
      <w:r>
        <w:t>242</w:t>
      </w:r>
      <w:r>
        <w:fldChar w:fldCharType="end"/>
      </w:r>
    </w:p>
    <w:p>
      <w:pPr>
        <w:pStyle w:val="22"/>
        <w:tabs>
          <w:tab w:val="right" w:pos="1200"/>
          <w:tab w:val="right" w:leader="dot" w:pos="9641"/>
          <w:tab w:val="clear" w:pos="9639"/>
        </w:tabs>
      </w:pPr>
      <w:r>
        <w:t>E.8</w:t>
      </w:r>
      <w:r>
        <w:tab/>
      </w:r>
      <w:r>
        <w:t>EVM for category NB1</w:t>
      </w:r>
      <w:r>
        <w:tab/>
      </w:r>
      <w:r>
        <w:fldChar w:fldCharType="begin"/>
      </w:r>
      <w:r>
        <w:instrText xml:space="preserve"> PAGEREF _Toc9243 \h </w:instrText>
      </w:r>
      <w:r>
        <w:fldChar w:fldCharType="separate"/>
      </w:r>
      <w:r>
        <w:t>243</w:t>
      </w:r>
      <w:r>
        <w:fldChar w:fldCharType="end"/>
      </w:r>
    </w:p>
    <w:p>
      <w:pPr>
        <w:pStyle w:val="21"/>
        <w:tabs>
          <w:tab w:val="right" w:pos="1200"/>
          <w:tab w:val="right" w:leader="dot" w:pos="9641"/>
          <w:tab w:val="clear" w:pos="9639"/>
        </w:tabs>
      </w:pPr>
      <w:r>
        <w:t>E.8.1</w:t>
      </w:r>
      <w:r>
        <w:tab/>
      </w:r>
      <w:r>
        <w:t>Averaged EVM</w:t>
      </w:r>
      <w:r>
        <w:tab/>
      </w:r>
      <w:r>
        <w:fldChar w:fldCharType="begin"/>
      </w:r>
      <w:r>
        <w:instrText xml:space="preserve"> PAGEREF _Toc18620 \h </w:instrText>
      </w:r>
      <w:r>
        <w:fldChar w:fldCharType="separate"/>
      </w:r>
      <w:r>
        <w:t>243</w:t>
      </w:r>
      <w:r>
        <w:fldChar w:fldCharType="end"/>
      </w:r>
    </w:p>
    <w:p>
      <w:pPr>
        <w:pStyle w:val="21"/>
        <w:tabs>
          <w:tab w:val="right" w:pos="1200"/>
          <w:tab w:val="right" w:leader="dot" w:pos="9641"/>
          <w:tab w:val="clear" w:pos="9639"/>
        </w:tabs>
      </w:pPr>
      <w:r>
        <w:t>E.8.2</w:t>
      </w:r>
      <w:r>
        <w:tab/>
      </w:r>
      <w:r>
        <w:t>EVM of Demodulation reference symbols (EVM</w:t>
      </w:r>
      <w:r>
        <w:rPr>
          <w:szCs w:val="28"/>
          <w:vertAlign w:val="subscript"/>
        </w:rPr>
        <w:t>DMRS</w:t>
      </w:r>
      <w:r>
        <w:t>)</w:t>
      </w:r>
      <w:r>
        <w:tab/>
      </w:r>
      <w:r>
        <w:fldChar w:fldCharType="begin"/>
      </w:r>
      <w:r>
        <w:instrText xml:space="preserve"> PAGEREF _Toc5161 \h </w:instrText>
      </w:r>
      <w:r>
        <w:fldChar w:fldCharType="separate"/>
      </w:r>
      <w:r>
        <w:t>243</w:t>
      </w:r>
      <w:r>
        <w:fldChar w:fldCharType="end"/>
      </w:r>
    </w:p>
    <w:p>
      <w:pPr>
        <w:pStyle w:val="21"/>
        <w:tabs>
          <w:tab w:val="right" w:pos="1200"/>
          <w:tab w:val="right" w:leader="dot" w:pos="9641"/>
          <w:tab w:val="clear" w:pos="9639"/>
        </w:tabs>
      </w:pPr>
      <w:r>
        <w:t>E.8.3</w:t>
      </w:r>
      <w:r>
        <w:tab/>
      </w:r>
      <w:r>
        <w:t>EVM for NPRACH</w:t>
      </w:r>
      <w:r>
        <w:tab/>
      </w:r>
      <w:r>
        <w:fldChar w:fldCharType="begin"/>
      </w:r>
      <w:r>
        <w:instrText xml:space="preserve"> PAGEREF _Toc13864 \h </w:instrText>
      </w:r>
      <w:r>
        <w:fldChar w:fldCharType="separate"/>
      </w:r>
      <w:r>
        <w:t>243</w:t>
      </w:r>
      <w:r>
        <w:fldChar w:fldCharType="end"/>
      </w:r>
    </w:p>
    <w:p>
      <w:pPr>
        <w:pStyle w:val="21"/>
        <w:tabs>
          <w:tab w:val="right" w:pos="1200"/>
          <w:tab w:val="right" w:leader="dot" w:pos="9641"/>
          <w:tab w:val="clear" w:pos="9639"/>
        </w:tabs>
      </w:pPr>
      <w:r>
        <w:t>E.8.4</w:t>
      </w:r>
      <w:r>
        <w:tab/>
      </w:r>
      <w:r>
        <w:t>Window length for category NB1</w:t>
      </w:r>
      <w:r>
        <w:tab/>
      </w:r>
      <w:r>
        <w:fldChar w:fldCharType="begin"/>
      </w:r>
      <w:r>
        <w:instrText xml:space="preserve"> PAGEREF _Toc29387 \h </w:instrText>
      </w:r>
      <w:r>
        <w:fldChar w:fldCharType="separate"/>
      </w:r>
      <w:r>
        <w:t>243</w:t>
      </w:r>
      <w:r>
        <w:fldChar w:fldCharType="end"/>
      </w:r>
    </w:p>
    <w:p>
      <w:pPr>
        <w:pStyle w:val="54"/>
        <w:tabs>
          <w:tab w:val="right" w:leader="dot" w:pos="9641"/>
          <w:tab w:val="clear" w:pos="9639"/>
        </w:tabs>
      </w:pPr>
      <w:r>
        <w:t>Annex F (normative): Measurement uncertainties and Test Tolerances</w:t>
      </w:r>
      <w:r>
        <w:tab/>
      </w:r>
      <w:r>
        <w:fldChar w:fldCharType="begin"/>
      </w:r>
      <w:r>
        <w:instrText xml:space="preserve"> PAGEREF _Toc1710 \h </w:instrText>
      </w:r>
      <w:r>
        <w:fldChar w:fldCharType="separate"/>
      </w:r>
      <w:r>
        <w:t>243</w:t>
      </w:r>
      <w:r>
        <w:fldChar w:fldCharType="end"/>
      </w:r>
    </w:p>
    <w:p>
      <w:pPr>
        <w:pStyle w:val="22"/>
        <w:tabs>
          <w:tab w:val="right" w:pos="1200"/>
          <w:tab w:val="right" w:leader="dot" w:pos="9641"/>
          <w:tab w:val="clear" w:pos="9639"/>
        </w:tabs>
      </w:pPr>
      <w:r>
        <w:t>F.1</w:t>
      </w:r>
      <w:r>
        <w:tab/>
      </w:r>
      <w:r>
        <w:t>Acceptable uncertainty of Test System (normative)</w:t>
      </w:r>
      <w:r>
        <w:tab/>
      </w:r>
      <w:r>
        <w:fldChar w:fldCharType="begin"/>
      </w:r>
      <w:r>
        <w:instrText xml:space="preserve"> PAGEREF _Toc6284 \h </w:instrText>
      </w:r>
      <w:r>
        <w:fldChar w:fldCharType="separate"/>
      </w:r>
      <w:r>
        <w:t>243</w:t>
      </w:r>
      <w:r>
        <w:fldChar w:fldCharType="end"/>
      </w:r>
    </w:p>
    <w:p>
      <w:pPr>
        <w:pStyle w:val="21"/>
        <w:tabs>
          <w:tab w:val="right" w:pos="1200"/>
          <w:tab w:val="right" w:leader="dot" w:pos="9641"/>
          <w:tab w:val="clear" w:pos="9639"/>
        </w:tabs>
      </w:pPr>
      <w:r>
        <w:t>F.1.1</w:t>
      </w:r>
      <w:r>
        <w:tab/>
      </w:r>
      <w:r>
        <w:rPr>
          <w:lang w:eastAsia="sv-SE"/>
        </w:rPr>
        <w:t>Measurement of test environments</w:t>
      </w:r>
      <w:r>
        <w:tab/>
      </w:r>
      <w:r>
        <w:fldChar w:fldCharType="begin"/>
      </w:r>
      <w:r>
        <w:instrText xml:space="preserve"> PAGEREF _Toc14736 \h </w:instrText>
      </w:r>
      <w:r>
        <w:fldChar w:fldCharType="separate"/>
      </w:r>
      <w:r>
        <w:t>243</w:t>
      </w:r>
      <w:r>
        <w:fldChar w:fldCharType="end"/>
      </w:r>
    </w:p>
    <w:p>
      <w:pPr>
        <w:pStyle w:val="21"/>
        <w:tabs>
          <w:tab w:val="right" w:pos="1200"/>
          <w:tab w:val="right" w:leader="dot" w:pos="9641"/>
          <w:tab w:val="clear" w:pos="9639"/>
        </w:tabs>
      </w:pPr>
      <w:r>
        <w:t>F.1.2</w:t>
      </w:r>
      <w:r>
        <w:tab/>
      </w:r>
      <w:r>
        <w:rPr>
          <w:lang w:eastAsia="sv-SE"/>
        </w:rPr>
        <w:t xml:space="preserve">Measurement of </w:t>
      </w:r>
      <w:r>
        <w:t>transmitter</w:t>
      </w:r>
      <w:r>
        <w:tab/>
      </w:r>
      <w:r>
        <w:fldChar w:fldCharType="begin"/>
      </w:r>
      <w:r>
        <w:instrText xml:space="preserve"> PAGEREF _Toc21787 \h </w:instrText>
      </w:r>
      <w:r>
        <w:fldChar w:fldCharType="separate"/>
      </w:r>
      <w:r>
        <w:t>245</w:t>
      </w:r>
      <w:r>
        <w:fldChar w:fldCharType="end"/>
      </w:r>
    </w:p>
    <w:p>
      <w:pPr>
        <w:pStyle w:val="21"/>
        <w:tabs>
          <w:tab w:val="right" w:pos="1200"/>
          <w:tab w:val="right" w:leader="dot" w:pos="9641"/>
          <w:tab w:val="clear" w:pos="9639"/>
        </w:tabs>
      </w:pPr>
      <w:r>
        <w:t>F.1.3</w:t>
      </w:r>
      <w:r>
        <w:tab/>
      </w:r>
      <w:r>
        <w:rPr>
          <w:lang w:eastAsia="sv-SE"/>
        </w:rPr>
        <w:t xml:space="preserve">Measurement of </w:t>
      </w:r>
      <w:r>
        <w:t>receiver</w:t>
      </w:r>
      <w:r>
        <w:tab/>
      </w:r>
      <w:r>
        <w:fldChar w:fldCharType="begin"/>
      </w:r>
      <w:r>
        <w:instrText xml:space="preserve"> PAGEREF _Toc16232 \h </w:instrText>
      </w:r>
      <w:r>
        <w:fldChar w:fldCharType="separate"/>
      </w:r>
      <w:r>
        <w:t>246</w:t>
      </w:r>
      <w:r>
        <w:fldChar w:fldCharType="end"/>
      </w:r>
    </w:p>
    <w:p>
      <w:pPr>
        <w:pStyle w:val="21"/>
        <w:tabs>
          <w:tab w:val="right" w:pos="1200"/>
          <w:tab w:val="right" w:leader="dot" w:pos="9641"/>
          <w:tab w:val="clear" w:pos="9639"/>
        </w:tabs>
      </w:pPr>
      <w:r>
        <w:t>F.1.4</w:t>
      </w:r>
      <w:r>
        <w:tab/>
      </w:r>
      <w:r>
        <w:rPr>
          <w:lang w:eastAsia="sv-SE"/>
        </w:rPr>
        <w:t xml:space="preserve">Measurement of </w:t>
      </w:r>
      <w:r>
        <w:t>performance requirements</w:t>
      </w:r>
      <w:r>
        <w:tab/>
      </w:r>
      <w:r>
        <w:fldChar w:fldCharType="begin"/>
      </w:r>
      <w:r>
        <w:instrText xml:space="preserve"> PAGEREF _Toc24490 \h </w:instrText>
      </w:r>
      <w:r>
        <w:fldChar w:fldCharType="separate"/>
      </w:r>
      <w:r>
        <w:t>246</w:t>
      </w:r>
      <w:r>
        <w:fldChar w:fldCharType="end"/>
      </w:r>
    </w:p>
    <w:p>
      <w:pPr>
        <w:pStyle w:val="22"/>
        <w:tabs>
          <w:tab w:val="right" w:pos="1200"/>
          <w:tab w:val="right" w:leader="dot" w:pos="9641"/>
          <w:tab w:val="clear" w:pos="9639"/>
        </w:tabs>
      </w:pPr>
      <w:r>
        <w:t>F.2</w:t>
      </w:r>
      <w:r>
        <w:tab/>
      </w:r>
      <w:r>
        <w:t>Interpretation of measurement results (normative)</w:t>
      </w:r>
      <w:r>
        <w:tab/>
      </w:r>
      <w:r>
        <w:fldChar w:fldCharType="begin"/>
      </w:r>
      <w:r>
        <w:instrText xml:space="preserve"> PAGEREF _Toc24471 \h </w:instrText>
      </w:r>
      <w:r>
        <w:fldChar w:fldCharType="separate"/>
      </w:r>
      <w:r>
        <w:t>246</w:t>
      </w:r>
      <w:r>
        <w:fldChar w:fldCharType="end"/>
      </w:r>
    </w:p>
    <w:p>
      <w:pPr>
        <w:pStyle w:val="22"/>
        <w:tabs>
          <w:tab w:val="right" w:pos="1200"/>
          <w:tab w:val="right" w:leader="dot" w:pos="9641"/>
          <w:tab w:val="clear" w:pos="9639"/>
        </w:tabs>
      </w:pPr>
      <w:r>
        <w:t>F.3</w:t>
      </w:r>
      <w:r>
        <w:tab/>
      </w:r>
      <w:r>
        <w:t>Test Tolerance and Derivation of Test Requirements (informative)</w:t>
      </w:r>
      <w:r>
        <w:tab/>
      </w:r>
      <w:r>
        <w:fldChar w:fldCharType="begin"/>
      </w:r>
      <w:r>
        <w:instrText xml:space="preserve"> PAGEREF _Toc808 \h </w:instrText>
      </w:r>
      <w:r>
        <w:fldChar w:fldCharType="separate"/>
      </w:r>
      <w:r>
        <w:t>247</w:t>
      </w:r>
      <w:r>
        <w:fldChar w:fldCharType="end"/>
      </w:r>
    </w:p>
    <w:p>
      <w:pPr>
        <w:pStyle w:val="21"/>
        <w:tabs>
          <w:tab w:val="right" w:pos="1200"/>
          <w:tab w:val="right" w:leader="dot" w:pos="9641"/>
          <w:tab w:val="clear" w:pos="9639"/>
        </w:tabs>
      </w:pPr>
      <w:r>
        <w:t>F.3.1</w:t>
      </w:r>
      <w:r>
        <w:tab/>
      </w:r>
      <w:r>
        <w:rPr>
          <w:lang w:eastAsia="sv-SE"/>
        </w:rPr>
        <w:t>Measurement of test environments</w:t>
      </w:r>
      <w:r>
        <w:tab/>
      </w:r>
      <w:r>
        <w:fldChar w:fldCharType="begin"/>
      </w:r>
      <w:r>
        <w:instrText xml:space="preserve"> PAGEREF _Toc7706 \h </w:instrText>
      </w:r>
      <w:r>
        <w:fldChar w:fldCharType="separate"/>
      </w:r>
      <w:r>
        <w:t>247</w:t>
      </w:r>
      <w:r>
        <w:fldChar w:fldCharType="end"/>
      </w:r>
    </w:p>
    <w:p>
      <w:pPr>
        <w:pStyle w:val="21"/>
        <w:tabs>
          <w:tab w:val="right" w:pos="1200"/>
          <w:tab w:val="right" w:leader="dot" w:pos="9641"/>
          <w:tab w:val="clear" w:pos="9639"/>
        </w:tabs>
      </w:pPr>
      <w:r>
        <w:t>F.3.2</w:t>
      </w:r>
      <w:r>
        <w:tab/>
      </w:r>
      <w:r>
        <w:rPr>
          <w:lang w:eastAsia="sv-SE"/>
        </w:rPr>
        <w:t xml:space="preserve">Measurement of </w:t>
      </w:r>
      <w:r>
        <w:t>transmitter</w:t>
      </w:r>
      <w:r>
        <w:tab/>
      </w:r>
      <w:r>
        <w:fldChar w:fldCharType="begin"/>
      </w:r>
      <w:r>
        <w:instrText xml:space="preserve"> PAGEREF _Toc11583 \h </w:instrText>
      </w:r>
      <w:r>
        <w:fldChar w:fldCharType="separate"/>
      </w:r>
      <w:r>
        <w:t>247</w:t>
      </w:r>
      <w:r>
        <w:fldChar w:fldCharType="end"/>
      </w:r>
    </w:p>
    <w:p>
      <w:pPr>
        <w:pStyle w:val="21"/>
        <w:tabs>
          <w:tab w:val="right" w:pos="1200"/>
          <w:tab w:val="right" w:leader="dot" w:pos="9641"/>
          <w:tab w:val="clear" w:pos="9639"/>
        </w:tabs>
      </w:pPr>
      <w:r>
        <w:t>F.3.3</w:t>
      </w:r>
      <w:r>
        <w:tab/>
      </w:r>
      <w:r>
        <w:rPr>
          <w:lang w:eastAsia="sv-SE"/>
        </w:rPr>
        <w:t xml:space="preserve">Measurement of </w:t>
      </w:r>
      <w:r>
        <w:t>receiver</w:t>
      </w:r>
      <w:r>
        <w:tab/>
      </w:r>
      <w:r>
        <w:fldChar w:fldCharType="begin"/>
      </w:r>
      <w:r>
        <w:instrText xml:space="preserve"> PAGEREF _Toc19733 \h </w:instrText>
      </w:r>
      <w:r>
        <w:fldChar w:fldCharType="separate"/>
      </w:r>
      <w:r>
        <w:t>247</w:t>
      </w:r>
      <w:r>
        <w:fldChar w:fldCharType="end"/>
      </w:r>
    </w:p>
    <w:p>
      <w:pPr>
        <w:pStyle w:val="21"/>
        <w:tabs>
          <w:tab w:val="right" w:pos="1200"/>
          <w:tab w:val="right" w:leader="dot" w:pos="9641"/>
          <w:tab w:val="clear" w:pos="9639"/>
        </w:tabs>
      </w:pPr>
      <w:r>
        <w:t>F.3.4</w:t>
      </w:r>
      <w:r>
        <w:tab/>
      </w:r>
      <w:r>
        <w:rPr>
          <w:lang w:eastAsia="sv-SE"/>
        </w:rPr>
        <w:t xml:space="preserve">Measurement of </w:t>
      </w:r>
      <w:r>
        <w:t>performance requirements</w:t>
      </w:r>
      <w:r>
        <w:tab/>
      </w:r>
      <w:r>
        <w:fldChar w:fldCharType="begin"/>
      </w:r>
      <w:r>
        <w:instrText xml:space="preserve"> PAGEREF _Toc32312 \h </w:instrText>
      </w:r>
      <w:r>
        <w:fldChar w:fldCharType="separate"/>
      </w:r>
      <w:r>
        <w:t>247</w:t>
      </w:r>
      <w:r>
        <w:fldChar w:fldCharType="end"/>
      </w:r>
    </w:p>
    <w:p>
      <w:pPr>
        <w:pStyle w:val="54"/>
        <w:tabs>
          <w:tab w:val="right" w:leader="dot" w:pos="9641"/>
          <w:tab w:val="clear" w:pos="9639"/>
        </w:tabs>
      </w:pPr>
      <w:r>
        <w:t>Annex G (no</w:t>
      </w:r>
      <w:r>
        <w:rPr>
          <w:lang w:eastAsia="en-GB"/>
        </w:rPr>
        <w:t>rmative</w:t>
      </w:r>
      <w:r>
        <w:t xml:space="preserve">): </w:t>
      </w:r>
      <w:r>
        <w:rPr>
          <w:rFonts w:cs="v4.2.0"/>
        </w:rPr>
        <w:t>Statistical Testing</w:t>
      </w:r>
      <w:r>
        <w:tab/>
      </w:r>
      <w:r>
        <w:fldChar w:fldCharType="begin"/>
      </w:r>
      <w:r>
        <w:instrText xml:space="preserve"> PAGEREF _Toc10564 \h </w:instrText>
      </w:r>
      <w:r>
        <w:fldChar w:fldCharType="separate"/>
      </w:r>
      <w:r>
        <w:t>248</w:t>
      </w:r>
      <w:r>
        <w:fldChar w:fldCharType="end"/>
      </w:r>
    </w:p>
    <w:p>
      <w:pPr>
        <w:pStyle w:val="22"/>
        <w:tabs>
          <w:tab w:val="right" w:pos="1200"/>
          <w:tab w:val="right" w:leader="dot" w:pos="9641"/>
          <w:tab w:val="clear" w:pos="9639"/>
        </w:tabs>
      </w:pPr>
      <w:r>
        <w:t>G.1</w:t>
      </w:r>
      <w:r>
        <w:tab/>
      </w:r>
      <w:r>
        <w:t>General</w:t>
      </w:r>
      <w:r>
        <w:tab/>
      </w:r>
      <w:r>
        <w:fldChar w:fldCharType="begin"/>
      </w:r>
      <w:r>
        <w:instrText xml:space="preserve"> PAGEREF _Toc32557 \h </w:instrText>
      </w:r>
      <w:r>
        <w:fldChar w:fldCharType="separate"/>
      </w:r>
      <w:r>
        <w:t>248</w:t>
      </w:r>
      <w:r>
        <w:fldChar w:fldCharType="end"/>
      </w:r>
    </w:p>
    <w:p>
      <w:pPr>
        <w:pStyle w:val="22"/>
        <w:tabs>
          <w:tab w:val="right" w:pos="1200"/>
          <w:tab w:val="right" w:leader="dot" w:pos="9641"/>
          <w:tab w:val="clear" w:pos="9639"/>
        </w:tabs>
      </w:pPr>
      <w:r>
        <w:t>G.2</w:t>
      </w:r>
      <w:r>
        <w:tab/>
      </w:r>
      <w:r>
        <w:t>Statistical testing of receiver characteristics</w:t>
      </w:r>
      <w:r>
        <w:tab/>
      </w:r>
      <w:r>
        <w:fldChar w:fldCharType="begin"/>
      </w:r>
      <w:r>
        <w:instrText xml:space="preserve"> PAGEREF _Toc12211 \h </w:instrText>
      </w:r>
      <w:r>
        <w:fldChar w:fldCharType="separate"/>
      </w:r>
      <w:r>
        <w:t>248</w:t>
      </w:r>
      <w:r>
        <w:fldChar w:fldCharType="end"/>
      </w:r>
    </w:p>
    <w:p>
      <w:pPr>
        <w:pStyle w:val="21"/>
        <w:tabs>
          <w:tab w:val="right" w:pos="1200"/>
          <w:tab w:val="right" w:leader="dot" w:pos="9641"/>
          <w:tab w:val="clear" w:pos="9639"/>
        </w:tabs>
      </w:pPr>
      <w:r>
        <w:t>G.2.1</w:t>
      </w:r>
      <w:r>
        <w:tab/>
      </w:r>
      <w:r>
        <w:t>General</w:t>
      </w:r>
      <w:r>
        <w:tab/>
      </w:r>
      <w:r>
        <w:fldChar w:fldCharType="begin"/>
      </w:r>
      <w:r>
        <w:instrText xml:space="preserve"> PAGEREF _Toc29968 \h </w:instrText>
      </w:r>
      <w:r>
        <w:fldChar w:fldCharType="separate"/>
      </w:r>
      <w:r>
        <w:t>248</w:t>
      </w:r>
      <w:r>
        <w:fldChar w:fldCharType="end"/>
      </w:r>
    </w:p>
    <w:p>
      <w:pPr>
        <w:pStyle w:val="21"/>
        <w:tabs>
          <w:tab w:val="right" w:pos="1200"/>
          <w:tab w:val="right" w:leader="dot" w:pos="9641"/>
          <w:tab w:val="clear" w:pos="9639"/>
        </w:tabs>
      </w:pPr>
      <w:r>
        <w:t>G.2.2</w:t>
      </w:r>
      <w:r>
        <w:tab/>
      </w:r>
      <w:r>
        <w:t>Mapping throughput to error ratio</w:t>
      </w:r>
      <w:r>
        <w:tab/>
      </w:r>
      <w:r>
        <w:fldChar w:fldCharType="begin"/>
      </w:r>
      <w:r>
        <w:instrText xml:space="preserve"> PAGEREF _Toc5911 \h </w:instrText>
      </w:r>
      <w:r>
        <w:fldChar w:fldCharType="separate"/>
      </w:r>
      <w:r>
        <w:t>248</w:t>
      </w:r>
      <w:r>
        <w:fldChar w:fldCharType="end"/>
      </w:r>
    </w:p>
    <w:p>
      <w:pPr>
        <w:pStyle w:val="21"/>
        <w:tabs>
          <w:tab w:val="right" w:pos="1200"/>
          <w:tab w:val="right" w:leader="dot" w:pos="9641"/>
          <w:tab w:val="clear" w:pos="9639"/>
        </w:tabs>
      </w:pPr>
      <w:r>
        <w:t>G.2.3</w:t>
      </w:r>
      <w:r>
        <w:tab/>
      </w:r>
      <w:r>
        <w:t>Design of the test</w:t>
      </w:r>
      <w:r>
        <w:tab/>
      </w:r>
      <w:r>
        <w:fldChar w:fldCharType="begin"/>
      </w:r>
      <w:r>
        <w:instrText xml:space="preserve"> PAGEREF _Toc13789 \h </w:instrText>
      </w:r>
      <w:r>
        <w:fldChar w:fldCharType="separate"/>
      </w:r>
      <w:r>
        <w:t>248</w:t>
      </w:r>
      <w:r>
        <w:fldChar w:fldCharType="end"/>
      </w:r>
    </w:p>
    <w:p>
      <w:pPr>
        <w:pStyle w:val="21"/>
        <w:tabs>
          <w:tab w:val="right" w:pos="1200"/>
          <w:tab w:val="right" w:leader="dot" w:pos="9641"/>
          <w:tab w:val="clear" w:pos="9639"/>
        </w:tabs>
      </w:pPr>
      <w:r>
        <w:t>G.2.4</w:t>
      </w:r>
      <w:r>
        <w:tab/>
      </w:r>
      <w:r>
        <w:t>Numerical definition of the pass fail limits</w:t>
      </w:r>
      <w:r>
        <w:tab/>
      </w:r>
      <w:r>
        <w:fldChar w:fldCharType="begin"/>
      </w:r>
      <w:r>
        <w:instrText xml:space="preserve"> PAGEREF _Toc31088 \h </w:instrText>
      </w:r>
      <w:r>
        <w:fldChar w:fldCharType="separate"/>
      </w:r>
      <w:r>
        <w:t>249</w:t>
      </w:r>
      <w:r>
        <w:fldChar w:fldCharType="end"/>
      </w:r>
    </w:p>
    <w:p>
      <w:pPr>
        <w:pStyle w:val="21"/>
        <w:tabs>
          <w:tab w:val="right" w:pos="1200"/>
          <w:tab w:val="right" w:leader="dot" w:pos="9641"/>
          <w:tab w:val="clear" w:pos="9639"/>
        </w:tabs>
      </w:pPr>
      <w:r>
        <w:t>G.2.5</w:t>
      </w:r>
      <w:r>
        <w:tab/>
      </w:r>
      <w:r>
        <w:t>Pass fail decision rules</w:t>
      </w:r>
      <w:r>
        <w:tab/>
      </w:r>
      <w:r>
        <w:fldChar w:fldCharType="begin"/>
      </w:r>
      <w:r>
        <w:instrText xml:space="preserve"> PAGEREF _Toc950 \h </w:instrText>
      </w:r>
      <w:r>
        <w:fldChar w:fldCharType="separate"/>
      </w:r>
      <w:r>
        <w:t>250</w:t>
      </w:r>
      <w:r>
        <w:fldChar w:fldCharType="end"/>
      </w:r>
    </w:p>
    <w:p>
      <w:pPr>
        <w:pStyle w:val="22"/>
        <w:tabs>
          <w:tab w:val="right" w:pos="1200"/>
          <w:tab w:val="right" w:leader="dot" w:pos="9641"/>
          <w:tab w:val="clear" w:pos="9639"/>
        </w:tabs>
      </w:pPr>
      <w:r>
        <w:t>G.3</w:t>
      </w:r>
      <w:r>
        <w:tab/>
      </w:r>
      <w:r>
        <w:t>Statistical testing of Performance Requirements with throughput</w:t>
      </w:r>
      <w:r>
        <w:tab/>
      </w:r>
      <w:r>
        <w:fldChar w:fldCharType="begin"/>
      </w:r>
      <w:r>
        <w:instrText xml:space="preserve"> PAGEREF _Toc2006 \h </w:instrText>
      </w:r>
      <w:r>
        <w:fldChar w:fldCharType="separate"/>
      </w:r>
      <w:r>
        <w:t>250</w:t>
      </w:r>
      <w:r>
        <w:fldChar w:fldCharType="end"/>
      </w:r>
    </w:p>
    <w:p>
      <w:pPr>
        <w:pStyle w:val="21"/>
        <w:tabs>
          <w:tab w:val="right" w:pos="1200"/>
          <w:tab w:val="right" w:leader="dot" w:pos="9641"/>
          <w:tab w:val="clear" w:pos="9639"/>
        </w:tabs>
      </w:pPr>
      <w:r>
        <w:t>G.3.1</w:t>
      </w:r>
      <w:r>
        <w:tab/>
      </w:r>
      <w:r>
        <w:t>General</w:t>
      </w:r>
      <w:r>
        <w:tab/>
      </w:r>
      <w:r>
        <w:fldChar w:fldCharType="begin"/>
      </w:r>
      <w:r>
        <w:instrText xml:space="preserve"> PAGEREF _Toc27859 \h </w:instrText>
      </w:r>
      <w:r>
        <w:fldChar w:fldCharType="separate"/>
      </w:r>
      <w:r>
        <w:t>250</w:t>
      </w:r>
      <w:r>
        <w:fldChar w:fldCharType="end"/>
      </w:r>
    </w:p>
    <w:p>
      <w:pPr>
        <w:pStyle w:val="21"/>
        <w:tabs>
          <w:tab w:val="right" w:pos="1200"/>
          <w:tab w:val="right" w:leader="dot" w:pos="9641"/>
          <w:tab w:val="clear" w:pos="9639"/>
        </w:tabs>
      </w:pPr>
      <w:r>
        <w:t>G.3.2</w:t>
      </w:r>
      <w:r>
        <w:tab/>
      </w:r>
      <w:r>
        <w:t>Mapping throughput to error ratio</w:t>
      </w:r>
      <w:r>
        <w:tab/>
      </w:r>
      <w:r>
        <w:fldChar w:fldCharType="begin"/>
      </w:r>
      <w:r>
        <w:instrText xml:space="preserve"> PAGEREF _Toc6962 \h </w:instrText>
      </w:r>
      <w:r>
        <w:fldChar w:fldCharType="separate"/>
      </w:r>
      <w:r>
        <w:t>250</w:t>
      </w:r>
      <w:r>
        <w:fldChar w:fldCharType="end"/>
      </w:r>
    </w:p>
    <w:p>
      <w:pPr>
        <w:pStyle w:val="21"/>
        <w:tabs>
          <w:tab w:val="right" w:pos="1200"/>
          <w:tab w:val="right" w:leader="dot" w:pos="9641"/>
          <w:tab w:val="clear" w:pos="9639"/>
        </w:tabs>
      </w:pPr>
      <w:r>
        <w:t>G.3.3</w:t>
      </w:r>
      <w:r>
        <w:tab/>
      </w:r>
      <w:r>
        <w:t>Design of the test</w:t>
      </w:r>
      <w:r>
        <w:tab/>
      </w:r>
      <w:r>
        <w:fldChar w:fldCharType="begin"/>
      </w:r>
      <w:r>
        <w:instrText xml:space="preserve"> PAGEREF _Toc9150 \h </w:instrText>
      </w:r>
      <w:r>
        <w:fldChar w:fldCharType="separate"/>
      </w:r>
      <w:r>
        <w:t>251</w:t>
      </w:r>
      <w:r>
        <w:fldChar w:fldCharType="end"/>
      </w:r>
    </w:p>
    <w:p>
      <w:pPr>
        <w:pStyle w:val="21"/>
        <w:tabs>
          <w:tab w:val="right" w:pos="1200"/>
          <w:tab w:val="right" w:leader="dot" w:pos="9641"/>
          <w:tab w:val="clear" w:pos="9639"/>
        </w:tabs>
      </w:pPr>
      <w:r>
        <w:t>G.3.4</w:t>
      </w:r>
      <w:r>
        <w:tab/>
      </w:r>
      <w:r>
        <w:t>Pass Fail limit</w:t>
      </w:r>
      <w:r>
        <w:tab/>
      </w:r>
      <w:r>
        <w:fldChar w:fldCharType="begin"/>
      </w:r>
      <w:r>
        <w:instrText xml:space="preserve"> PAGEREF _Toc3083 \h </w:instrText>
      </w:r>
      <w:r>
        <w:fldChar w:fldCharType="separate"/>
      </w:r>
      <w:r>
        <w:t>251</w:t>
      </w:r>
      <w:r>
        <w:fldChar w:fldCharType="end"/>
      </w:r>
    </w:p>
    <w:p>
      <w:pPr>
        <w:pStyle w:val="21"/>
        <w:tabs>
          <w:tab w:val="right" w:pos="1200"/>
          <w:tab w:val="right" w:leader="dot" w:pos="9641"/>
          <w:tab w:val="clear" w:pos="9639"/>
        </w:tabs>
      </w:pPr>
      <w:r>
        <w:t>G.3.5</w:t>
      </w:r>
      <w:r>
        <w:tab/>
      </w:r>
      <w:r>
        <w:t>Minimum Test time</w:t>
      </w:r>
      <w:r>
        <w:tab/>
      </w:r>
      <w:r>
        <w:fldChar w:fldCharType="begin"/>
      </w:r>
      <w:r>
        <w:instrText xml:space="preserve"> PAGEREF _Toc22146 \h </w:instrText>
      </w:r>
      <w:r>
        <w:fldChar w:fldCharType="separate"/>
      </w:r>
      <w:r>
        <w:t>251</w:t>
      </w:r>
      <w:r>
        <w:fldChar w:fldCharType="end"/>
      </w:r>
    </w:p>
    <w:p>
      <w:pPr>
        <w:pStyle w:val="22"/>
        <w:tabs>
          <w:tab w:val="right" w:pos="1200"/>
          <w:tab w:val="right" w:leader="dot" w:pos="9641"/>
          <w:tab w:val="clear" w:pos="9639"/>
        </w:tabs>
      </w:pPr>
      <w:r>
        <w:t>G.</w:t>
      </w:r>
      <w:r>
        <w:rPr>
          <w:rFonts w:hint="eastAsia" w:eastAsia="宋体"/>
          <w:lang w:val="en-US" w:eastAsia="zh-CN"/>
        </w:rPr>
        <w:t>4</w:t>
      </w:r>
      <w:r>
        <w:tab/>
      </w:r>
      <w:r>
        <w:rPr>
          <w:rFonts w:hint="eastAsia" w:eastAsia="宋体"/>
          <w:lang w:val="en-US" w:eastAsia="zh-CN"/>
        </w:rPr>
        <w:t>[FFS]</w:t>
      </w:r>
      <w:r>
        <w:tab/>
      </w:r>
      <w:r>
        <w:fldChar w:fldCharType="begin"/>
      </w:r>
      <w:r>
        <w:instrText xml:space="preserve"> PAGEREF _Toc4467 \h </w:instrText>
      </w:r>
      <w:r>
        <w:fldChar w:fldCharType="separate"/>
      </w:r>
      <w:r>
        <w:t>253</w:t>
      </w:r>
      <w:r>
        <w:fldChar w:fldCharType="end"/>
      </w:r>
    </w:p>
    <w:p>
      <w:pPr>
        <w:pStyle w:val="22"/>
        <w:tabs>
          <w:tab w:val="right" w:pos="1200"/>
          <w:tab w:val="right" w:leader="dot" w:pos="9641"/>
          <w:tab w:val="clear" w:pos="9639"/>
        </w:tabs>
      </w:pPr>
      <w:r>
        <w:t>G.</w:t>
      </w:r>
      <w:r>
        <w:rPr>
          <w:rFonts w:hint="eastAsia" w:eastAsia="宋体"/>
          <w:lang w:val="en-US" w:eastAsia="zh-CN"/>
        </w:rPr>
        <w:t>5</w:t>
      </w:r>
      <w:r>
        <w:tab/>
      </w:r>
      <w:r>
        <w:rPr>
          <w:rFonts w:hint="eastAsia" w:eastAsia="宋体"/>
          <w:lang w:val="en-US" w:eastAsia="zh-CN"/>
        </w:rPr>
        <w:t>[FFS]</w:t>
      </w:r>
      <w:r>
        <w:tab/>
      </w:r>
      <w:r>
        <w:fldChar w:fldCharType="begin"/>
      </w:r>
      <w:r>
        <w:instrText xml:space="preserve"> PAGEREF _Toc25683 \h </w:instrText>
      </w:r>
      <w:r>
        <w:fldChar w:fldCharType="separate"/>
      </w:r>
      <w:r>
        <w:t>253</w:t>
      </w:r>
      <w:r>
        <w:fldChar w:fldCharType="end"/>
      </w:r>
    </w:p>
    <w:p>
      <w:pPr>
        <w:pStyle w:val="22"/>
        <w:tabs>
          <w:tab w:val="right" w:pos="1200"/>
          <w:tab w:val="right" w:leader="dot" w:pos="9641"/>
          <w:tab w:val="clear" w:pos="9639"/>
        </w:tabs>
      </w:pPr>
      <w:r>
        <w:t>G.</w:t>
      </w:r>
      <w:r>
        <w:rPr>
          <w:rFonts w:hint="eastAsia" w:eastAsia="宋体"/>
          <w:lang w:val="en-US" w:eastAsia="zh-CN"/>
        </w:rPr>
        <w:t>6</w:t>
      </w:r>
      <w:r>
        <w:tab/>
      </w:r>
      <w:r>
        <w:rPr>
          <w:rFonts w:hint="eastAsia" w:eastAsia="宋体"/>
          <w:lang w:val="en-US" w:eastAsia="zh-CN"/>
        </w:rPr>
        <w:t>[FFS]</w:t>
      </w:r>
      <w:r>
        <w:tab/>
      </w:r>
      <w:r>
        <w:fldChar w:fldCharType="begin"/>
      </w:r>
      <w:r>
        <w:instrText xml:space="preserve"> PAGEREF _Toc10383 \h </w:instrText>
      </w:r>
      <w:r>
        <w:fldChar w:fldCharType="separate"/>
      </w:r>
      <w:r>
        <w:t>253</w:t>
      </w:r>
      <w:r>
        <w:fldChar w:fldCharType="end"/>
      </w:r>
    </w:p>
    <w:p>
      <w:pPr>
        <w:pStyle w:val="22"/>
        <w:tabs>
          <w:tab w:val="right" w:pos="1200"/>
          <w:tab w:val="right" w:leader="dot" w:pos="9641"/>
          <w:tab w:val="clear" w:pos="9639"/>
        </w:tabs>
      </w:pPr>
      <w:r>
        <w:t>G.7</w:t>
      </w:r>
      <w:r>
        <w:tab/>
      </w:r>
      <w:r>
        <w:t>Theory to derive the numbers in Table G.2.4-1 (Informative)</w:t>
      </w:r>
      <w:r>
        <w:tab/>
      </w:r>
      <w:r>
        <w:fldChar w:fldCharType="begin"/>
      </w:r>
      <w:r>
        <w:instrText xml:space="preserve"> PAGEREF _Toc3446 \h </w:instrText>
      </w:r>
      <w:r>
        <w:fldChar w:fldCharType="separate"/>
      </w:r>
      <w:r>
        <w:t>253</w:t>
      </w:r>
      <w:r>
        <w:fldChar w:fldCharType="end"/>
      </w:r>
    </w:p>
    <w:p>
      <w:pPr>
        <w:pStyle w:val="21"/>
        <w:tabs>
          <w:tab w:val="right" w:pos="1200"/>
          <w:tab w:val="right" w:leader="dot" w:pos="9641"/>
          <w:tab w:val="clear" w:pos="9639"/>
        </w:tabs>
      </w:pPr>
      <w:r>
        <w:t>G.7.1</w:t>
      </w:r>
      <w:r>
        <w:tab/>
      </w:r>
      <w:r>
        <w:t>Error Ratio (ER)</w:t>
      </w:r>
      <w:r>
        <w:tab/>
      </w:r>
      <w:r>
        <w:fldChar w:fldCharType="begin"/>
      </w:r>
      <w:r>
        <w:instrText xml:space="preserve"> PAGEREF _Toc20832 \h </w:instrText>
      </w:r>
      <w:r>
        <w:fldChar w:fldCharType="separate"/>
      </w:r>
      <w:r>
        <w:t>253</w:t>
      </w:r>
      <w:r>
        <w:fldChar w:fldCharType="end"/>
      </w:r>
    </w:p>
    <w:p>
      <w:pPr>
        <w:pStyle w:val="21"/>
        <w:tabs>
          <w:tab w:val="right" w:pos="1200"/>
          <w:tab w:val="right" w:leader="dot" w:pos="9641"/>
          <w:tab w:val="clear" w:pos="9639"/>
        </w:tabs>
      </w:pPr>
      <w:r>
        <w:t>G.7.2</w:t>
      </w:r>
      <w:r>
        <w:tab/>
      </w:r>
      <w:r>
        <w:t>Test Design</w:t>
      </w:r>
      <w:r>
        <w:tab/>
      </w:r>
      <w:r>
        <w:fldChar w:fldCharType="begin"/>
      </w:r>
      <w:r>
        <w:instrText xml:space="preserve"> PAGEREF _Toc22390 \h </w:instrText>
      </w:r>
      <w:r>
        <w:fldChar w:fldCharType="separate"/>
      </w:r>
      <w:r>
        <w:t>253</w:t>
      </w:r>
      <w:r>
        <w:fldChar w:fldCharType="end"/>
      </w:r>
    </w:p>
    <w:p>
      <w:pPr>
        <w:pStyle w:val="21"/>
        <w:tabs>
          <w:tab w:val="right" w:pos="1200"/>
          <w:tab w:val="right" w:leader="dot" w:pos="9641"/>
          <w:tab w:val="clear" w:pos="9639"/>
        </w:tabs>
      </w:pPr>
      <w:r>
        <w:t>G.7.3</w:t>
      </w:r>
      <w:r>
        <w:tab/>
      </w:r>
      <w:r>
        <w:t>Confidence level</w:t>
      </w:r>
      <w:r>
        <w:tab/>
      </w:r>
      <w:r>
        <w:fldChar w:fldCharType="begin"/>
      </w:r>
      <w:r>
        <w:instrText xml:space="preserve"> PAGEREF _Toc4776 \h </w:instrText>
      </w:r>
      <w:r>
        <w:fldChar w:fldCharType="separate"/>
      </w:r>
      <w:r>
        <w:t>253</w:t>
      </w:r>
      <w:r>
        <w:fldChar w:fldCharType="end"/>
      </w:r>
    </w:p>
    <w:p>
      <w:pPr>
        <w:pStyle w:val="21"/>
        <w:tabs>
          <w:tab w:val="right" w:pos="1200"/>
          <w:tab w:val="right" w:leader="dot" w:pos="9641"/>
          <w:tab w:val="clear" w:pos="9639"/>
        </w:tabs>
      </w:pPr>
      <w:r>
        <w:t>G.7.4</w:t>
      </w:r>
      <w:r>
        <w:tab/>
      </w:r>
      <w:r>
        <w:t>Introduction: Supplier Risk versus Customer Risk</w:t>
      </w:r>
      <w:r>
        <w:tab/>
      </w:r>
      <w:r>
        <w:fldChar w:fldCharType="begin"/>
      </w:r>
      <w:r>
        <w:instrText xml:space="preserve"> PAGEREF _Toc28644 \h </w:instrText>
      </w:r>
      <w:r>
        <w:fldChar w:fldCharType="separate"/>
      </w:r>
      <w:r>
        <w:t>254</w:t>
      </w:r>
      <w:r>
        <w:fldChar w:fldCharType="end"/>
      </w:r>
    </w:p>
    <w:p>
      <w:pPr>
        <w:pStyle w:val="21"/>
        <w:tabs>
          <w:tab w:val="right" w:pos="1200"/>
          <w:tab w:val="right" w:leader="dot" w:pos="9641"/>
          <w:tab w:val="clear" w:pos="9639"/>
        </w:tabs>
      </w:pPr>
      <w:r>
        <w:t>G.7.5</w:t>
      </w:r>
      <w:r>
        <w:tab/>
      </w:r>
      <w:r>
        <w:t>Supplier Risk versus Customer Risk</w:t>
      </w:r>
      <w:r>
        <w:tab/>
      </w:r>
      <w:r>
        <w:fldChar w:fldCharType="begin"/>
      </w:r>
      <w:r>
        <w:instrText xml:space="preserve"> PAGEREF _Toc1572 \h </w:instrText>
      </w:r>
      <w:r>
        <w:fldChar w:fldCharType="separate"/>
      </w:r>
      <w:r>
        <w:t>254</w:t>
      </w:r>
      <w:r>
        <w:fldChar w:fldCharType="end"/>
      </w:r>
    </w:p>
    <w:p>
      <w:pPr>
        <w:pStyle w:val="21"/>
        <w:tabs>
          <w:tab w:val="right" w:pos="1200"/>
          <w:tab w:val="right" w:leader="dot" w:pos="9641"/>
          <w:tab w:val="clear" w:pos="9639"/>
        </w:tabs>
      </w:pPr>
      <w:r>
        <w:t>G.7.6</w:t>
      </w:r>
      <w:r>
        <w:tab/>
      </w:r>
      <w:r>
        <w:t>Introduction: Standard test versus early decision concept</w:t>
      </w:r>
      <w:r>
        <w:tab/>
      </w:r>
      <w:r>
        <w:fldChar w:fldCharType="begin"/>
      </w:r>
      <w:r>
        <w:instrText xml:space="preserve"> PAGEREF _Toc27192 \h </w:instrText>
      </w:r>
      <w:r>
        <w:fldChar w:fldCharType="separate"/>
      </w:r>
      <w:r>
        <w:t>254</w:t>
      </w:r>
      <w:r>
        <w:fldChar w:fldCharType="end"/>
      </w:r>
    </w:p>
    <w:p>
      <w:pPr>
        <w:pStyle w:val="21"/>
        <w:tabs>
          <w:tab w:val="right" w:pos="1200"/>
          <w:tab w:val="right" w:leader="dot" w:pos="9641"/>
          <w:tab w:val="clear" w:pos="9639"/>
        </w:tabs>
      </w:pPr>
      <w:r>
        <w:t>G.7.7</w:t>
      </w:r>
      <w:r>
        <w:tab/>
      </w:r>
      <w:r>
        <w:t>Standard test versus early decision concept</w:t>
      </w:r>
      <w:r>
        <w:tab/>
      </w:r>
      <w:r>
        <w:fldChar w:fldCharType="begin"/>
      </w:r>
      <w:r>
        <w:instrText xml:space="preserve"> PAGEREF _Toc30581 \h </w:instrText>
      </w:r>
      <w:r>
        <w:fldChar w:fldCharType="separate"/>
      </w:r>
      <w:r>
        <w:t>255</w:t>
      </w:r>
      <w:r>
        <w:fldChar w:fldCharType="end"/>
      </w:r>
    </w:p>
    <w:p>
      <w:pPr>
        <w:pStyle w:val="21"/>
        <w:tabs>
          <w:tab w:val="right" w:pos="1200"/>
          <w:tab w:val="right" w:leader="dot" w:pos="9641"/>
          <w:tab w:val="clear" w:pos="9639"/>
        </w:tabs>
      </w:pPr>
      <w:r>
        <w:t>G.7.8</w:t>
      </w:r>
      <w:r>
        <w:tab/>
      </w:r>
      <w:r>
        <w:t>Selectivity</w:t>
      </w:r>
      <w:r>
        <w:tab/>
      </w:r>
      <w:r>
        <w:fldChar w:fldCharType="begin"/>
      </w:r>
      <w:r>
        <w:instrText xml:space="preserve"> PAGEREF _Toc22918 \h </w:instrText>
      </w:r>
      <w:r>
        <w:fldChar w:fldCharType="separate"/>
      </w:r>
      <w:r>
        <w:t>255</w:t>
      </w:r>
      <w:r>
        <w:fldChar w:fldCharType="end"/>
      </w:r>
    </w:p>
    <w:p>
      <w:pPr>
        <w:pStyle w:val="21"/>
        <w:tabs>
          <w:tab w:val="right" w:pos="1200"/>
          <w:tab w:val="right" w:leader="dot" w:pos="9641"/>
          <w:tab w:val="clear" w:pos="9639"/>
        </w:tabs>
      </w:pPr>
      <w:r>
        <w:t>G.7.9</w:t>
      </w:r>
      <w:r>
        <w:tab/>
      </w:r>
      <w:r>
        <w:t>Design of the test</w:t>
      </w:r>
      <w:r>
        <w:tab/>
      </w:r>
      <w:r>
        <w:fldChar w:fldCharType="begin"/>
      </w:r>
      <w:r>
        <w:instrText xml:space="preserve"> PAGEREF _Toc13161 \h </w:instrText>
      </w:r>
      <w:r>
        <w:fldChar w:fldCharType="separate"/>
      </w:r>
      <w:r>
        <w:t>256</w:t>
      </w:r>
      <w:r>
        <w:fldChar w:fldCharType="end"/>
      </w:r>
    </w:p>
    <w:p>
      <w:pPr>
        <w:pStyle w:val="21"/>
        <w:tabs>
          <w:tab w:val="right" w:pos="1600"/>
          <w:tab w:val="right" w:leader="dot" w:pos="9641"/>
          <w:tab w:val="clear" w:pos="9639"/>
        </w:tabs>
      </w:pPr>
      <w:r>
        <w:t>G.7.10</w:t>
      </w:r>
      <w:r>
        <w:tab/>
      </w:r>
      <w:r>
        <w:t>Simulation to derive the pass fail limits in Table G.2.4-1</w:t>
      </w:r>
      <w:r>
        <w:tab/>
      </w:r>
      <w:r>
        <w:fldChar w:fldCharType="begin"/>
      </w:r>
      <w:r>
        <w:instrText xml:space="preserve"> PAGEREF _Toc3372 \h </w:instrText>
      </w:r>
      <w:r>
        <w:fldChar w:fldCharType="separate"/>
      </w:r>
      <w:r>
        <w:t>257</w:t>
      </w:r>
      <w:r>
        <w:fldChar w:fldCharType="end"/>
      </w:r>
    </w:p>
    <w:p>
      <w:pPr>
        <w:pStyle w:val="54"/>
        <w:tabs>
          <w:tab w:val="right" w:leader="dot" w:pos="9641"/>
          <w:tab w:val="clear" w:pos="9639"/>
        </w:tabs>
      </w:pPr>
      <w:r>
        <w:t>Annex H (</w:t>
      </w:r>
      <w:r>
        <w:rPr>
          <w:lang w:eastAsia="en-GB"/>
        </w:rPr>
        <w:t>normative</w:t>
      </w:r>
      <w:r>
        <w:t>): Uplink Physical Channels</w:t>
      </w:r>
      <w:r>
        <w:tab/>
      </w:r>
      <w:r>
        <w:fldChar w:fldCharType="begin"/>
      </w:r>
      <w:r>
        <w:instrText xml:space="preserve"> PAGEREF _Toc21132 \h </w:instrText>
      </w:r>
      <w:r>
        <w:fldChar w:fldCharType="separate"/>
      </w:r>
      <w:r>
        <w:t>257</w:t>
      </w:r>
      <w:r>
        <w:fldChar w:fldCharType="end"/>
      </w:r>
    </w:p>
    <w:p>
      <w:pPr>
        <w:pStyle w:val="22"/>
        <w:tabs>
          <w:tab w:val="right" w:pos="1200"/>
          <w:tab w:val="right" w:leader="dot" w:pos="9641"/>
          <w:tab w:val="clear" w:pos="9639"/>
        </w:tabs>
      </w:pPr>
      <w:r>
        <w:t>H.0</w:t>
      </w:r>
      <w:r>
        <w:tab/>
      </w:r>
      <w:r>
        <w:t>Uplink Signal Levels</w:t>
      </w:r>
      <w:r>
        <w:tab/>
      </w:r>
      <w:r>
        <w:fldChar w:fldCharType="begin"/>
      </w:r>
      <w:r>
        <w:instrText xml:space="preserve"> PAGEREF _Toc12197 \h </w:instrText>
      </w:r>
      <w:r>
        <w:fldChar w:fldCharType="separate"/>
      </w:r>
      <w:r>
        <w:t>257</w:t>
      </w:r>
      <w:r>
        <w:fldChar w:fldCharType="end"/>
      </w:r>
    </w:p>
    <w:p>
      <w:pPr>
        <w:pStyle w:val="21"/>
        <w:tabs>
          <w:tab w:val="right" w:pos="1200"/>
          <w:tab w:val="right" w:leader="dot" w:pos="9641"/>
          <w:tab w:val="clear" w:pos="9639"/>
        </w:tabs>
      </w:pPr>
      <w:r>
        <w:t>H.0.1</w:t>
      </w:r>
      <w:r>
        <w:tab/>
      </w:r>
      <w:r>
        <w:t>Uplink Signal Levels for NB1</w:t>
      </w:r>
      <w:r>
        <w:tab/>
      </w:r>
      <w:r>
        <w:fldChar w:fldCharType="begin"/>
      </w:r>
      <w:r>
        <w:instrText xml:space="preserve"> PAGEREF _Toc24860 \h </w:instrText>
      </w:r>
      <w:r>
        <w:fldChar w:fldCharType="separate"/>
      </w:r>
      <w:r>
        <w:t>258</w:t>
      </w:r>
      <w:r>
        <w:fldChar w:fldCharType="end"/>
      </w:r>
    </w:p>
    <w:p>
      <w:pPr>
        <w:pStyle w:val="22"/>
        <w:tabs>
          <w:tab w:val="right" w:pos="1200"/>
          <w:tab w:val="right" w:leader="dot" w:pos="9641"/>
          <w:tab w:val="clear" w:pos="9639"/>
        </w:tabs>
      </w:pPr>
      <w:r>
        <w:t>H.1</w:t>
      </w:r>
      <w:r>
        <w:tab/>
      </w:r>
      <w:r>
        <w:t>General</w:t>
      </w:r>
      <w:r>
        <w:tab/>
      </w:r>
      <w:r>
        <w:fldChar w:fldCharType="begin"/>
      </w:r>
      <w:r>
        <w:instrText xml:space="preserve"> PAGEREF _Toc16668 \h </w:instrText>
      </w:r>
      <w:r>
        <w:fldChar w:fldCharType="separate"/>
      </w:r>
      <w:r>
        <w:t>258</w:t>
      </w:r>
      <w:r>
        <w:fldChar w:fldCharType="end"/>
      </w:r>
    </w:p>
    <w:p>
      <w:pPr>
        <w:pStyle w:val="21"/>
        <w:tabs>
          <w:tab w:val="right" w:pos="1200"/>
          <w:tab w:val="right" w:leader="dot" w:pos="9641"/>
          <w:tab w:val="clear" w:pos="9639"/>
        </w:tabs>
      </w:pPr>
      <w:r>
        <w:t>H.1.1</w:t>
      </w:r>
      <w:r>
        <w:tab/>
      </w:r>
      <w:r>
        <w:t>General for NB1</w:t>
      </w:r>
      <w:r>
        <w:tab/>
      </w:r>
      <w:r>
        <w:fldChar w:fldCharType="begin"/>
      </w:r>
      <w:r>
        <w:instrText xml:space="preserve"> PAGEREF _Toc6113 \h </w:instrText>
      </w:r>
      <w:r>
        <w:fldChar w:fldCharType="separate"/>
      </w:r>
      <w:r>
        <w:t>259</w:t>
      </w:r>
      <w:r>
        <w:fldChar w:fldCharType="end"/>
      </w:r>
    </w:p>
    <w:p>
      <w:pPr>
        <w:pStyle w:val="22"/>
        <w:tabs>
          <w:tab w:val="right" w:pos="1200"/>
          <w:tab w:val="right" w:leader="dot" w:pos="9641"/>
          <w:tab w:val="clear" w:pos="9639"/>
        </w:tabs>
      </w:pPr>
      <w:r>
        <w:t>H.2</w:t>
      </w:r>
      <w:r>
        <w:tab/>
      </w:r>
      <w:r>
        <w:t>Set-up</w:t>
      </w:r>
      <w:r>
        <w:tab/>
      </w:r>
      <w:r>
        <w:fldChar w:fldCharType="begin"/>
      </w:r>
      <w:r>
        <w:instrText xml:space="preserve"> PAGEREF _Toc29560 \h </w:instrText>
      </w:r>
      <w:r>
        <w:fldChar w:fldCharType="separate"/>
      </w:r>
      <w:r>
        <w:t>259</w:t>
      </w:r>
      <w:r>
        <w:fldChar w:fldCharType="end"/>
      </w:r>
    </w:p>
    <w:p>
      <w:pPr>
        <w:pStyle w:val="21"/>
        <w:tabs>
          <w:tab w:val="right" w:pos="1200"/>
          <w:tab w:val="right" w:leader="dot" w:pos="9641"/>
          <w:tab w:val="clear" w:pos="9639"/>
        </w:tabs>
      </w:pPr>
      <w:r>
        <w:t>H.2.1</w:t>
      </w:r>
      <w:r>
        <w:tab/>
      </w:r>
      <w:r>
        <w:t>Set-up for NB1</w:t>
      </w:r>
      <w:r>
        <w:tab/>
      </w:r>
      <w:r>
        <w:fldChar w:fldCharType="begin"/>
      </w:r>
      <w:r>
        <w:instrText xml:space="preserve"> PAGEREF _Toc13425 \h </w:instrText>
      </w:r>
      <w:r>
        <w:fldChar w:fldCharType="separate"/>
      </w:r>
      <w:r>
        <w:t>259</w:t>
      </w:r>
      <w:r>
        <w:fldChar w:fldCharType="end"/>
      </w:r>
    </w:p>
    <w:p>
      <w:pPr>
        <w:pStyle w:val="22"/>
        <w:tabs>
          <w:tab w:val="right" w:pos="1200"/>
          <w:tab w:val="right" w:leader="dot" w:pos="9641"/>
          <w:tab w:val="clear" w:pos="9639"/>
        </w:tabs>
      </w:pPr>
      <w:r>
        <w:t>H.3</w:t>
      </w:r>
      <w:r>
        <w:tab/>
      </w:r>
      <w:r>
        <w:t>Connection</w:t>
      </w:r>
      <w:r>
        <w:tab/>
      </w:r>
      <w:r>
        <w:fldChar w:fldCharType="begin"/>
      </w:r>
      <w:r>
        <w:instrText xml:space="preserve"> PAGEREF _Toc23547 \h </w:instrText>
      </w:r>
      <w:r>
        <w:fldChar w:fldCharType="separate"/>
      </w:r>
      <w:r>
        <w:t>259</w:t>
      </w:r>
      <w:r>
        <w:fldChar w:fldCharType="end"/>
      </w:r>
    </w:p>
    <w:p>
      <w:pPr>
        <w:pStyle w:val="21"/>
        <w:tabs>
          <w:tab w:val="right" w:pos="1200"/>
          <w:tab w:val="right" w:leader="dot" w:pos="9641"/>
          <w:tab w:val="clear" w:pos="9639"/>
        </w:tabs>
      </w:pPr>
      <w:r>
        <w:t>H.3.0</w:t>
      </w:r>
      <w:r>
        <w:tab/>
      </w:r>
      <w:r>
        <w:t>Measurement of Transmitter Characteristics</w:t>
      </w:r>
      <w:r>
        <w:tab/>
      </w:r>
      <w:r>
        <w:fldChar w:fldCharType="begin"/>
      </w:r>
      <w:r>
        <w:instrText xml:space="preserve"> PAGEREF _Toc13546 \h </w:instrText>
      </w:r>
      <w:r>
        <w:fldChar w:fldCharType="separate"/>
      </w:r>
      <w:r>
        <w:t>259</w:t>
      </w:r>
      <w:r>
        <w:fldChar w:fldCharType="end"/>
      </w:r>
    </w:p>
    <w:p>
      <w:pPr>
        <w:pStyle w:val="21"/>
        <w:tabs>
          <w:tab w:val="right" w:pos="1200"/>
          <w:tab w:val="right" w:leader="dot" w:pos="9641"/>
          <w:tab w:val="clear" w:pos="9639"/>
        </w:tabs>
      </w:pPr>
      <w:r>
        <w:t>H.3.1</w:t>
      </w:r>
      <w:r>
        <w:tab/>
      </w:r>
      <w:r>
        <w:t>Measurement of Receiver Characteristics</w:t>
      </w:r>
      <w:r>
        <w:tab/>
      </w:r>
      <w:r>
        <w:fldChar w:fldCharType="begin"/>
      </w:r>
      <w:r>
        <w:instrText xml:space="preserve"> PAGEREF _Toc20140 \h </w:instrText>
      </w:r>
      <w:r>
        <w:fldChar w:fldCharType="separate"/>
      </w:r>
      <w:r>
        <w:t>260</w:t>
      </w:r>
      <w:r>
        <w:fldChar w:fldCharType="end"/>
      </w:r>
    </w:p>
    <w:p>
      <w:pPr>
        <w:pStyle w:val="21"/>
        <w:tabs>
          <w:tab w:val="right" w:pos="1200"/>
          <w:tab w:val="right" w:leader="dot" w:pos="9641"/>
          <w:tab w:val="clear" w:pos="9639"/>
        </w:tabs>
      </w:pPr>
      <w:r>
        <w:t>H.3.2</w:t>
      </w:r>
      <w:r>
        <w:tab/>
      </w:r>
      <w:r>
        <w:t>Measurement of Performance Requirements</w:t>
      </w:r>
      <w:r>
        <w:tab/>
      </w:r>
      <w:r>
        <w:fldChar w:fldCharType="begin"/>
      </w:r>
      <w:r>
        <w:instrText xml:space="preserve"> PAGEREF _Toc6696 \h </w:instrText>
      </w:r>
      <w:r>
        <w:fldChar w:fldCharType="separate"/>
      </w:r>
      <w:r>
        <w:t>260</w:t>
      </w:r>
      <w:r>
        <w:fldChar w:fldCharType="end"/>
      </w:r>
    </w:p>
    <w:p>
      <w:pPr>
        <w:pStyle w:val="22"/>
        <w:tabs>
          <w:tab w:val="right" w:pos="1200"/>
          <w:tab w:val="right" w:leader="dot" w:pos="9641"/>
          <w:tab w:val="clear" w:pos="9639"/>
        </w:tabs>
      </w:pPr>
      <w:r>
        <w:t>H.4</w:t>
      </w:r>
      <w:r>
        <w:tab/>
      </w:r>
      <w:r>
        <w:t>Connection for NB1</w:t>
      </w:r>
      <w:r>
        <w:tab/>
      </w:r>
      <w:r>
        <w:fldChar w:fldCharType="begin"/>
      </w:r>
      <w:r>
        <w:instrText xml:space="preserve"> PAGEREF _Toc6683 \h </w:instrText>
      </w:r>
      <w:r>
        <w:fldChar w:fldCharType="separate"/>
      </w:r>
      <w:r>
        <w:t>260</w:t>
      </w:r>
      <w:r>
        <w:fldChar w:fldCharType="end"/>
      </w:r>
    </w:p>
    <w:p>
      <w:pPr>
        <w:pStyle w:val="21"/>
        <w:tabs>
          <w:tab w:val="right" w:pos="1200"/>
          <w:tab w:val="right" w:leader="dot" w:pos="9641"/>
          <w:tab w:val="clear" w:pos="9639"/>
        </w:tabs>
      </w:pPr>
      <w:r>
        <w:t>H.4.0</w:t>
      </w:r>
      <w:r>
        <w:tab/>
      </w:r>
      <w:r>
        <w:t>Measurement of Transmitter Characteristics</w:t>
      </w:r>
      <w:r>
        <w:tab/>
      </w:r>
      <w:r>
        <w:fldChar w:fldCharType="begin"/>
      </w:r>
      <w:r>
        <w:instrText xml:space="preserve"> PAGEREF _Toc11520 \h </w:instrText>
      </w:r>
      <w:r>
        <w:fldChar w:fldCharType="separate"/>
      </w:r>
      <w:r>
        <w:t>260</w:t>
      </w:r>
      <w:r>
        <w:fldChar w:fldCharType="end"/>
      </w:r>
    </w:p>
    <w:p>
      <w:pPr>
        <w:pStyle w:val="21"/>
        <w:tabs>
          <w:tab w:val="right" w:pos="1200"/>
          <w:tab w:val="right" w:leader="dot" w:pos="9641"/>
          <w:tab w:val="clear" w:pos="9639"/>
        </w:tabs>
      </w:pPr>
      <w:r>
        <w:t>H.4.1</w:t>
      </w:r>
      <w:r>
        <w:tab/>
      </w:r>
      <w:r>
        <w:t>Measurement of Receiver Characteristics</w:t>
      </w:r>
      <w:r>
        <w:tab/>
      </w:r>
      <w:r>
        <w:fldChar w:fldCharType="begin"/>
      </w:r>
      <w:r>
        <w:instrText xml:space="preserve"> PAGEREF _Toc20036 \h </w:instrText>
      </w:r>
      <w:r>
        <w:fldChar w:fldCharType="separate"/>
      </w:r>
      <w:r>
        <w:t>260</w:t>
      </w:r>
      <w:r>
        <w:fldChar w:fldCharType="end"/>
      </w:r>
    </w:p>
    <w:p>
      <w:pPr>
        <w:pStyle w:val="21"/>
        <w:tabs>
          <w:tab w:val="right" w:pos="1200"/>
          <w:tab w:val="right" w:leader="dot" w:pos="9641"/>
          <w:tab w:val="clear" w:pos="9639"/>
        </w:tabs>
      </w:pPr>
      <w:r>
        <w:t>H.4.2</w:t>
      </w:r>
      <w:r>
        <w:tab/>
      </w:r>
      <w:r>
        <w:t>Measurement of Performance Requirements</w:t>
      </w:r>
      <w:r>
        <w:tab/>
      </w:r>
      <w:r>
        <w:fldChar w:fldCharType="begin"/>
      </w:r>
      <w:r>
        <w:instrText xml:space="preserve"> PAGEREF _Toc26126 \h </w:instrText>
      </w:r>
      <w:r>
        <w:fldChar w:fldCharType="separate"/>
      </w:r>
      <w:r>
        <w:t>260</w:t>
      </w:r>
      <w:r>
        <w:fldChar w:fldCharType="end"/>
      </w:r>
    </w:p>
    <w:p>
      <w:pPr>
        <w:pStyle w:val="54"/>
        <w:tabs>
          <w:tab w:val="right" w:leader="dot" w:pos="9641"/>
          <w:tab w:val="clear" w:pos="9639"/>
        </w:tabs>
      </w:pPr>
      <w:r>
        <w:t>Annex I (</w:t>
      </w:r>
      <w:r>
        <w:rPr>
          <w:rFonts w:hint="eastAsia" w:eastAsia="宋体"/>
          <w:lang w:val="en-US" w:eastAsia="zh-CN"/>
        </w:rPr>
        <w:t>reserved</w:t>
      </w:r>
      <w:r>
        <w:t>):</w:t>
      </w:r>
      <w:r>
        <w:tab/>
      </w:r>
      <w:r>
        <w:fldChar w:fldCharType="begin"/>
      </w:r>
      <w:r>
        <w:instrText xml:space="preserve"> PAGEREF _Toc20384 \h </w:instrText>
      </w:r>
      <w:r>
        <w:fldChar w:fldCharType="separate"/>
      </w:r>
      <w:r>
        <w:t>261</w:t>
      </w:r>
      <w:r>
        <w:fldChar w:fldCharType="end"/>
      </w:r>
    </w:p>
    <w:p>
      <w:pPr>
        <w:pStyle w:val="54"/>
        <w:tabs>
          <w:tab w:val="right" w:leader="dot" w:pos="9641"/>
          <w:tab w:val="clear" w:pos="9639"/>
        </w:tabs>
      </w:pPr>
      <w:r>
        <w:rPr>
          <w:rFonts w:hint="eastAsia" w:eastAsia="宋体"/>
          <w:lang w:val="en-US" w:eastAsia="zh-CN"/>
        </w:rPr>
        <w:t>A</w:t>
      </w:r>
      <w:r>
        <w:t>nnex J (</w:t>
      </w:r>
      <w:r>
        <w:rPr>
          <w:rFonts w:hint="eastAsia" w:eastAsia="宋体"/>
          <w:lang w:val="en-US" w:eastAsia="zh-CN"/>
        </w:rPr>
        <w:t>reserved</w:t>
      </w:r>
      <w:r>
        <w:t xml:space="preserve">): </w:t>
      </w:r>
      <w:r>
        <w:tab/>
      </w:r>
      <w:r>
        <w:fldChar w:fldCharType="begin"/>
      </w:r>
      <w:r>
        <w:instrText xml:space="preserve"> PAGEREF _Toc21769 \h </w:instrText>
      </w:r>
      <w:r>
        <w:fldChar w:fldCharType="separate"/>
      </w:r>
      <w:r>
        <w:t>261</w:t>
      </w:r>
      <w:r>
        <w:fldChar w:fldCharType="end"/>
      </w:r>
    </w:p>
    <w:p>
      <w:pPr>
        <w:pStyle w:val="54"/>
        <w:tabs>
          <w:tab w:val="right" w:leader="dot" w:pos="9641"/>
          <w:tab w:val="clear" w:pos="9639"/>
        </w:tabs>
      </w:pPr>
      <w:r>
        <w:t>Annex K (normative): NB-IoT Test Frequencies</w:t>
      </w:r>
      <w:r>
        <w:tab/>
      </w:r>
      <w:r>
        <w:fldChar w:fldCharType="begin"/>
      </w:r>
      <w:r>
        <w:instrText xml:space="preserve"> PAGEREF _Toc16291 \h </w:instrText>
      </w:r>
      <w:r>
        <w:fldChar w:fldCharType="separate"/>
      </w:r>
      <w:r>
        <w:t>261</w:t>
      </w:r>
      <w:r>
        <w:fldChar w:fldCharType="end"/>
      </w:r>
    </w:p>
    <w:p>
      <w:pPr>
        <w:pStyle w:val="22"/>
        <w:tabs>
          <w:tab w:val="right" w:pos="1200"/>
          <w:tab w:val="right" w:leader="dot" w:pos="9641"/>
          <w:tab w:val="clear" w:pos="9639"/>
        </w:tabs>
      </w:pPr>
      <w:r>
        <w:rPr>
          <w:rFonts w:eastAsia="MS Mincho"/>
        </w:rPr>
        <w:t>K</w:t>
      </w:r>
      <w:r>
        <w:t>.1</w:t>
      </w:r>
      <w:r>
        <w:tab/>
      </w:r>
      <w:r>
        <w:t>NB-IoT Test frequencies for TRx Tests</w:t>
      </w:r>
      <w:r>
        <w:tab/>
      </w:r>
      <w:r>
        <w:fldChar w:fldCharType="begin"/>
      </w:r>
      <w:r>
        <w:instrText xml:space="preserve"> PAGEREF _Toc3014 \h </w:instrText>
      </w:r>
      <w:r>
        <w:fldChar w:fldCharType="separate"/>
      </w:r>
      <w:r>
        <w:t>261</w:t>
      </w:r>
      <w:r>
        <w:fldChar w:fldCharType="end"/>
      </w:r>
    </w:p>
    <w:p>
      <w:pPr>
        <w:pStyle w:val="21"/>
        <w:tabs>
          <w:tab w:val="right" w:pos="1200"/>
          <w:tab w:val="right" w:leader="dot" w:pos="9641"/>
          <w:tab w:val="clear" w:pos="9639"/>
        </w:tabs>
      </w:pPr>
      <w:r>
        <w:t>K.1.1</w:t>
      </w:r>
      <w:r>
        <w:tab/>
      </w:r>
      <w:r>
        <w:t>Test frequencies selection criteria 1</w:t>
      </w:r>
      <w:r>
        <w:tab/>
      </w:r>
      <w:r>
        <w:fldChar w:fldCharType="begin"/>
      </w:r>
      <w:r>
        <w:instrText xml:space="preserve"> PAGEREF _Toc20021 \h </w:instrText>
      </w:r>
      <w:r>
        <w:fldChar w:fldCharType="separate"/>
      </w:r>
      <w:r>
        <w:t>261</w:t>
      </w:r>
      <w:r>
        <w:fldChar w:fldCharType="end"/>
      </w:r>
    </w:p>
    <w:p>
      <w:pPr>
        <w:pStyle w:val="21"/>
        <w:tabs>
          <w:tab w:val="right" w:pos="1200"/>
          <w:tab w:val="right" w:leader="dot" w:pos="9641"/>
          <w:tab w:val="clear" w:pos="9639"/>
        </w:tabs>
      </w:pPr>
      <w:r>
        <w:t>K.1.2</w:t>
      </w:r>
      <w:r>
        <w:tab/>
      </w:r>
      <w:r>
        <w:t>Test frequencies selection criteria 2</w:t>
      </w:r>
      <w:r>
        <w:tab/>
      </w:r>
      <w:r>
        <w:fldChar w:fldCharType="begin"/>
      </w:r>
      <w:r>
        <w:instrText xml:space="preserve"> PAGEREF _Toc29268 \h </w:instrText>
      </w:r>
      <w:r>
        <w:fldChar w:fldCharType="separate"/>
      </w:r>
      <w:r>
        <w:t>261</w:t>
      </w:r>
      <w:r>
        <w:fldChar w:fldCharType="end"/>
      </w:r>
    </w:p>
    <w:p>
      <w:pPr>
        <w:pStyle w:val="21"/>
        <w:tabs>
          <w:tab w:val="right" w:pos="1200"/>
          <w:tab w:val="right" w:leader="dot" w:pos="9641"/>
          <w:tab w:val="clear" w:pos="9639"/>
        </w:tabs>
      </w:pPr>
      <w:r>
        <w:t>K.1.3</w:t>
      </w:r>
      <w:r>
        <w:tab/>
      </w:r>
      <w:r>
        <w:t>Test frequencies selection criteria 3</w:t>
      </w:r>
      <w:r>
        <w:tab/>
      </w:r>
      <w:r>
        <w:fldChar w:fldCharType="begin"/>
      </w:r>
      <w:r>
        <w:instrText xml:space="preserve"> PAGEREF _Toc25575 \h </w:instrText>
      </w:r>
      <w:r>
        <w:fldChar w:fldCharType="separate"/>
      </w:r>
      <w:r>
        <w:t>261</w:t>
      </w:r>
      <w:r>
        <w:fldChar w:fldCharType="end"/>
      </w:r>
    </w:p>
    <w:p>
      <w:pPr>
        <w:pStyle w:val="22"/>
        <w:tabs>
          <w:tab w:val="right" w:pos="1200"/>
          <w:tab w:val="right" w:leader="dot" w:pos="9641"/>
          <w:tab w:val="clear" w:pos="9639"/>
        </w:tabs>
      </w:pPr>
      <w:r>
        <w:rPr>
          <w:rFonts w:eastAsia="MS Mincho"/>
        </w:rPr>
        <w:t>K</w:t>
      </w:r>
      <w:r>
        <w:t>.2</w:t>
      </w:r>
      <w:r>
        <w:tab/>
      </w:r>
      <w:r>
        <w:t>NB-IoT Test frequencies for Demodulation Tests</w:t>
      </w:r>
      <w:r>
        <w:tab/>
      </w:r>
      <w:r>
        <w:fldChar w:fldCharType="begin"/>
      </w:r>
      <w:r>
        <w:instrText xml:space="preserve"> PAGEREF _Toc21705 \h </w:instrText>
      </w:r>
      <w:r>
        <w:fldChar w:fldCharType="separate"/>
      </w:r>
      <w:r>
        <w:t>261</w:t>
      </w:r>
      <w:r>
        <w:fldChar w:fldCharType="end"/>
      </w:r>
    </w:p>
    <w:p>
      <w:pPr>
        <w:pStyle w:val="20"/>
        <w:tabs>
          <w:tab w:val="right" w:pos="1200"/>
          <w:tab w:val="right" w:leader="dot" w:pos="9641"/>
          <w:tab w:val="clear" w:pos="9639"/>
        </w:tabs>
      </w:pPr>
      <w:r>
        <w:t>K.2.1</w:t>
      </w:r>
      <w:r>
        <w:tab/>
      </w:r>
      <w:r>
        <w:t>Test frequencies selection criteria 1</w:t>
      </w:r>
      <w:r>
        <w:tab/>
      </w:r>
      <w:r>
        <w:fldChar w:fldCharType="begin"/>
      </w:r>
      <w:r>
        <w:instrText xml:space="preserve"> PAGEREF _Toc21245 \h </w:instrText>
      </w:r>
      <w:r>
        <w:fldChar w:fldCharType="separate"/>
      </w:r>
      <w:r>
        <w:t>262</w:t>
      </w:r>
      <w:r>
        <w:fldChar w:fldCharType="end"/>
      </w:r>
    </w:p>
    <w:p>
      <w:pPr>
        <w:pStyle w:val="54"/>
        <w:tabs>
          <w:tab w:val="right" w:leader="dot" w:pos="9641"/>
          <w:tab w:val="clear" w:pos="9639"/>
        </w:tabs>
      </w:pPr>
      <w:r>
        <w:t xml:space="preserve">Annex </w:t>
      </w:r>
      <w:r>
        <w:rPr>
          <w:rFonts w:hint="eastAsia" w:eastAsia="宋体"/>
          <w:lang w:val="en-US" w:eastAsia="zh-CN"/>
        </w:rPr>
        <w:t>L</w:t>
      </w:r>
      <w:r>
        <w:t xml:space="preserve"> (informative): Change history</w:t>
      </w:r>
      <w:r>
        <w:tab/>
      </w:r>
      <w:r>
        <w:fldChar w:fldCharType="begin"/>
      </w:r>
      <w:r>
        <w:instrText xml:space="preserve"> PAGEREF _Toc16580 \h </w:instrText>
      </w:r>
      <w:r>
        <w:fldChar w:fldCharType="separate"/>
      </w:r>
      <w:r>
        <w:t>262</w:t>
      </w:r>
      <w:r>
        <w:fldChar w:fldCharType="end"/>
      </w:r>
    </w:p>
    <w:p>
      <w:r>
        <w:fldChar w:fldCharType="end"/>
      </w:r>
    </w:p>
    <w:p>
      <w:pPr>
        <w:pStyle w:val="129"/>
      </w:pPr>
      <w:r>
        <w:br w:type="page"/>
      </w:r>
    </w:p>
    <w:p>
      <w:pPr>
        <w:pStyle w:val="3"/>
      </w:pPr>
      <w:bookmarkStart w:id="17" w:name="foreword"/>
      <w:bookmarkEnd w:id="17"/>
      <w:bookmarkStart w:id="18" w:name="_Toc16283"/>
      <w:bookmarkStart w:id="19" w:name="_Toc3004"/>
      <w:bookmarkStart w:id="20" w:name="_Toc20167"/>
      <w:r>
        <w:t>Foreword</w:t>
      </w:r>
      <w:bookmarkEnd w:id="18"/>
      <w:bookmarkEnd w:id="19"/>
      <w:bookmarkEnd w:id="20"/>
    </w:p>
    <w:p>
      <w:r>
        <w:t xml:space="preserve">This Technical </w:t>
      </w:r>
      <w:bookmarkStart w:id="21" w:name="spectype3"/>
      <w:r>
        <w:t>Specification</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pPr>
      <w:r>
        <w:t>Version x.y.z</w:t>
      </w:r>
    </w:p>
    <w:p>
      <w:pPr>
        <w:pStyle w:val="111"/>
      </w:pPr>
      <w:r>
        <w:t>where:</w:t>
      </w:r>
    </w:p>
    <w:p>
      <w:pPr>
        <w:pStyle w:val="122"/>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bookmarkStart w:id="22" w:name="introduction"/>
      <w:bookmarkEnd w:id="22"/>
      <w:r>
        <w:t>z</w:t>
      </w:r>
      <w:r>
        <w:tab/>
      </w:r>
      <w:r>
        <w:t>the third digit is incremented when editorial only changes have been incorporated in the document.</w:t>
      </w:r>
    </w:p>
    <w:p>
      <w:pPr>
        <w:pStyle w:val="3"/>
      </w:pPr>
      <w:bookmarkStart w:id="23" w:name="_Toc58510831"/>
      <w:bookmarkStart w:id="24" w:name="_Toc84701293"/>
      <w:bookmarkStart w:id="25" w:name="_Toc52900343"/>
      <w:bookmarkStart w:id="26" w:name="_Toc27405224"/>
      <w:bookmarkStart w:id="27" w:name="_Toc52895534"/>
      <w:bookmarkStart w:id="28" w:name="_Toc35977643"/>
      <w:bookmarkStart w:id="29" w:name="_Toc91243513"/>
      <w:bookmarkStart w:id="30" w:name="_Toc27617"/>
      <w:bookmarkStart w:id="31" w:name="_Toc4590"/>
      <w:bookmarkStart w:id="32" w:name="_Toc52897703"/>
      <w:bookmarkStart w:id="33" w:name="_Toc44004110"/>
      <w:bookmarkStart w:id="34" w:name="_Toc7358"/>
      <w:bookmarkStart w:id="35" w:name="_Toc76903327"/>
      <w:r>
        <w:t>Introduction</w:t>
      </w:r>
      <w:bookmarkEnd w:id="23"/>
      <w:bookmarkEnd w:id="24"/>
      <w:bookmarkEnd w:id="25"/>
      <w:bookmarkEnd w:id="26"/>
      <w:bookmarkEnd w:id="27"/>
      <w:bookmarkEnd w:id="28"/>
      <w:bookmarkEnd w:id="29"/>
      <w:bookmarkEnd w:id="30"/>
      <w:bookmarkEnd w:id="31"/>
      <w:bookmarkEnd w:id="32"/>
      <w:bookmarkEnd w:id="33"/>
      <w:bookmarkEnd w:id="34"/>
      <w:bookmarkEnd w:id="35"/>
    </w:p>
    <w:p>
      <w:r>
        <w:t>The present document is part 1 of a multi-parts TS:</w:t>
      </w:r>
    </w:p>
    <w:p>
      <w:pPr>
        <w:pStyle w:val="111"/>
      </w:pPr>
      <w:r>
        <w:tab/>
      </w:r>
      <w:r>
        <w:t>3GPP TS 36.521-1</w:t>
      </w:r>
      <w:r>
        <w:rPr>
          <w:lang w:val="en-US"/>
        </w:rPr>
        <w:t xml:space="preserve"> </w:t>
      </w:r>
      <w:r>
        <w:t>[</w:t>
      </w:r>
      <w:r>
        <w:rPr>
          <w:lang w:val="en-US"/>
        </w:rPr>
        <w:t>14</w:t>
      </w:r>
      <w:r>
        <w:t>]: Evolved Universal Terrestrial Radio Access (E-UTRA); User Equipment (UE) conformance specification Radio transmission and reception; Part 1: Conformance Testing.</w:t>
      </w:r>
    </w:p>
    <w:p>
      <w:pPr>
        <w:pStyle w:val="111"/>
      </w:pPr>
      <w:r>
        <w:tab/>
      </w:r>
      <w:r>
        <w:t>3GPP TS 36.521-2 [</w:t>
      </w:r>
      <w:r>
        <w:rPr>
          <w:lang w:val="en-US"/>
        </w:rPr>
        <w:t>15</w:t>
      </w:r>
      <w:r>
        <w:t xml:space="preserve">]: </w:t>
      </w:r>
      <w:r>
        <w:rPr>
          <w:bCs/>
        </w:rPr>
        <w:t xml:space="preserve">Evolved Universal Terrestrial Radio Access (E-UTRA); </w:t>
      </w:r>
      <w:r>
        <w:t>User Equipment (UE) conformance specification Radio transmission and reception; Part 2: Implementation Conformance Statement (ICS).</w:t>
      </w:r>
    </w:p>
    <w:p>
      <w:pPr>
        <w:pStyle w:val="111"/>
      </w:pPr>
      <w:r>
        <w:tab/>
      </w:r>
      <w:r>
        <w:t>3GPP TS 36.521-3 [</w:t>
      </w:r>
      <w:r>
        <w:rPr>
          <w:lang w:val="en-US"/>
        </w:rPr>
        <w:t>16</w:t>
      </w:r>
      <w:r>
        <w:t xml:space="preserve">]: </w:t>
      </w:r>
      <w:r>
        <w:rPr>
          <w:bCs/>
        </w:rPr>
        <w:t xml:space="preserve">Evolved Universal Terrestrial Radio Access (E-UTRA); </w:t>
      </w:r>
      <w:r>
        <w:t>User Equipment (UE) conformance specification Radio transmission and reception; Part 3: Radio Resource Management (RRM) conformance testing.</w:t>
      </w:r>
    </w:p>
    <w:p>
      <w:pPr>
        <w:pStyle w:val="111"/>
        <w:rPr>
          <w:bCs/>
        </w:rPr>
      </w:pPr>
      <w:r>
        <w:tab/>
      </w:r>
      <w:r>
        <w:t>3GPP TS 36.521-</w:t>
      </w:r>
      <w:r>
        <w:rPr>
          <w:lang w:val="en-US"/>
        </w:rPr>
        <w:t>4</w:t>
      </w:r>
      <w:r>
        <w:t xml:space="preserve">: </w:t>
      </w:r>
      <w:r>
        <w:rPr>
          <w:bCs/>
          <w:lang w:val="en-US"/>
        </w:rPr>
        <w:t>Evolved Universal Terrestrial Radio Access (E-UTRA); User Equipment (UE) conformance specification; Radio transmission and reception; Part 4: Satellite access Radio Frequency (RF) and performance Conformance Testing</w:t>
      </w:r>
    </w:p>
    <w:p>
      <w:pPr>
        <w:pStyle w:val="3"/>
      </w:pPr>
      <w:r>
        <w:br w:type="page"/>
      </w:r>
      <w:bookmarkStart w:id="36" w:name="scope"/>
      <w:bookmarkEnd w:id="36"/>
      <w:bookmarkStart w:id="37" w:name="_Toc52900344"/>
      <w:bookmarkStart w:id="38" w:name="_Toc27405225"/>
      <w:bookmarkStart w:id="39" w:name="_Toc14080"/>
      <w:bookmarkStart w:id="40" w:name="_Toc44004111"/>
      <w:bookmarkStart w:id="41" w:name="_Toc52895535"/>
      <w:bookmarkStart w:id="42" w:name="_Toc76903328"/>
      <w:bookmarkStart w:id="43" w:name="_Toc35977644"/>
      <w:bookmarkStart w:id="44" w:name="_Toc84701294"/>
      <w:bookmarkStart w:id="45" w:name="_Toc9522"/>
      <w:bookmarkStart w:id="46" w:name="_Toc52897704"/>
      <w:bookmarkStart w:id="47" w:name="_Toc23513"/>
      <w:bookmarkStart w:id="48" w:name="_Toc58510832"/>
      <w:bookmarkStart w:id="49" w:name="_Toc91243514"/>
      <w:r>
        <w:t>1</w:t>
      </w:r>
      <w:r>
        <w:tab/>
      </w:r>
      <w:r>
        <w:t>Scope</w:t>
      </w:r>
      <w:bookmarkEnd w:id="37"/>
      <w:bookmarkEnd w:id="38"/>
      <w:bookmarkEnd w:id="39"/>
      <w:bookmarkEnd w:id="40"/>
      <w:bookmarkEnd w:id="41"/>
      <w:bookmarkEnd w:id="42"/>
      <w:bookmarkEnd w:id="43"/>
      <w:bookmarkEnd w:id="44"/>
      <w:bookmarkEnd w:id="45"/>
      <w:bookmarkEnd w:id="46"/>
      <w:bookmarkEnd w:id="47"/>
      <w:bookmarkEnd w:id="48"/>
      <w:bookmarkEnd w:id="49"/>
    </w:p>
    <w:p>
      <w:r>
        <w:t>The present document specifies the measurement procedures for the conformance test of E-UTRA</w:t>
      </w:r>
      <w:r>
        <w:rPr>
          <w:i/>
          <w:lang w:val="en-US"/>
        </w:rPr>
        <w:t xml:space="preserve"> </w:t>
      </w:r>
      <w:r>
        <w:t>User Equipment (UE) supporting satellite access operation that contains RF and Performance requirements.</w:t>
      </w:r>
      <w:r>
        <w:rPr>
          <w:lang w:val="en-US"/>
        </w:rPr>
        <w:t xml:space="preserve"> Conformance test for the support of RRM </w:t>
      </w:r>
      <w:r>
        <w:t>(Radio Resource Management) are specified in TS 36.521-3 [</w:t>
      </w:r>
      <w:r>
        <w:rPr>
          <w:lang w:val="en-US"/>
        </w:rPr>
        <w:t>16</w:t>
      </w:r>
      <w:r>
        <w:t>].</w:t>
      </w:r>
    </w:p>
    <w:p>
      <w:pPr>
        <w:rPr>
          <w:lang w:val="en-US"/>
        </w:rPr>
      </w:pPr>
      <w:r>
        <w:t>The requirements are listed in different clauses only if the corresponding parameters deviate. More generally, tests are only applicable to those</w:t>
      </w:r>
      <w:r>
        <w:rPr>
          <w:lang w:val="en-US"/>
        </w:rPr>
        <w:t xml:space="preserve"> UE</w:t>
      </w:r>
      <w:r>
        <w:t>s that are intended to support the appropriate functionality. To indicate the circumstances in which tests apply, this is noted in the "</w:t>
      </w:r>
      <w:r>
        <w:rPr>
          <w:i/>
        </w:rPr>
        <w:t>definition</w:t>
      </w:r>
      <w:r>
        <w:t>"</w:t>
      </w:r>
      <w:r>
        <w:rPr>
          <w:i/>
        </w:rPr>
        <w:t xml:space="preserve"> </w:t>
      </w:r>
      <w:r>
        <w:t>and</w:t>
      </w:r>
      <w:r>
        <w:rPr>
          <w:i/>
        </w:rPr>
        <w:t xml:space="preserve"> </w:t>
      </w:r>
      <w:r>
        <w:t>"</w:t>
      </w:r>
      <w:r>
        <w:rPr>
          <w:i/>
        </w:rPr>
        <w:t>applicability</w:t>
      </w:r>
      <w:r>
        <w:t>" part of the test.</w:t>
      </w:r>
    </w:p>
    <w:p>
      <w:pPr>
        <w:pStyle w:val="3"/>
      </w:pPr>
      <w:bookmarkStart w:id="50" w:name="references"/>
      <w:bookmarkEnd w:id="50"/>
      <w:bookmarkStart w:id="51" w:name="_Toc2753"/>
      <w:bookmarkStart w:id="52" w:name="_Toc10199"/>
      <w:bookmarkStart w:id="53" w:name="_Toc14828"/>
      <w:r>
        <w:t>2</w:t>
      </w:r>
      <w:r>
        <w:tab/>
      </w:r>
      <w:r>
        <w:t>References</w:t>
      </w:r>
      <w:bookmarkEnd w:id="51"/>
      <w:bookmarkEnd w:id="52"/>
      <w:bookmarkEnd w:id="53"/>
    </w:p>
    <w:p>
      <w:r>
        <w:t>The following documents contain provisions which, through reference in this text, constitute provisions of the present document.</w:t>
      </w:r>
    </w:p>
    <w:p>
      <w:pPr>
        <w:pStyle w:val="111"/>
      </w:pPr>
      <w:r>
        <w:t>-</w:t>
      </w:r>
      <w:r>
        <w:tab/>
      </w:r>
      <w:r>
        <w:t>References are either specific (identified by date of publication, edition number, version number, etc.) or non</w:t>
      </w:r>
      <w:r>
        <w:noBreakHyphen/>
      </w:r>
      <w:r>
        <w:t>specific.</w:t>
      </w:r>
    </w:p>
    <w:p>
      <w:pPr>
        <w:pStyle w:val="111"/>
      </w:pPr>
      <w:r>
        <w:t>-</w:t>
      </w:r>
      <w:r>
        <w:tab/>
      </w:r>
      <w:r>
        <w:t>For a specific reference, subsequent revisions do not apply.</w:t>
      </w:r>
    </w:p>
    <w:p>
      <w:pPr>
        <w:pStyle w:val="111"/>
      </w:pPr>
      <w:r>
        <w:t>-</w:t>
      </w:r>
      <w:r>
        <w:tab/>
      </w:r>
      <w:r>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pPr>
        <w:pStyle w:val="107"/>
      </w:pPr>
      <w:bookmarkStart w:id="54" w:name="_Hlk97557962"/>
      <w:r>
        <w:t>[1]</w:t>
      </w:r>
      <w:r>
        <w:tab/>
      </w:r>
      <w:r>
        <w:t>3GPP TR 21.905: "Vocabulary for 3GPP Specifications".</w:t>
      </w:r>
      <w:bookmarkEnd w:id="54"/>
    </w:p>
    <w:p>
      <w:pPr>
        <w:pStyle w:val="107"/>
        <w:rPr>
          <w:rFonts w:eastAsia="等线"/>
        </w:rPr>
      </w:pPr>
      <w:r>
        <w:t>[2]</w:t>
      </w:r>
      <w:r>
        <w:tab/>
      </w:r>
      <w:r>
        <w:rPr>
          <w:rFonts w:eastAsia="等线"/>
        </w:rPr>
        <w:t>[3]</w:t>
      </w:r>
      <w:r>
        <w:rPr>
          <w:rFonts w:eastAsia="等线"/>
        </w:rPr>
        <w:tab/>
      </w:r>
      <w:r>
        <w:t>3GPP TS 36.108: "</w:t>
      </w:r>
      <w:r>
        <w:rPr>
          <w:color w:val="000000"/>
        </w:rPr>
        <w:t xml:space="preserve">Evolved Universal Terrestrial Radio Access (E-UTRA); </w:t>
      </w:r>
      <w:r>
        <w:t>Satellite Access Node (SAN) radio transmission and reception".</w:t>
      </w:r>
    </w:p>
    <w:p>
      <w:pPr>
        <w:pStyle w:val="107"/>
      </w:pPr>
      <w:r>
        <w:rPr>
          <w:rFonts w:eastAsia="等线"/>
        </w:rPr>
        <w:t>[</w:t>
      </w:r>
      <w:r>
        <w:rPr>
          <w:rFonts w:eastAsia="等线"/>
          <w:lang w:val="en-US"/>
        </w:rPr>
        <w:t>3</w:t>
      </w:r>
      <w:r>
        <w:rPr>
          <w:rFonts w:eastAsia="等线"/>
        </w:rPr>
        <w:t>]</w:t>
      </w:r>
      <w:r>
        <w:rPr>
          <w:rFonts w:eastAsia="等线"/>
        </w:rPr>
        <w:tab/>
      </w:r>
      <w:r>
        <w:t>3GPP TS 36.211: "</w:t>
      </w:r>
      <w:bookmarkStart w:id="55" w:name="OLE_LINK45"/>
      <w:bookmarkStart w:id="56" w:name="OLE_LINK44"/>
      <w:r>
        <w:rPr>
          <w:color w:val="000000"/>
        </w:rPr>
        <w:t xml:space="preserve">Evolved Universal Terrestrial Radio Access (E-UTRA); </w:t>
      </w:r>
      <w:r>
        <w:t>Physical Channels and Modulation</w:t>
      </w:r>
      <w:bookmarkEnd w:id="55"/>
      <w:bookmarkEnd w:id="56"/>
      <w:r>
        <w:t>".</w:t>
      </w:r>
    </w:p>
    <w:p>
      <w:pPr>
        <w:pStyle w:val="107"/>
        <w:rPr>
          <w:rFonts w:eastAsia="等线"/>
        </w:rPr>
      </w:pPr>
      <w:r>
        <w:rPr>
          <w:rFonts w:eastAsia="等线"/>
        </w:rPr>
        <w:t>[</w:t>
      </w:r>
      <w:r>
        <w:rPr>
          <w:rFonts w:eastAsia="等线"/>
          <w:lang w:val="en-US"/>
        </w:rPr>
        <w:t>4</w:t>
      </w:r>
      <w:r>
        <w:rPr>
          <w:rFonts w:eastAsia="等线"/>
        </w:rPr>
        <w:t>]</w:t>
      </w:r>
      <w:r>
        <w:rPr>
          <w:rFonts w:eastAsia="等线"/>
        </w:rPr>
        <w:tab/>
      </w:r>
      <w:r>
        <w:t>ITU-R Recommendation M.1545: "Measurement uncertainty as it applies to test limits for the terrestrial component of International Mobile Telecommunications-2000".</w:t>
      </w:r>
    </w:p>
    <w:p>
      <w:pPr>
        <w:pStyle w:val="107"/>
      </w:pPr>
      <w:r>
        <w:rPr>
          <w:rFonts w:eastAsia="等线"/>
        </w:rPr>
        <w:t>[</w:t>
      </w:r>
      <w:r>
        <w:rPr>
          <w:rFonts w:eastAsia="等线"/>
          <w:lang w:val="en-US"/>
        </w:rPr>
        <w:t>5</w:t>
      </w:r>
      <w:r>
        <w:rPr>
          <w:rFonts w:eastAsia="等线"/>
        </w:rPr>
        <w:t>]</w:t>
      </w:r>
      <w:r>
        <w:rPr>
          <w:rFonts w:eastAsia="等线"/>
        </w:rPr>
        <w:tab/>
      </w:r>
      <w:r>
        <w:t>3GPP TS 36.307: "</w:t>
      </w:r>
      <w:r>
        <w:rPr>
          <w:color w:val="000000"/>
        </w:rPr>
        <w:t xml:space="preserve">Evolved Universal Terrestrial Radio Access (E-UTRA); </w:t>
      </w:r>
      <w:r>
        <w:t>Requirements on User Equipments (UEs) supporting a release-independent frequency band".</w:t>
      </w:r>
    </w:p>
    <w:p>
      <w:pPr>
        <w:pStyle w:val="107"/>
        <w:rPr>
          <w:rFonts w:eastAsia="等线"/>
        </w:rPr>
      </w:pPr>
      <w:r>
        <w:rPr>
          <w:rFonts w:hint="eastAsia"/>
        </w:rPr>
        <w:t>[</w:t>
      </w:r>
      <w:r>
        <w:rPr>
          <w:lang w:val="en-US"/>
        </w:rPr>
        <w:t>6</w:t>
      </w:r>
      <w:r>
        <w:t>]</w:t>
      </w:r>
      <w:r>
        <w:tab/>
      </w:r>
      <w:r>
        <w:t>3GPP TS 36.331: "</w:t>
      </w:r>
      <w:r>
        <w:rPr>
          <w:color w:val="000000"/>
        </w:rPr>
        <w:t>Evolved Universal Terrestrial Radio Access (E-UTRA); Radio Resource Control (RRC); Protocol specification</w:t>
      </w:r>
      <w:r>
        <w:t>".</w:t>
      </w:r>
    </w:p>
    <w:p>
      <w:pPr>
        <w:pStyle w:val="107"/>
        <w:rPr>
          <w:rFonts w:eastAsia="等线"/>
          <w:lang w:val="en-US"/>
        </w:rPr>
      </w:pPr>
      <w:r>
        <w:rPr>
          <w:rFonts w:hint="eastAsia" w:eastAsia="等线"/>
        </w:rPr>
        <w:t>[</w:t>
      </w:r>
      <w:r>
        <w:rPr>
          <w:rFonts w:eastAsia="等线"/>
          <w:lang w:val="en-US"/>
        </w:rPr>
        <w:t>7</w:t>
      </w:r>
      <w:r>
        <w:rPr>
          <w:rFonts w:eastAsia="等线"/>
        </w:rPr>
        <w:t>]</w:t>
      </w:r>
      <w:r>
        <w:rPr>
          <w:rFonts w:eastAsia="等线"/>
        </w:rPr>
        <w:tab/>
      </w:r>
      <w:r>
        <w:t>3GPP TS 36.101: "Evolved Universal Terrestrial Radio Access (E-UTRA); User Equipment (UE) radio transmission and reception"</w:t>
      </w:r>
      <w:r>
        <w:rPr>
          <w:lang w:val="en-US"/>
        </w:rPr>
        <w:t>.</w:t>
      </w:r>
    </w:p>
    <w:p>
      <w:pPr>
        <w:pStyle w:val="107"/>
        <w:rPr>
          <w:rFonts w:eastAsia="等线"/>
        </w:rPr>
      </w:pPr>
      <w:r>
        <w:rPr>
          <w:rFonts w:hint="eastAsia" w:eastAsia="等线"/>
        </w:rPr>
        <w:t>[</w:t>
      </w:r>
      <w:r>
        <w:rPr>
          <w:rFonts w:eastAsia="等线"/>
          <w:lang w:val="en-US"/>
        </w:rPr>
        <w:t>8</w:t>
      </w:r>
      <w:r>
        <w:rPr>
          <w:rFonts w:eastAsia="等线"/>
        </w:rPr>
        <w:t>]</w:t>
      </w:r>
      <w:r>
        <w:rPr>
          <w:rFonts w:eastAsia="等线"/>
        </w:rPr>
        <w:tab/>
      </w:r>
      <w:r>
        <w:t>3GPP TS 36.300: "Evolved Universal Terrestrial Radio Access (E-UTRA) and Evolved Universal Terrestrial Radio Access Network (E-UTRAN); Overall description; Stage 2".</w:t>
      </w:r>
    </w:p>
    <w:p>
      <w:pPr>
        <w:pStyle w:val="107"/>
        <w:rPr>
          <w:rFonts w:eastAsia="等线"/>
          <w:lang w:val="en-US"/>
        </w:rPr>
      </w:pPr>
      <w:r>
        <w:rPr>
          <w:rFonts w:hint="eastAsia" w:eastAsia="等线"/>
        </w:rPr>
        <w:t>[</w:t>
      </w:r>
      <w:r>
        <w:rPr>
          <w:rFonts w:eastAsia="等线"/>
          <w:lang w:val="en-US"/>
        </w:rPr>
        <w:t>9</w:t>
      </w:r>
      <w:r>
        <w:rPr>
          <w:rFonts w:eastAsia="等线"/>
        </w:rPr>
        <w:t>]</w:t>
      </w:r>
      <w:r>
        <w:rPr>
          <w:rFonts w:eastAsia="等线"/>
        </w:rPr>
        <w:tab/>
      </w:r>
      <w:r>
        <w:t>ITU-R Recommendation SM.329-10, "Unwanted emissions in the spurious domain"</w:t>
      </w:r>
      <w:r>
        <w:rPr>
          <w:lang w:val="en-US"/>
        </w:rPr>
        <w:t>.</w:t>
      </w:r>
    </w:p>
    <w:p>
      <w:pPr>
        <w:pStyle w:val="107"/>
        <w:rPr>
          <w:color w:val="000000"/>
          <w:shd w:val="clear" w:color="auto" w:fill="FFFFFF"/>
          <w:lang w:val="en-US"/>
        </w:rPr>
      </w:pPr>
      <w:r>
        <w:rPr>
          <w:rFonts w:eastAsia="等线"/>
        </w:rPr>
        <w:t>[1</w:t>
      </w:r>
      <w:r>
        <w:rPr>
          <w:rFonts w:eastAsia="等线"/>
          <w:lang w:val="en-US"/>
        </w:rPr>
        <w:t>0</w:t>
      </w:r>
      <w:r>
        <w:rPr>
          <w:rFonts w:eastAsia="等线"/>
        </w:rPr>
        <w:t>]</w:t>
      </w:r>
      <w:r>
        <w:rPr>
          <w:rFonts w:eastAsia="等线"/>
        </w:rPr>
        <w:tab/>
      </w:r>
      <w:r>
        <w:t>[</w:t>
      </w:r>
      <w:r>
        <w:rPr>
          <w:color w:val="000000"/>
          <w:shd w:val="clear" w:color="auto" w:fill="FFFFFF"/>
          <w:lang w:val="en-US"/>
        </w:rPr>
        <w:t>ANSI C63.26-2015, American National standard for Compliance Testing of Transmitters Used in Licensed Radio Services, Accredited Standards Committee C63 – Electromagnetic compatibility].</w:t>
      </w:r>
    </w:p>
    <w:p>
      <w:pPr>
        <w:pStyle w:val="107"/>
      </w:pPr>
      <w:r>
        <w:rPr>
          <w:color w:val="000000"/>
          <w:shd w:val="clear" w:color="auto" w:fill="FFFFFF"/>
          <w:lang w:val="en-US"/>
        </w:rPr>
        <w:t>[11]</w:t>
      </w:r>
      <w:r>
        <w:rPr>
          <w:color w:val="000000"/>
          <w:shd w:val="clear" w:color="auto" w:fill="FFFFFF"/>
          <w:lang w:val="en-US"/>
        </w:rPr>
        <w:tab/>
      </w:r>
      <w:r>
        <w:t xml:space="preserve">3GPP TS </w:t>
      </w:r>
      <w:r>
        <w:rPr>
          <w:lang w:val="en-US"/>
        </w:rPr>
        <w:t>36</w:t>
      </w:r>
      <w:r>
        <w:t>.</w:t>
      </w:r>
      <w:r>
        <w:rPr>
          <w:lang w:val="en-US"/>
        </w:rPr>
        <w:t>10</w:t>
      </w:r>
      <w:r>
        <w:t>2: "</w:t>
      </w:r>
      <w:r>
        <w:rPr>
          <w:rFonts w:hint="eastAsia"/>
        </w:rPr>
        <w:t>Evolved Universal Terrestrial Radio Access (E-UTRA)</w:t>
      </w:r>
      <w:r>
        <w:t xml:space="preserve">; </w:t>
      </w:r>
      <w:r>
        <w:rPr>
          <w:rFonts w:hint="eastAsia"/>
        </w:rPr>
        <w:t>User Equipment (UE) radio transmission and reception for satellite access</w:t>
      </w:r>
      <w:r>
        <w:t>".</w:t>
      </w:r>
    </w:p>
    <w:p>
      <w:pPr>
        <w:pStyle w:val="107"/>
      </w:pPr>
      <w:r>
        <w:rPr>
          <w:color w:val="000000"/>
          <w:shd w:val="clear" w:color="auto" w:fill="FFFFFF"/>
          <w:lang w:val="en-US"/>
        </w:rPr>
        <w:t>[12]</w:t>
      </w:r>
      <w:r>
        <w:rPr>
          <w:color w:val="000000"/>
          <w:shd w:val="clear" w:color="auto" w:fill="FFFFFF"/>
          <w:lang w:val="en-US"/>
        </w:rPr>
        <w:tab/>
      </w:r>
      <w:r>
        <w:t>3GPP TS 36.508: "Common test environments for User Equipment (UE)".</w:t>
      </w:r>
    </w:p>
    <w:p>
      <w:pPr>
        <w:pStyle w:val="107"/>
        <w:rPr>
          <w:lang w:val="en-US"/>
        </w:rPr>
      </w:pPr>
      <w:r>
        <w:rPr>
          <w:lang w:val="en-US"/>
        </w:rPr>
        <w:t>[13]</w:t>
      </w:r>
      <w:r>
        <w:rPr>
          <w:lang w:val="en-US"/>
        </w:rPr>
        <w:tab/>
      </w:r>
      <w:r>
        <w:t>3GPP TS 36.50</w:t>
      </w:r>
      <w:r>
        <w:rPr>
          <w:lang w:val="en-US"/>
        </w:rPr>
        <w:t>9</w:t>
      </w:r>
      <w:r>
        <w:t>: "</w:t>
      </w:r>
      <w:r>
        <w:rPr>
          <w:rFonts w:hint="eastAsia"/>
        </w:rPr>
        <w:t>Evolved Universal Terrestrial Radio Access (E-UTRA) and</w:t>
      </w:r>
      <w:r>
        <w:rPr>
          <w:lang w:val="en-US"/>
        </w:rPr>
        <w:t xml:space="preserve"> </w:t>
      </w:r>
      <w:r>
        <w:rPr>
          <w:rFonts w:hint="eastAsia"/>
        </w:rPr>
        <w:t>Evolved Packet Core (EPC); Special conformance testing functions for User Equipment (UE)</w:t>
      </w:r>
      <w:r>
        <w:t>".</w:t>
      </w:r>
    </w:p>
    <w:p>
      <w:pPr>
        <w:pStyle w:val="107"/>
      </w:pPr>
      <w:r>
        <w:rPr>
          <w:lang w:val="en-US"/>
        </w:rPr>
        <w:t>[14]</w:t>
      </w:r>
      <w:r>
        <w:rPr>
          <w:lang w:val="en-US"/>
        </w:rPr>
        <w:tab/>
      </w:r>
      <w:r>
        <w:t>3GPP TS 36.521-</w:t>
      </w:r>
      <w:r>
        <w:rPr>
          <w:lang w:val="en-US"/>
        </w:rPr>
        <w:t>1</w:t>
      </w:r>
      <w:r>
        <w:t>: "Evolved Universal Terrestrial Radio Access (E-UTRA); User Equipment (UE) conformance specification; Radio transmission and reception; Part 1: Conformance testing".</w:t>
      </w:r>
    </w:p>
    <w:p>
      <w:pPr>
        <w:pStyle w:val="107"/>
      </w:pPr>
      <w:r>
        <w:rPr>
          <w:lang w:val="en-US"/>
        </w:rPr>
        <w:t>[15]</w:t>
      </w:r>
      <w:r>
        <w:rPr>
          <w:lang w:val="en-US"/>
        </w:rPr>
        <w:tab/>
      </w:r>
      <w:r>
        <w:t>3GPP TS 36.521-2: "Evolved Universal Terrestrial Radio Access (E-UTRA); User Equipment (UE) conformance specification; Radio transmission and reception; Part 2: Implementation Conformance Statement (ICS)".</w:t>
      </w:r>
    </w:p>
    <w:p>
      <w:pPr>
        <w:pStyle w:val="107"/>
      </w:pPr>
      <w:r>
        <w:rPr>
          <w:lang w:val="en-US"/>
        </w:rPr>
        <w:t>[16]</w:t>
      </w:r>
      <w:r>
        <w:rPr>
          <w:lang w:val="en-US"/>
        </w:rPr>
        <w:tab/>
      </w:r>
      <w:r>
        <w:t>3GPP TS 36.521-3: "Evolved Universal Terrestrial Radio Access (E-UTRA); User Equipment (UE) conformance specification; Radio transmission and reception; Part 3: Radio Resource Management (RRM) conformance testing".</w:t>
      </w:r>
    </w:p>
    <w:p>
      <w:pPr>
        <w:pStyle w:val="107"/>
        <w:rPr>
          <w:lang w:val="en-US"/>
        </w:rPr>
      </w:pPr>
      <w:r>
        <w:rPr>
          <w:lang w:val="en-US"/>
        </w:rPr>
        <w:t>[17]</w:t>
      </w:r>
      <w:r>
        <w:rPr>
          <w:lang w:val="en-US"/>
        </w:rPr>
        <w:tab/>
      </w:r>
      <w:r>
        <w:rPr>
          <w:lang w:eastAsia="zh-CN"/>
        </w:rPr>
        <w:t>3GPP TR 36.90</w:t>
      </w:r>
      <w:r>
        <w:rPr>
          <w:lang w:val="en-US" w:eastAsia="zh-CN"/>
        </w:rPr>
        <w:t>4</w:t>
      </w:r>
      <w:r>
        <w:rPr>
          <w:lang w:eastAsia="zh-CN"/>
        </w:rPr>
        <w:t xml:space="preserve">: </w:t>
      </w:r>
      <w:r>
        <w:t>"</w:t>
      </w:r>
      <w:r>
        <w:rPr>
          <w:rFonts w:hint="eastAsia"/>
          <w:lang w:eastAsia="zh-CN"/>
        </w:rPr>
        <w:t>Evolved Universal Terrestrial Radio Access (E-UTRA) and</w:t>
      </w:r>
      <w:r>
        <w:rPr>
          <w:lang w:val="en-US" w:eastAsia="zh-CN"/>
        </w:rPr>
        <w:t xml:space="preserve"> Evolved Universal Terrestrial Radio Access Network (E-UTRAN); Derivation of test tolerances for User Equipment (UE) radio reception conformance tests</w:t>
      </w:r>
      <w:r>
        <w:t>"</w:t>
      </w:r>
      <w:r>
        <w:rPr>
          <w:lang w:eastAsia="zh-CN"/>
        </w:rPr>
        <w:t>.</w:t>
      </w:r>
    </w:p>
    <w:p>
      <w:pPr>
        <w:pStyle w:val="107"/>
        <w:rPr>
          <w:lang w:eastAsia="zh-CN"/>
        </w:rPr>
      </w:pPr>
      <w:r>
        <w:rPr>
          <w:lang w:val="en-US"/>
        </w:rPr>
        <w:t>[18]</w:t>
      </w:r>
      <w:r>
        <w:rPr>
          <w:lang w:val="en-US"/>
        </w:rPr>
        <w:tab/>
      </w:r>
      <w:r>
        <w:rPr>
          <w:lang w:eastAsia="zh-CN"/>
        </w:rPr>
        <w:t xml:space="preserve">3GPP TR 36.905: </w:t>
      </w:r>
      <w:r>
        <w:t>"</w:t>
      </w:r>
      <w:r>
        <w:rPr>
          <w:rFonts w:hint="eastAsia"/>
          <w:lang w:eastAsia="zh-CN"/>
        </w:rPr>
        <w:t>Evolved Universal Terrestrial Radio Access (E-UTRA) and</w:t>
      </w:r>
      <w:r>
        <w:rPr>
          <w:lang w:val="en-US" w:eastAsia="zh-CN"/>
        </w:rPr>
        <w:t xml:space="preserve"> Evolved Universal Terrestrial Radio Access Network (E-UTRAN); </w:t>
      </w:r>
      <w:r>
        <w:rPr>
          <w:lang w:eastAsia="zh-CN"/>
        </w:rPr>
        <w:t>Derivation of test points for radio transmission and reception conformance test cases</w:t>
      </w:r>
      <w:r>
        <w:t>"</w:t>
      </w:r>
      <w:r>
        <w:rPr>
          <w:lang w:eastAsia="zh-CN"/>
        </w:rPr>
        <w:t>.</w:t>
      </w:r>
    </w:p>
    <w:p>
      <w:pPr>
        <w:pStyle w:val="107"/>
      </w:pPr>
      <w:r>
        <w:rPr>
          <w:rFonts w:hint="eastAsia"/>
          <w:lang w:val="en-US" w:eastAsia="zh-CN"/>
        </w:rPr>
        <w:t>[19]</w:t>
      </w:r>
      <w:r>
        <w:rPr>
          <w:rFonts w:eastAsia="等线"/>
        </w:rPr>
        <w:tab/>
      </w:r>
      <w:r>
        <w:t>3GPP TS 36.21</w:t>
      </w:r>
      <w:r>
        <w:rPr>
          <w:rFonts w:hint="eastAsia" w:eastAsia="宋体"/>
          <w:lang w:val="en-US" w:eastAsia="zh-CN"/>
        </w:rPr>
        <w:t>2</w:t>
      </w:r>
      <w:r>
        <w:t>: "</w:t>
      </w:r>
      <w:r>
        <w:rPr>
          <w:color w:val="000000"/>
        </w:rPr>
        <w:t xml:space="preserve">Evolved Universal Terrestrial Radio Access (E-UTRA); </w:t>
      </w:r>
      <w:r>
        <w:rPr>
          <w:rFonts w:hint="eastAsia"/>
        </w:rPr>
        <w:t>Multiplexing and channel coding</w:t>
      </w:r>
      <w:r>
        <w:t>".</w:t>
      </w:r>
    </w:p>
    <w:p>
      <w:pPr>
        <w:pStyle w:val="107"/>
      </w:pPr>
      <w:r>
        <w:t>[</w:t>
      </w:r>
      <w:r>
        <w:rPr>
          <w:rFonts w:hint="eastAsia" w:eastAsia="宋体"/>
          <w:lang w:val="en-US" w:eastAsia="zh-CN"/>
        </w:rPr>
        <w:t>2</w:t>
      </w:r>
      <w:r>
        <w:t>0]</w:t>
      </w:r>
      <w:r>
        <w:tab/>
      </w:r>
      <w:r>
        <w:t>3GPP TS 36.213: "</w:t>
      </w:r>
      <w:r>
        <w:rPr>
          <w:color w:val="000000"/>
        </w:rPr>
        <w:t xml:space="preserve">Evolved Universal Terrestrial Radio Access (E-UTRA); </w:t>
      </w:r>
      <w:r>
        <w:t>Physical layer procedures".</w:t>
      </w:r>
    </w:p>
    <w:p>
      <w:pPr>
        <w:pStyle w:val="107"/>
        <w:rPr>
          <w:rFonts w:eastAsia="宋体"/>
          <w:lang w:val="en-US" w:eastAsia="zh-CN"/>
        </w:rPr>
      </w:pPr>
      <w:r>
        <w:rPr>
          <w:rFonts w:hint="eastAsia" w:eastAsia="宋体"/>
          <w:lang w:val="en-US" w:eastAsia="zh-CN"/>
        </w:rPr>
        <w:t>[21]</w:t>
      </w:r>
      <w:r>
        <w:tab/>
      </w:r>
      <w:r>
        <w:rPr>
          <w:lang w:eastAsia="zh-CN"/>
        </w:rPr>
        <w:t>3GPP TR 38.811: "Study on New Radio (NR) to support non-terrestrial networks"</w:t>
      </w:r>
      <w:r>
        <w:t>.</w:t>
      </w:r>
    </w:p>
    <w:p>
      <w:pPr>
        <w:pStyle w:val="107"/>
        <w:rPr>
          <w:lang w:val="en-US" w:eastAsia="zh-CN"/>
        </w:rPr>
      </w:pPr>
    </w:p>
    <w:p>
      <w:pPr>
        <w:pStyle w:val="3"/>
      </w:pPr>
      <w:bookmarkStart w:id="57" w:name="definitions"/>
      <w:bookmarkEnd w:id="57"/>
      <w:bookmarkStart w:id="58" w:name="_Toc18432"/>
      <w:bookmarkStart w:id="59" w:name="_Toc13008"/>
      <w:bookmarkStart w:id="60" w:name="_Toc12673"/>
      <w:r>
        <w:t>3</w:t>
      </w:r>
      <w:r>
        <w:tab/>
      </w:r>
      <w:r>
        <w:t>Definitions of terms, symbols and abbreviations</w:t>
      </w:r>
      <w:bookmarkEnd w:id="58"/>
      <w:bookmarkEnd w:id="59"/>
      <w:bookmarkEnd w:id="60"/>
    </w:p>
    <w:p>
      <w:pPr>
        <w:pStyle w:val="4"/>
      </w:pPr>
      <w:bookmarkStart w:id="61" w:name="_Toc30056"/>
      <w:bookmarkStart w:id="62" w:name="_Toc22149"/>
      <w:bookmarkStart w:id="63" w:name="_Toc15642"/>
      <w:r>
        <w:t>3.1</w:t>
      </w:r>
      <w:r>
        <w:tab/>
      </w:r>
      <w:r>
        <w:t>Terms</w:t>
      </w:r>
      <w:bookmarkEnd w:id="61"/>
      <w:bookmarkEnd w:id="62"/>
      <w:bookmarkEnd w:id="63"/>
    </w:p>
    <w:p>
      <w:r>
        <w:t>For the purposes of the present document, the terms given in TR 21.905 [1] and the following apply. A term defined in the present document takes precedence over the definition of the same term, if any, in TR 21.905 [1].</w:t>
      </w:r>
    </w:p>
    <w:p>
      <w:pPr>
        <w:tabs>
          <w:tab w:val="left" w:pos="2448"/>
          <w:tab w:val="left" w:pos="9468"/>
        </w:tabs>
        <w:rPr>
          <w:rFonts w:cs="v5.0.0"/>
          <w:snapToGrid w:val="0"/>
        </w:rPr>
      </w:pPr>
      <w:r>
        <w:rPr>
          <w:rFonts w:cs="v5.0.0"/>
          <w:b/>
          <w:bCs/>
        </w:rPr>
        <w:t xml:space="preserve">Channel edge: </w:t>
      </w:r>
      <w:r>
        <w:rPr>
          <w:rFonts w:cs="v5.0.0"/>
          <w:snapToGrid w:val="0"/>
        </w:rPr>
        <w:t>The lowest and highest frequency of the carrier, separated by the channel bandwidth.</w:t>
      </w:r>
    </w:p>
    <w:p>
      <w:pPr>
        <w:rPr>
          <w:rFonts w:cstheme="minorBidi"/>
        </w:rPr>
      </w:pPr>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p>
    <w:p>
      <w:r>
        <w:rPr>
          <w:b/>
        </w:rPr>
        <w:t>Category NB1/NB2</w:t>
      </w:r>
      <w:r>
        <w:rPr>
          <w:rFonts w:eastAsia="Malgun Gothic"/>
          <w:b/>
        </w:rPr>
        <w:t xml:space="preserve"> </w:t>
      </w:r>
      <w:r>
        <w:rPr>
          <w:b/>
        </w:rPr>
        <w:t>stand-alone operation</w:t>
      </w:r>
      <w:r>
        <w:t>: category NB1/NB2 is operating standalone when it utilizes its own spectrum, for example the spectrum used by GERAN systems as a replacement of one or more GSM carriers, as well as scattered spectrum for potential IoT deployment.</w:t>
      </w:r>
    </w:p>
    <w:p>
      <w:r>
        <w:rPr>
          <w:b/>
        </w:rPr>
        <w:t>Category NB1/NB2</w:t>
      </w:r>
      <w:r>
        <w:t xml:space="preserve"> </w:t>
      </w:r>
      <w:r>
        <w:rPr>
          <w:b/>
        </w:rPr>
        <w:t>guard band operation:</w:t>
      </w:r>
      <w:r>
        <w:t xml:space="preserve"> category NB1/NB2 is operating in guard band when it utilizes the unused resource block(s) within a E-UTRA carrier’s guard-band.</w:t>
      </w:r>
    </w:p>
    <w:p>
      <w:r>
        <w:rPr>
          <w:b/>
        </w:rPr>
        <w:t>Category NB1/NB2</w:t>
      </w:r>
      <w:r>
        <w:t xml:space="preserve"> </w:t>
      </w:r>
      <w:r>
        <w:rPr>
          <w:b/>
        </w:rPr>
        <w:t>in-band operation:</w:t>
      </w:r>
      <w:r>
        <w:t xml:space="preserve"> category NB1/NB2 is operating in-band when it utilizes the resource block(s) within a normal E-UTRA carrier or within a normal NR carrier plus 15</w:t>
      </w:r>
      <w:r>
        <w:rPr>
          <w:lang w:val="en-US"/>
        </w:rPr>
        <w:t> </w:t>
      </w:r>
      <w:r>
        <w:t>kHz at each edge (and not within NR minimum guard band).</w:t>
      </w:r>
    </w:p>
    <w:p>
      <w:r>
        <w:rPr>
          <w:b/>
        </w:rPr>
        <w:t>Geosynchronous Earth Orbit:</w:t>
      </w:r>
      <w:r>
        <w:t xml:space="preserve"> Earth-centred orbit at approximately 35786 kilometres above Earth's surface and synchronised with Earth's rotation. A geostationary orbit is a non-inclined geosynchronous orbit, i.e. in the Earth’s equator plane.</w:t>
      </w:r>
    </w:p>
    <w:p>
      <w:r>
        <w:rPr>
          <w:b/>
        </w:rPr>
        <w:t xml:space="preserve">Low Earth Orbit: </w:t>
      </w:r>
      <w:r>
        <w:t>Orbit around the Earth with an altitude between 300 km, and 1500 km.</w:t>
      </w:r>
    </w:p>
    <w:p>
      <w:r>
        <w:rPr>
          <w:b/>
        </w:rPr>
        <w:t xml:space="preserve">Satellite: </w:t>
      </w:r>
      <w:r>
        <w:t xml:space="preserve">A space-borne vehicle embarking a bent pipe payload or a regenerative payload telecommunication transmitter, placed into Low-Earth Orbit (LEO), Medium-Earth Orbit (MEO), or Geostationary Earth Orbit (GEO). </w:t>
      </w:r>
    </w:p>
    <w:p>
      <w:pPr>
        <w:rPr>
          <w:b/>
        </w:rPr>
      </w:pPr>
      <w:r>
        <w:rPr>
          <w:b/>
        </w:rPr>
        <w:t xml:space="preserve">Satellite Access Node: </w:t>
      </w:r>
      <w:r>
        <w:t>see definition in TS 36.108 [2].</w:t>
      </w:r>
      <w:r>
        <w:rPr>
          <w:b/>
        </w:rPr>
        <w:t xml:space="preserve"> </w:t>
      </w:r>
    </w:p>
    <w:p>
      <w:r>
        <w:rPr>
          <w:b/>
        </w:rPr>
        <w:t>sTTI</w:t>
      </w:r>
      <w:r>
        <w:t>: A transmission time interval (TTI) of either one slot or one subslot as defined in TS 36.211 [3] on either uplink or downlink.</w:t>
      </w:r>
    </w:p>
    <w:p>
      <w:pPr>
        <w:pStyle w:val="4"/>
      </w:pPr>
      <w:bookmarkStart w:id="64" w:name="_Toc12488"/>
      <w:bookmarkStart w:id="65" w:name="_Toc20916"/>
      <w:bookmarkStart w:id="66" w:name="_Toc16540"/>
      <w:r>
        <w:t>3.2</w:t>
      </w:r>
      <w:r>
        <w:tab/>
      </w:r>
      <w:r>
        <w:t>Symbols</w:t>
      </w:r>
      <w:bookmarkEnd w:id="64"/>
      <w:bookmarkEnd w:id="65"/>
      <w:bookmarkEnd w:id="66"/>
    </w:p>
    <w:p>
      <w:r>
        <w:t>For the purposes of the present document, the following symbols apply:</w:t>
      </w:r>
    </w:p>
    <w:p>
      <w:pPr>
        <w:pStyle w:val="110"/>
        <w:rPr>
          <w:rFonts w:eastAsiaTheme="minorEastAsia"/>
        </w:rPr>
      </w:pPr>
      <w:r>
        <w:t>ΔF</w:t>
      </w:r>
      <w:r>
        <w:rPr>
          <w:vertAlign w:val="subscript"/>
        </w:rPr>
        <w:t>Raster</w:t>
      </w:r>
      <w:r>
        <w:rPr>
          <w:vertAlign w:val="subscript"/>
        </w:rPr>
        <w:tab/>
      </w:r>
      <w:r>
        <w:rPr>
          <w:rFonts w:eastAsia="Yu Mincho"/>
        </w:rPr>
        <w:t>Band dependent channel raster granularity</w:t>
      </w:r>
    </w:p>
    <w:p>
      <w:pPr>
        <w:pStyle w:val="110"/>
      </w:pPr>
      <w:r>
        <w:t>BW</w:t>
      </w:r>
      <w:r>
        <w:rPr>
          <w:vertAlign w:val="subscript"/>
        </w:rPr>
        <w:t>Channel</w:t>
      </w:r>
      <w:r>
        <w:tab/>
      </w:r>
      <w:r>
        <w:t>Channel bandwidth</w:t>
      </w:r>
    </w:p>
    <w:p>
      <w:pPr>
        <w:pStyle w:val="110"/>
      </w:pPr>
      <w:r>
        <w:t>F</w:t>
      </w:r>
      <w:r>
        <w:tab/>
      </w:r>
      <w:r>
        <w:t>Frequency</w:t>
      </w:r>
    </w:p>
    <w:p>
      <w:pPr>
        <w:pStyle w:val="110"/>
      </w:pPr>
      <w:r>
        <w:t>F</w:t>
      </w:r>
      <w:r>
        <w:rPr>
          <w:vertAlign w:val="subscript"/>
        </w:rPr>
        <w:t xml:space="preserve">Interferer </w:t>
      </w:r>
      <w:r>
        <w:t>(offset)</w:t>
      </w:r>
      <w:r>
        <w:tab/>
      </w:r>
      <w:r>
        <w:t>Frequency offset of the interferer (between the center frequency of the interferer and the carrier frequency of the carrier measured)</w:t>
      </w:r>
    </w:p>
    <w:p>
      <w:pPr>
        <w:pStyle w:val="110"/>
      </w:pPr>
      <w:r>
        <w:t>F</w:t>
      </w:r>
      <w:r>
        <w:rPr>
          <w:vertAlign w:val="subscript"/>
        </w:rPr>
        <w:t>Interferer</w:t>
      </w:r>
      <w:r>
        <w:rPr>
          <w:vertAlign w:val="subscript"/>
        </w:rPr>
        <w:tab/>
      </w:r>
      <w:r>
        <w:t>Frequency of the interferer</w:t>
      </w:r>
    </w:p>
    <w:p>
      <w:pPr>
        <w:pStyle w:val="110"/>
      </w:pPr>
      <w:r>
        <w:t>F</w:t>
      </w:r>
      <w:r>
        <w:rPr>
          <w:vertAlign w:val="subscript"/>
        </w:rPr>
        <w:t>Ioffset</w:t>
      </w:r>
      <w:r>
        <w:rPr>
          <w:vertAlign w:val="subscript"/>
        </w:rPr>
        <w:tab/>
      </w:r>
      <w:r>
        <w:t>Frequency offset of the interferer (between the center frequency of the interferer and the closest edge of the carrier measured)</w:t>
      </w:r>
    </w:p>
    <w:p>
      <w:pPr>
        <w:pStyle w:val="110"/>
      </w:pPr>
      <w:r>
        <w:t>F</w:t>
      </w:r>
      <w:r>
        <w:rPr>
          <w:vertAlign w:val="subscript"/>
        </w:rPr>
        <w:t>C</w:t>
      </w:r>
      <w:r>
        <w:rPr>
          <w:vertAlign w:val="subscript"/>
        </w:rPr>
        <w:tab/>
      </w:r>
      <w:r>
        <w:t>Frequency of the carrier centre frequency</w:t>
      </w:r>
    </w:p>
    <w:p>
      <w:pPr>
        <w:pStyle w:val="110"/>
      </w:pPr>
      <w:r>
        <w:t>F</w:t>
      </w:r>
      <w:r>
        <w:rPr>
          <w:vertAlign w:val="subscript"/>
        </w:rPr>
        <w:t>DL_low</w:t>
      </w:r>
      <w:r>
        <w:rPr>
          <w:vertAlign w:val="subscript"/>
        </w:rPr>
        <w:tab/>
      </w:r>
      <w:r>
        <w:t>The lowest frequency of the downlink operating band</w:t>
      </w:r>
    </w:p>
    <w:p>
      <w:pPr>
        <w:pStyle w:val="110"/>
      </w:pPr>
      <w:r>
        <w:t>F</w:t>
      </w:r>
      <w:r>
        <w:rPr>
          <w:vertAlign w:val="subscript"/>
        </w:rPr>
        <w:t>DL_high</w:t>
      </w:r>
      <w:r>
        <w:rPr>
          <w:vertAlign w:val="subscript"/>
        </w:rPr>
        <w:tab/>
      </w:r>
      <w:r>
        <w:t>The highest frequency of the downlink operating band</w:t>
      </w:r>
    </w:p>
    <w:p>
      <w:pPr>
        <w:pStyle w:val="110"/>
      </w:pPr>
      <w:r>
        <w:t>F</w:t>
      </w:r>
      <w:r>
        <w:rPr>
          <w:vertAlign w:val="subscript"/>
        </w:rPr>
        <w:t>UL_low</w:t>
      </w:r>
      <w:r>
        <w:rPr>
          <w:vertAlign w:val="subscript"/>
        </w:rPr>
        <w:tab/>
      </w:r>
      <w:r>
        <w:t>The lowest frequency of the uplink operating band</w:t>
      </w:r>
    </w:p>
    <w:p>
      <w:pPr>
        <w:pStyle w:val="110"/>
      </w:pPr>
      <w:r>
        <w:t>F</w:t>
      </w:r>
      <w:r>
        <w:rPr>
          <w:vertAlign w:val="subscript"/>
        </w:rPr>
        <w:t>UL_high</w:t>
      </w:r>
      <w:r>
        <w:rPr>
          <w:vertAlign w:val="subscript"/>
        </w:rPr>
        <w:tab/>
      </w:r>
      <w:r>
        <w:t>The highest frequency of the uplink operating band</w:t>
      </w:r>
    </w:p>
    <w:p>
      <w:pPr>
        <w:pStyle w:val="110"/>
      </w:pPr>
      <w:r>
        <w:t>F</w:t>
      </w:r>
      <w:r>
        <w:rPr>
          <w:vertAlign w:val="subscript"/>
        </w:rPr>
        <w:t>OOB</w:t>
      </w:r>
      <w:r>
        <w:tab/>
      </w:r>
      <w:r>
        <w:t>The boundary between the E-UTRA out of band emission and spurious emission domains.</w:t>
      </w:r>
    </w:p>
    <w:p>
      <w:pPr>
        <w:pStyle w:val="110"/>
        <w:rPr>
          <w:rFonts w:cstheme="minorBidi"/>
          <w:szCs w:val="22"/>
        </w:rPr>
      </w:pPr>
      <w:r>
        <w:rPr>
          <w:rFonts w:cs="Arial"/>
          <w:szCs w:val="18"/>
        </w:rPr>
        <w:t>L</w:t>
      </w:r>
      <w:r>
        <w:rPr>
          <w:rFonts w:cs="Arial"/>
          <w:szCs w:val="18"/>
          <w:vertAlign w:val="subscript"/>
        </w:rPr>
        <w:t>Ctone</w:t>
      </w:r>
      <w:r>
        <w:rPr>
          <w:rFonts w:cs="Arial"/>
          <w:szCs w:val="18"/>
        </w:rPr>
        <w:tab/>
      </w:r>
      <w:r>
        <w:rPr>
          <w:rFonts w:cs="Arial"/>
          <w:szCs w:val="18"/>
        </w:rPr>
        <w:t>Transmission bandwidth which represents the length of a contiguous sub-carrier allocation expressed in units of tones</w:t>
      </w:r>
    </w:p>
    <w:p>
      <w:pPr>
        <w:pStyle w:val="110"/>
      </w:pPr>
      <w:r>
        <w:t>N</w:t>
      </w:r>
      <w:r>
        <w:rPr>
          <w:vertAlign w:val="subscript"/>
        </w:rPr>
        <w:t>DL</w:t>
      </w:r>
      <w:r>
        <w:t xml:space="preserve"> </w:t>
      </w:r>
      <w:r>
        <w:tab/>
      </w:r>
      <w:r>
        <w:t>Downlink EARFCN</w:t>
      </w:r>
    </w:p>
    <w:p>
      <w:pPr>
        <w:pStyle w:val="110"/>
      </w:pPr>
      <w:r>
        <w:t>N</w:t>
      </w:r>
      <w:r>
        <w:rPr>
          <w:vertAlign w:val="subscript"/>
        </w:rPr>
        <w:t>Offs-DL</w:t>
      </w:r>
      <w:r>
        <w:t xml:space="preserve"> </w:t>
      </w:r>
      <w:r>
        <w:tab/>
      </w:r>
      <w:r>
        <w:t>Offset used for calculating downlink EARFCN</w:t>
      </w:r>
    </w:p>
    <w:p>
      <w:pPr>
        <w:pStyle w:val="110"/>
      </w:pPr>
      <w:r>
        <w:t>N</w:t>
      </w:r>
      <w:r>
        <w:rPr>
          <w:vertAlign w:val="subscript"/>
        </w:rPr>
        <w:t>Offs-UL</w:t>
      </w:r>
      <w:r>
        <w:t xml:space="preserve"> </w:t>
      </w:r>
      <w:r>
        <w:tab/>
      </w:r>
      <w:r>
        <w:t>Offset used for calculating uplink EARFCN</w:t>
      </w:r>
    </w:p>
    <w:p>
      <w:pPr>
        <w:pStyle w:val="110"/>
      </w:pPr>
      <w:r>
        <w:t>N</w:t>
      </w:r>
      <w:r>
        <w:rPr>
          <w:vertAlign w:val="subscript"/>
        </w:rPr>
        <w:t>RB</w:t>
      </w:r>
      <w:r>
        <w:tab/>
      </w:r>
      <w:r>
        <w:t>Transmission bandwidth configuration, expressed in units of resource blocks</w:t>
      </w:r>
    </w:p>
    <w:p>
      <w:pPr>
        <w:pStyle w:val="110"/>
      </w:pPr>
      <w:r>
        <w:t>N</w:t>
      </w:r>
      <w:r>
        <w:rPr>
          <w:vertAlign w:val="subscript"/>
        </w:rPr>
        <w:t>RB_alloc</w:t>
      </w:r>
      <w:r>
        <w:rPr>
          <w:vertAlign w:val="subscript"/>
        </w:rPr>
        <w:tab/>
      </w:r>
      <w:r>
        <w:t>Total number of simultaneously transmitted resource blocks in Channel bandwidth or Aggregated Channel Bandwidth.</w:t>
      </w:r>
    </w:p>
    <w:p>
      <w:pPr>
        <w:pStyle w:val="110"/>
      </w:pPr>
      <w:r>
        <w:t>N</w:t>
      </w:r>
      <w:r>
        <w:rPr>
          <w:vertAlign w:val="subscript"/>
        </w:rPr>
        <w:t>tone</w:t>
      </w:r>
      <w:r>
        <w:tab/>
      </w:r>
      <w:r>
        <w:t>Transmission bandwidth configuration for category NB1 and NB2, expressed in units of tones.</w:t>
      </w:r>
    </w:p>
    <w:p>
      <w:pPr>
        <w:pStyle w:val="110"/>
      </w:pPr>
      <w:r>
        <w:rPr>
          <w:rFonts w:cs="Arial"/>
        </w:rPr>
        <w:t>N</w:t>
      </w:r>
      <w:r>
        <w:rPr>
          <w:rFonts w:cs="Arial"/>
          <w:vertAlign w:val="subscript"/>
        </w:rPr>
        <w:t>tone 3.75kHz</w:t>
      </w:r>
      <w:r>
        <w:rPr>
          <w:rFonts w:cs="Arial"/>
          <w:vertAlign w:val="subscript"/>
        </w:rPr>
        <w:tab/>
      </w:r>
      <w:r>
        <w:rPr>
          <w:rFonts w:cs="Arial"/>
        </w:rPr>
        <w:t xml:space="preserve">Transmission bandwidth configuration for category </w:t>
      </w:r>
      <w:r>
        <w:t>NB1 and NB2</w:t>
      </w:r>
      <w:r>
        <w:rPr>
          <w:rFonts w:cs="Arial"/>
        </w:rPr>
        <w:t xml:space="preserve"> with </w:t>
      </w:r>
      <w:r>
        <w:t>3.75 kHz sub-carrier spacing, expressed in units of tones.</w:t>
      </w:r>
    </w:p>
    <w:p>
      <w:pPr>
        <w:pStyle w:val="110"/>
      </w:pPr>
      <w:r>
        <w:rPr>
          <w:rFonts w:cs="Arial"/>
        </w:rPr>
        <w:t>N</w:t>
      </w:r>
      <w:r>
        <w:rPr>
          <w:rFonts w:cs="Arial"/>
          <w:vertAlign w:val="subscript"/>
        </w:rPr>
        <w:t xml:space="preserve">tone 15kHz </w:t>
      </w:r>
      <w:r>
        <w:rPr>
          <w:rFonts w:cs="Arial"/>
        </w:rPr>
        <w:tab/>
      </w:r>
      <w:r>
        <w:rPr>
          <w:rFonts w:cs="Arial"/>
        </w:rPr>
        <w:t xml:space="preserve">Transmission bandwidth configuration for category </w:t>
      </w:r>
      <w:r>
        <w:t>NB1 and NB2</w:t>
      </w:r>
      <w:r>
        <w:rPr>
          <w:rFonts w:cs="Arial"/>
        </w:rPr>
        <w:t xml:space="preserve"> with </w:t>
      </w:r>
      <w:r>
        <w:t>15 kHz sub-carrier spacing, expressed in units of tones.</w:t>
      </w:r>
    </w:p>
    <w:p>
      <w:pPr>
        <w:pStyle w:val="110"/>
      </w:pPr>
      <w:r>
        <w:t>N</w:t>
      </w:r>
      <w:r>
        <w:rPr>
          <w:vertAlign w:val="subscript"/>
        </w:rPr>
        <w:t>UL</w:t>
      </w:r>
      <w:r>
        <w:tab/>
      </w:r>
      <w:r>
        <w:t>Uplink EARFCN.</w:t>
      </w:r>
    </w:p>
    <w:p>
      <w:pPr>
        <w:pStyle w:val="110"/>
      </w:pPr>
      <w:r>
        <w:t>P</w:t>
      </w:r>
      <w:r>
        <w:rPr>
          <w:vertAlign w:val="subscript"/>
        </w:rPr>
        <w:t>CMAX</w:t>
      </w:r>
      <w:r>
        <w:rPr>
          <w:vertAlign w:val="subscript"/>
        </w:rPr>
        <w:tab/>
      </w:r>
      <w:r>
        <w:t>The configured maximum UE output power.</w:t>
      </w:r>
    </w:p>
    <w:p>
      <w:pPr>
        <w:pStyle w:val="110"/>
      </w:pPr>
      <w:r>
        <w:t>P</w:t>
      </w:r>
      <w:r>
        <w:rPr>
          <w:vertAlign w:val="subscript"/>
        </w:rPr>
        <w:t>Interferer</w:t>
      </w:r>
      <w:r>
        <w:tab/>
      </w:r>
      <w:r>
        <w:t>Modulated mean power of the interferer</w:t>
      </w:r>
    </w:p>
    <w:p>
      <w:pPr>
        <w:pStyle w:val="110"/>
      </w:pPr>
      <w:r>
        <w:t>P</w:t>
      </w:r>
      <w:r>
        <w:rPr>
          <w:vertAlign w:val="subscript"/>
        </w:rPr>
        <w:t>PowerClass</w:t>
      </w:r>
      <w:r>
        <w:rPr>
          <w:vertAlign w:val="subscript"/>
        </w:rPr>
        <w:tab/>
      </w:r>
      <w:r>
        <w:t>P</w:t>
      </w:r>
      <w:r>
        <w:rPr>
          <w:vertAlign w:val="subscript"/>
        </w:rPr>
        <w:t>PowerClass</w:t>
      </w:r>
      <w:r>
        <w:t xml:space="preserve"> is the nominal UE power (i.e., no tolerance).</w:t>
      </w:r>
    </w:p>
    <w:p>
      <w:pPr>
        <w:pStyle w:val="110"/>
      </w:pPr>
      <w:r>
        <w:t>P</w:t>
      </w:r>
      <w:r>
        <w:rPr>
          <w:vertAlign w:val="subscript"/>
        </w:rPr>
        <w:t>PowerClass</w:t>
      </w:r>
      <w:r>
        <w:rPr>
          <w:rFonts w:eastAsia="MS Mincho"/>
          <w:vertAlign w:val="subscript"/>
          <w:lang w:eastAsia="ja-JP"/>
        </w:rPr>
        <w:t>_Default</w:t>
      </w:r>
      <w:r>
        <w:rPr>
          <w:vertAlign w:val="subscript"/>
        </w:rPr>
        <w:tab/>
      </w:r>
      <w:r>
        <w:t>P</w:t>
      </w:r>
      <w:r>
        <w:rPr>
          <w:vertAlign w:val="subscript"/>
        </w:rPr>
        <w:t>PowerClass</w:t>
      </w:r>
      <w:r>
        <w:rPr>
          <w:rFonts w:eastAsia="MS Mincho"/>
          <w:vertAlign w:val="subscript"/>
          <w:lang w:eastAsia="ja-JP"/>
        </w:rPr>
        <w:t>_Default</w:t>
      </w:r>
      <w:r>
        <w:t xml:space="preserve"> is the </w:t>
      </w:r>
      <w:r>
        <w:rPr>
          <w:rFonts w:eastAsia="MS Mincho"/>
          <w:lang w:eastAsia="ja-JP"/>
        </w:rPr>
        <w:t xml:space="preserve">default </w:t>
      </w:r>
      <w:r>
        <w:t>nominal UE power (i.e., no tolerance)</w:t>
      </w:r>
      <w:r>
        <w:rPr>
          <w:rFonts w:eastAsia="MS Mincho"/>
          <w:lang w:eastAsia="ja-JP"/>
        </w:rPr>
        <w:t xml:space="preserve"> for the band</w:t>
      </w:r>
      <w:r>
        <w:t>.</w:t>
      </w:r>
    </w:p>
    <w:p>
      <w:pPr>
        <w:pStyle w:val="110"/>
      </w:pPr>
      <w:r>
        <w:t>P</w:t>
      </w:r>
      <w:r>
        <w:rPr>
          <w:vertAlign w:val="subscript"/>
        </w:rPr>
        <w:t>UMAX</w:t>
      </w:r>
      <w:r>
        <w:tab/>
      </w:r>
      <w:r>
        <w:rPr>
          <w:rFonts w:cs="Vrinda"/>
          <w:lang w:bidi="bn-IN"/>
        </w:rPr>
        <w:t>The measured configured maximum UE output power</w:t>
      </w:r>
      <w:r>
        <w:t>.</w:t>
      </w:r>
    </w:p>
    <w:p>
      <w:pPr>
        <w:pStyle w:val="110"/>
      </w:pPr>
      <w:r>
        <w:t>Puw</w:t>
      </w:r>
      <w:r>
        <w:tab/>
      </w:r>
      <w:r>
        <w:t>Power of an un</w:t>
      </w:r>
      <w:r>
        <w:rPr>
          <w:rFonts w:cs="Vrinda"/>
          <w:lang w:bidi="bn-IN"/>
        </w:rPr>
        <w:t>wanted DL signal</w:t>
      </w:r>
    </w:p>
    <w:p>
      <w:pPr>
        <w:pStyle w:val="110"/>
      </w:pPr>
      <w:r>
        <w:t>Pw</w:t>
      </w:r>
      <w:r>
        <w:tab/>
      </w:r>
      <w:r>
        <w:t xml:space="preserve">Power of a </w:t>
      </w:r>
      <w:r>
        <w:rPr>
          <w:rFonts w:cs="Vrinda"/>
          <w:lang w:bidi="bn-IN"/>
        </w:rPr>
        <w:t>wanted DL signal</w:t>
      </w:r>
    </w:p>
    <w:p>
      <w:pPr>
        <w:pStyle w:val="110"/>
      </w:pPr>
      <w:r>
        <w:t>Δf</w:t>
      </w:r>
      <w:r>
        <w:rPr>
          <w:vertAlign w:val="subscript"/>
        </w:rPr>
        <w:t>OOB</w:t>
      </w:r>
      <w:r>
        <w:rPr>
          <w:vertAlign w:val="subscript"/>
        </w:rPr>
        <w:tab/>
      </w:r>
      <w:r>
        <w:t>Δ Frequency of Out Of Band emission</w:t>
      </w:r>
    </w:p>
    <w:p>
      <w:pPr>
        <w:pStyle w:val="4"/>
      </w:pPr>
      <w:bookmarkStart w:id="67" w:name="_Toc18464"/>
      <w:bookmarkStart w:id="68" w:name="_Toc8593"/>
      <w:bookmarkStart w:id="69" w:name="_Toc3318"/>
      <w:r>
        <w:t>3.3</w:t>
      </w:r>
      <w:r>
        <w:tab/>
      </w:r>
      <w:r>
        <w:t>Abbreviations</w:t>
      </w:r>
      <w:bookmarkEnd w:id="67"/>
      <w:bookmarkEnd w:id="68"/>
      <w:bookmarkEnd w:id="69"/>
    </w:p>
    <w:p>
      <w:r>
        <w:t>For the purposes of the present document, the abbreviations given in TR 21.905 [1] and the following apply. An abbreviation defined in the present document takes precedence over the definition of the same abbreviation, if any, in TR 21.905 [1].</w:t>
      </w:r>
    </w:p>
    <w:p>
      <w:pPr>
        <w:pStyle w:val="110"/>
      </w:pPr>
      <w:r>
        <w:t>ACLR</w:t>
      </w:r>
      <w:r>
        <w:tab/>
      </w:r>
      <w:r>
        <w:t>Adjacent Channel Leakage Ratio</w:t>
      </w:r>
    </w:p>
    <w:p>
      <w:pPr>
        <w:pStyle w:val="110"/>
      </w:pPr>
      <w:r>
        <w:t>ACS</w:t>
      </w:r>
      <w:r>
        <w:tab/>
      </w:r>
      <w:r>
        <w:t>Adjacent Channel Selectivity</w:t>
      </w:r>
    </w:p>
    <w:p>
      <w:pPr>
        <w:pStyle w:val="110"/>
      </w:pPr>
      <w:r>
        <w:t>A-MPR</w:t>
      </w:r>
      <w:r>
        <w:tab/>
      </w:r>
      <w:r>
        <w:t>Additional Maximum Power Reduction</w:t>
      </w:r>
    </w:p>
    <w:p>
      <w:pPr>
        <w:pStyle w:val="110"/>
      </w:pPr>
      <w:r>
        <w:t>AWGN</w:t>
      </w:r>
      <w:r>
        <w:tab/>
      </w:r>
      <w:r>
        <w:t>Additive White Gaussian Noise</w:t>
      </w:r>
    </w:p>
    <w:p>
      <w:pPr>
        <w:pStyle w:val="110"/>
      </w:pPr>
      <w:r>
        <w:t>BW</w:t>
      </w:r>
      <w:r>
        <w:tab/>
      </w:r>
      <w:r>
        <w:t>Bandwidth</w:t>
      </w:r>
    </w:p>
    <w:p>
      <w:pPr>
        <w:pStyle w:val="110"/>
      </w:pPr>
      <w:r>
        <w:t>CW</w:t>
      </w:r>
      <w:r>
        <w:tab/>
      </w:r>
      <w:r>
        <w:t>Continuous Wave</w:t>
      </w:r>
    </w:p>
    <w:p>
      <w:pPr>
        <w:pStyle w:val="110"/>
      </w:pPr>
      <w:r>
        <w:t>DL</w:t>
      </w:r>
      <w:r>
        <w:tab/>
      </w:r>
      <w:r>
        <w:t>Downlink</w:t>
      </w:r>
    </w:p>
    <w:p>
      <w:pPr>
        <w:pStyle w:val="110"/>
      </w:pPr>
      <w:r>
        <w:t xml:space="preserve">EARFCN </w:t>
      </w:r>
      <w:r>
        <w:tab/>
      </w:r>
      <w:r>
        <w:t>E-UTRA Absolute Radio Frequency Channel Number</w:t>
      </w:r>
    </w:p>
    <w:p>
      <w:pPr>
        <w:pStyle w:val="110"/>
      </w:pPr>
      <w:r>
        <w:t xml:space="preserve">E-UTRA </w:t>
      </w:r>
      <w:r>
        <w:tab/>
      </w:r>
      <w:r>
        <w:t>Evolved UMTS Terrestrial Radio Access</w:t>
      </w:r>
    </w:p>
    <w:p>
      <w:pPr>
        <w:pStyle w:val="110"/>
      </w:pPr>
      <w:r>
        <w:t>EUTRAN</w:t>
      </w:r>
      <w:r>
        <w:tab/>
      </w:r>
      <w:r>
        <w:t>Evolved UMTS Terrestrial Radio Access Network</w:t>
      </w:r>
    </w:p>
    <w:p>
      <w:pPr>
        <w:pStyle w:val="110"/>
      </w:pPr>
      <w:r>
        <w:t>EVM</w:t>
      </w:r>
      <w:r>
        <w:tab/>
      </w:r>
      <w:r>
        <w:t>Error Vector Magnitude</w:t>
      </w:r>
    </w:p>
    <w:p>
      <w:pPr>
        <w:pStyle w:val="110"/>
      </w:pPr>
      <w:r>
        <w:t>FDD</w:t>
      </w:r>
      <w:r>
        <w:tab/>
      </w:r>
      <w:r>
        <w:t>Frequency Division Duplex</w:t>
      </w:r>
    </w:p>
    <w:p>
      <w:pPr>
        <w:pStyle w:val="110"/>
      </w:pPr>
      <w:r>
        <w:t>GEO</w:t>
      </w:r>
      <w:r>
        <w:tab/>
      </w:r>
      <w:r>
        <w:t>Geosynchronous Earth Orbit</w:t>
      </w:r>
    </w:p>
    <w:p>
      <w:pPr>
        <w:pStyle w:val="110"/>
      </w:pPr>
      <w:r>
        <w:t>ITU-R</w:t>
      </w:r>
      <w:r>
        <w:tab/>
      </w:r>
      <w:r>
        <w:t>Radiocommunication Sector of the International Telecommunication Union</w:t>
      </w:r>
    </w:p>
    <w:p>
      <w:pPr>
        <w:pStyle w:val="110"/>
      </w:pPr>
      <w:r>
        <w:t>LEO</w:t>
      </w:r>
      <w:r>
        <w:tab/>
      </w:r>
      <w:r>
        <w:t>Low Earth Orbit</w:t>
      </w:r>
    </w:p>
    <w:p>
      <w:pPr>
        <w:pStyle w:val="110"/>
      </w:pPr>
      <w:r>
        <w:t>HD-FDD</w:t>
      </w:r>
      <w:r>
        <w:tab/>
      </w:r>
      <w:r>
        <w:t>Half- Duplex FDD</w:t>
      </w:r>
    </w:p>
    <w:p>
      <w:pPr>
        <w:pStyle w:val="110"/>
        <w:rPr>
          <w:lang w:eastAsia="zh-CN"/>
        </w:rPr>
      </w:pPr>
      <w:r>
        <w:t>MEO</w:t>
      </w:r>
      <w:r>
        <w:tab/>
      </w:r>
      <w:r>
        <w:t>Medium Earth Orbit</w:t>
      </w:r>
    </w:p>
    <w:p>
      <w:pPr>
        <w:pStyle w:val="110"/>
      </w:pPr>
      <w:r>
        <w:t>MPR</w:t>
      </w:r>
      <w:r>
        <w:tab/>
      </w:r>
      <w:r>
        <w:t>Maximum Power Reduction</w:t>
      </w:r>
    </w:p>
    <w:p>
      <w:pPr>
        <w:pStyle w:val="110"/>
      </w:pPr>
      <w:r>
        <w:t>OCNG</w:t>
      </w:r>
      <w:r>
        <w:tab/>
      </w:r>
      <w:r>
        <w:t>OFDMA Channel Noise Generator</w:t>
      </w:r>
    </w:p>
    <w:p>
      <w:pPr>
        <w:pStyle w:val="110"/>
      </w:pPr>
      <w:r>
        <w:t>OFDMA</w:t>
      </w:r>
      <w:r>
        <w:tab/>
      </w:r>
      <w:r>
        <w:t>Orthogonal Frequency Division Multiple Access</w:t>
      </w:r>
    </w:p>
    <w:p>
      <w:pPr>
        <w:pStyle w:val="110"/>
      </w:pPr>
      <w:r>
        <w:t>OOB</w:t>
      </w:r>
      <w:r>
        <w:tab/>
      </w:r>
      <w:r>
        <w:t>Out-of-band</w:t>
      </w:r>
    </w:p>
    <w:p>
      <w:pPr>
        <w:pStyle w:val="110"/>
      </w:pPr>
      <w:r>
        <w:t>QAM</w:t>
      </w:r>
      <w:r>
        <w:tab/>
      </w:r>
      <w:r>
        <w:t>Quadrature Amplitude Modulation</w:t>
      </w:r>
    </w:p>
    <w:p>
      <w:pPr>
        <w:pStyle w:val="110"/>
      </w:pPr>
      <w:r>
        <w:t>RAN</w:t>
      </w:r>
      <w:r>
        <w:tab/>
      </w:r>
      <w:r>
        <w:t>Radio Access Network</w:t>
      </w:r>
    </w:p>
    <w:p>
      <w:pPr>
        <w:pStyle w:val="110"/>
      </w:pPr>
      <w:r>
        <w:t>RE</w:t>
      </w:r>
      <w:r>
        <w:tab/>
      </w:r>
      <w:r>
        <w:t>Resource Element</w:t>
      </w:r>
    </w:p>
    <w:p>
      <w:pPr>
        <w:pStyle w:val="110"/>
      </w:pPr>
      <w:r>
        <w:t>REFSENS</w:t>
      </w:r>
      <w:r>
        <w:tab/>
      </w:r>
      <w:r>
        <w:t>Reference Sensitivity power level</w:t>
      </w:r>
    </w:p>
    <w:p>
      <w:pPr>
        <w:pStyle w:val="110"/>
      </w:pPr>
      <w:r>
        <w:t>RF</w:t>
      </w:r>
      <w:r>
        <w:tab/>
      </w:r>
      <w:r>
        <w:t>Radio Frequency</w:t>
      </w:r>
    </w:p>
    <w:p>
      <w:pPr>
        <w:pStyle w:val="110"/>
      </w:pPr>
      <w:r>
        <w:t>UE</w:t>
      </w:r>
      <w:r>
        <w:tab/>
      </w:r>
      <w:r>
        <w:t>User Equipment</w:t>
      </w:r>
    </w:p>
    <w:p>
      <w:pPr>
        <w:pStyle w:val="110"/>
      </w:pPr>
      <w:r>
        <w:t>UL</w:t>
      </w:r>
      <w:r>
        <w:tab/>
      </w:r>
      <w:r>
        <w:t>Uplink</w:t>
      </w:r>
    </w:p>
    <w:p>
      <w:pPr>
        <w:pStyle w:val="110"/>
      </w:pPr>
      <w:r>
        <w:t>UMTS</w:t>
      </w:r>
      <w:r>
        <w:tab/>
      </w:r>
      <w:r>
        <w:t>Universal Mobile Telecommunications System</w:t>
      </w:r>
    </w:p>
    <w:p>
      <w:pPr>
        <w:pStyle w:val="110"/>
      </w:pPr>
      <w:r>
        <w:t>UTRA</w:t>
      </w:r>
      <w:r>
        <w:tab/>
      </w:r>
      <w:r>
        <w:t>UMTS Terrestrial Radio Access</w:t>
      </w:r>
    </w:p>
    <w:p>
      <w:pPr>
        <w:pStyle w:val="110"/>
      </w:pPr>
      <w:r>
        <w:t>UTRAN</w:t>
      </w:r>
      <w:r>
        <w:tab/>
      </w:r>
      <w:r>
        <w:t>UMTS Terrestrial Radio Access Network</w:t>
      </w:r>
    </w:p>
    <w:p>
      <w:pPr>
        <w:pStyle w:val="110"/>
      </w:pPr>
    </w:p>
    <w:p>
      <w:pPr>
        <w:pStyle w:val="3"/>
      </w:pPr>
      <w:bookmarkStart w:id="70" w:name="clause4"/>
      <w:bookmarkEnd w:id="70"/>
      <w:bookmarkStart w:id="71" w:name="_Toc8561"/>
      <w:bookmarkStart w:id="72" w:name="_Toc11435"/>
      <w:bookmarkStart w:id="73" w:name="_Toc12719"/>
      <w:r>
        <w:t>4</w:t>
      </w:r>
      <w:r>
        <w:tab/>
      </w:r>
      <w:r>
        <w:t>General</w:t>
      </w:r>
      <w:bookmarkEnd w:id="71"/>
      <w:bookmarkEnd w:id="72"/>
      <w:bookmarkEnd w:id="73"/>
    </w:p>
    <w:p>
      <w:pPr>
        <w:pStyle w:val="4"/>
      </w:pPr>
      <w:bookmarkStart w:id="74" w:name="_Toc18959"/>
      <w:bookmarkStart w:id="75" w:name="_Toc104205439"/>
      <w:bookmarkStart w:id="76" w:name="_Toc97562261"/>
      <w:bookmarkStart w:id="77" w:name="_Toc104206646"/>
      <w:bookmarkStart w:id="78" w:name="_Toc106127528"/>
      <w:bookmarkStart w:id="79" w:name="_Toc11057"/>
      <w:bookmarkStart w:id="80" w:name="_Toc104122488"/>
      <w:bookmarkStart w:id="81" w:name="_Toc26742"/>
      <w:bookmarkStart w:id="82" w:name="_Toc104503606"/>
      <w:r>
        <w:t>4.1</w:t>
      </w:r>
      <w:r>
        <w:tab/>
      </w:r>
      <w:r>
        <w:t>Relationship between minimum requirements and test requirements</w:t>
      </w:r>
      <w:bookmarkEnd w:id="74"/>
      <w:bookmarkEnd w:id="75"/>
      <w:bookmarkEnd w:id="76"/>
      <w:bookmarkEnd w:id="77"/>
      <w:bookmarkEnd w:id="78"/>
      <w:bookmarkEnd w:id="79"/>
      <w:bookmarkEnd w:id="80"/>
      <w:bookmarkEnd w:id="81"/>
      <w:bookmarkEnd w:id="82"/>
    </w:p>
    <w:p>
      <w:r>
        <w:t>TS 3</w:t>
      </w:r>
      <w:r>
        <w:rPr>
          <w:lang w:val="en-US"/>
        </w:rPr>
        <w:t>6</w:t>
      </w:r>
      <w:r>
        <w:t>.10</w:t>
      </w:r>
      <w:r>
        <w:rPr>
          <w:lang w:val="en-US"/>
        </w:rPr>
        <w:t>2</w:t>
      </w:r>
      <w:r>
        <w:t xml:space="preserve"> [11] is a Single-RAT specification for satellite NR UE, covering RF characteristics and minimum performance requirements. Conformance to the TS 3</w:t>
      </w:r>
      <w:r>
        <w:rPr>
          <w:lang w:val="en-US"/>
        </w:rPr>
        <w:t>6</w:t>
      </w:r>
      <w:r>
        <w:t>.10</w:t>
      </w:r>
      <w:r>
        <w:rPr>
          <w:lang w:val="en-US"/>
        </w:rPr>
        <w:t>2</w:t>
      </w:r>
      <w:r>
        <w:t xml:space="preserve"> [11] is demonstrated by fulfilling the test requirements specified in the present document.</w:t>
      </w:r>
    </w:p>
    <w:p>
      <w:pPr>
        <w:rPr>
          <w:snapToGrid w:val="0"/>
        </w:rPr>
      </w:pPr>
      <w:r>
        <w:rPr>
          <w:snapToGrid w:val="0"/>
        </w:rPr>
        <w:t xml:space="preserve">The Minimum Requirements given in TS </w:t>
      </w:r>
      <w:r>
        <w:t>3</w:t>
      </w:r>
      <w:r>
        <w:rPr>
          <w:lang w:val="en-US"/>
        </w:rPr>
        <w:t>6</w:t>
      </w:r>
      <w:r>
        <w:t>.10</w:t>
      </w:r>
      <w:r>
        <w:rPr>
          <w:lang w:val="en-US"/>
        </w:rPr>
        <w:t>2</w:t>
      </w:r>
      <w:r>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pPr>
        <w:rPr>
          <w:snapToGrid w:val="0"/>
        </w:rPr>
      </w:pPr>
      <w:r>
        <w:rPr>
          <w:snapToGrid w:val="0"/>
        </w:rPr>
        <w:t>The measurement results returned by the test system are compared - without any modification - against the test requirements as defined by the various levels of “shared risk” principle as described below.</w:t>
      </w:r>
    </w:p>
    <w:p>
      <w:pPr>
        <w:pStyle w:val="111"/>
        <w:rPr>
          <w:snapToGrid w:val="0"/>
          <w:lang w:eastAsia="zh-CN"/>
        </w:rPr>
      </w:pPr>
      <w:r>
        <w:rPr>
          <w:snapToGrid w:val="0"/>
          <w:lang w:eastAsia="zh-CN"/>
        </w:rPr>
        <w:t>a)</w:t>
      </w:r>
      <w:r>
        <w:rPr>
          <w:snapToGrid w:val="0"/>
          <w:lang w:eastAsia="zh-CN"/>
        </w:rPr>
        <w:tab/>
      </w:r>
      <w:r>
        <w:rPr>
          <w:snapToGrid w:val="0"/>
          <w:lang w:eastAsia="zh-CN"/>
        </w:rPr>
        <w:t>Core specification value is not relaxed by any relaxation value (TT=0). For each single measurement, the probability of a borderline good UE being judged as FAIL equals the probability of a borderline bad UE being judged as PASS.</w:t>
      </w:r>
    </w:p>
    <w:p>
      <w:pPr>
        <w:pStyle w:val="122"/>
      </w:pPr>
      <w:r>
        <w:rPr>
          <w:snapToGrid w:val="0"/>
          <w:lang w:eastAsia="zh-CN"/>
        </w:rPr>
        <w:t>-</w:t>
      </w:r>
      <w:r>
        <w:rPr>
          <w:snapToGrid w:val="0"/>
          <w:lang w:eastAsia="zh-CN"/>
        </w:rPr>
        <w:tab/>
      </w:r>
      <w:r>
        <w:rPr>
          <w:snapToGrid w:val="0"/>
          <w:lang w:eastAsia="zh-CN"/>
        </w:rPr>
        <w:t>T</w:t>
      </w:r>
      <w:r>
        <w:rPr>
          <w:snapToGrid w:val="0"/>
        </w:rPr>
        <w:t>est tolerances</w:t>
      </w:r>
      <w:r>
        <w:rPr>
          <w:snapToGrid w:val="0"/>
          <w:lang w:eastAsia="zh-CN"/>
        </w:rPr>
        <w:t xml:space="preserve"> equal to 0 (TT=0) are considered in this specification.</w:t>
      </w:r>
    </w:p>
    <w:p>
      <w:pPr>
        <w:pStyle w:val="111"/>
        <w:rPr>
          <w:snapToGrid w:val="0"/>
          <w:lang w:eastAsia="zh-CN"/>
        </w:rPr>
      </w:pPr>
      <w:r>
        <w:rPr>
          <w:snapToGrid w:val="0"/>
          <w:lang w:eastAsia="zh-CN"/>
        </w:rPr>
        <w:t>b)</w:t>
      </w:r>
      <w:r>
        <w:rPr>
          <w:snapToGrid w:val="0"/>
          <w:lang w:eastAsia="zh-CN"/>
        </w:rPr>
        <w:tab/>
      </w:r>
      <w:r>
        <w:rPr>
          <w:snapToGrid w:val="0"/>
          <w:lang w:eastAsia="zh-CN"/>
        </w:rPr>
        <w:t>Core specification value is relaxed by a relaxation value (TT&gt;0). For each single measurement, the probability of a borderline bad UE being judged as PASS is greater than the probability of a borderline good UE being judged as FAIL.</w:t>
      </w:r>
    </w:p>
    <w:p>
      <w:pPr>
        <w:pStyle w:val="122"/>
      </w:pPr>
      <w:r>
        <w:rPr>
          <w:snapToGrid w:val="0"/>
          <w:lang w:eastAsia="zh-CN"/>
        </w:rPr>
        <w:t>-</w:t>
      </w:r>
      <w:r>
        <w:rPr>
          <w:snapToGrid w:val="0"/>
          <w:lang w:eastAsia="zh-CN"/>
        </w:rPr>
        <w:tab/>
      </w:r>
      <w:r>
        <w:rPr>
          <w:snapToGrid w:val="0"/>
          <w:lang w:eastAsia="zh-CN"/>
        </w:rPr>
        <w:t>T</w:t>
      </w:r>
      <w:r>
        <w:rPr>
          <w:snapToGrid w:val="0"/>
        </w:rPr>
        <w:t>est tolerances lower tha</w:t>
      </w:r>
      <w:r>
        <w:rPr>
          <w:snapToGrid w:val="0"/>
          <w:lang w:eastAsia="zh-CN"/>
        </w:rPr>
        <w:t>n</w:t>
      </w:r>
      <w:r>
        <w:rPr>
          <w:snapToGrid w:val="0"/>
        </w:rPr>
        <w:t xml:space="preserve"> measurement uncertainty and greater than 0 (0 &lt; TT &lt; MU) are considered in this specification.</w:t>
      </w:r>
    </w:p>
    <w:p>
      <w:pPr>
        <w:pStyle w:val="122"/>
      </w:pPr>
      <w:r>
        <w:rPr>
          <w:snapToGrid w:val="0"/>
          <w:lang w:eastAsia="zh-CN"/>
        </w:rPr>
        <w:t>-</w:t>
      </w:r>
      <w:r>
        <w:rPr>
          <w:snapToGrid w:val="0"/>
          <w:lang w:eastAsia="zh-CN"/>
        </w:rPr>
        <w:tab/>
      </w:r>
      <w:r>
        <w:rPr>
          <w:snapToGrid w:val="0"/>
          <w:lang w:eastAsia="zh-CN"/>
        </w:rPr>
        <w:t>T</w:t>
      </w:r>
      <w:r>
        <w:rPr>
          <w:snapToGrid w:val="0"/>
        </w:rPr>
        <w:t xml:space="preserve">est tolerances </w:t>
      </w:r>
      <w:r>
        <w:rPr>
          <w:snapToGrid w:val="0"/>
          <w:lang w:eastAsia="zh-CN"/>
        </w:rPr>
        <w:t>up to</w:t>
      </w:r>
      <w:r>
        <w:rPr>
          <w:snapToGrid w:val="0"/>
        </w:rPr>
        <w:t xml:space="preserve"> measurement uncertainty (TT = MU)</w:t>
      </w:r>
      <w:r>
        <w:rPr>
          <w:snapToGrid w:val="0"/>
          <w:lang w:eastAsia="zh-CN"/>
        </w:rPr>
        <w:t xml:space="preserve"> </w:t>
      </w:r>
      <w:r>
        <w:rPr>
          <w:snapToGrid w:val="0"/>
        </w:rPr>
        <w:t>are considered in this specification</w:t>
      </w:r>
      <w:r>
        <w:rPr>
          <w:snapToGrid w:val="0"/>
          <w:lang w:eastAsia="zh-CN"/>
        </w:rPr>
        <w:t xml:space="preserve"> which is also known as </w:t>
      </w:r>
      <w:r>
        <w:rPr>
          <w:lang w:eastAsia="zh-CN"/>
        </w:rPr>
        <w:t>“</w:t>
      </w:r>
      <w:r>
        <w:rPr>
          <w:snapToGrid w:val="0"/>
        </w:rPr>
        <w:t>Never fail a good DUT</w:t>
      </w:r>
      <w:r>
        <w:rPr>
          <w:lang w:eastAsia="zh-CN"/>
        </w:rPr>
        <w:t>”</w:t>
      </w:r>
      <w:r>
        <w:rPr>
          <w:snapToGrid w:val="0"/>
        </w:rPr>
        <w:t xml:space="preserve"> principle</w:t>
      </w:r>
      <w:r>
        <w:rPr>
          <w:snapToGrid w:val="0"/>
          <w:lang w:eastAsia="zh-CN"/>
        </w:rPr>
        <w:t>.</w:t>
      </w:r>
    </w:p>
    <w:p>
      <w:pPr>
        <w:pStyle w:val="111"/>
        <w:rPr>
          <w:snapToGrid w:val="0"/>
          <w:lang w:eastAsia="zh-CN"/>
        </w:rPr>
      </w:pPr>
      <w:r>
        <w:rPr>
          <w:snapToGrid w:val="0"/>
          <w:lang w:eastAsia="zh-CN"/>
        </w:rPr>
        <w:t>c)</w:t>
      </w:r>
      <w:r>
        <w:rPr>
          <w:snapToGrid w:val="0"/>
          <w:lang w:eastAsia="zh-CN"/>
        </w:rPr>
        <w:tab/>
      </w:r>
      <w:r>
        <w:rPr>
          <w:snapToGrid w:val="0"/>
          <w:lang w:eastAsia="zh-CN"/>
        </w:rPr>
        <w:t>Core specification value is tightened by a stringent value (TT&lt;0). For each single measurement, the probability of a borderline good UE being judged as FAIL is greater than the probability of a borderline bad UE being judged as PASS.</w:t>
      </w:r>
    </w:p>
    <w:p>
      <w:pPr>
        <w:pStyle w:val="122"/>
        <w:rPr>
          <w:snapToGrid w:val="0"/>
        </w:rPr>
      </w:pPr>
      <w:r>
        <w:rPr>
          <w:snapToGrid w:val="0"/>
          <w:lang w:eastAsia="zh-CN"/>
        </w:rPr>
        <w:t>-</w:t>
      </w:r>
      <w:r>
        <w:rPr>
          <w:snapToGrid w:val="0"/>
          <w:lang w:eastAsia="zh-CN"/>
        </w:rPr>
        <w:tab/>
      </w:r>
      <w:r>
        <w:rPr>
          <w:snapToGrid w:val="0"/>
          <w:lang w:eastAsia="zh-CN"/>
        </w:rPr>
        <w:t>Test tolerances lower than 0 (TT&lt;0) are not considered in this specification.</w:t>
      </w:r>
      <w:r>
        <w:rPr>
          <w:snapToGrid w:val="0"/>
        </w:rPr>
        <w:t>.</w:t>
      </w:r>
    </w:p>
    <w:p>
      <w:pPr>
        <w:rPr>
          <w:snapToGrid w:val="0"/>
        </w:rPr>
      </w:pPr>
      <w:r>
        <w:rPr>
          <w:snapToGrid w:val="0"/>
        </w:rPr>
        <w:t>The “Never fail a good DUT” and the “Shared Risk”</w:t>
      </w:r>
      <w:r>
        <w:rPr>
          <w:snapToGrid w:val="0"/>
          <w:lang w:eastAsia="zh-CN"/>
        </w:rPr>
        <w:t xml:space="preserve"> principles are </w:t>
      </w:r>
      <w:r>
        <w:rPr>
          <w:snapToGrid w:val="0"/>
        </w:rPr>
        <w:t>defined in Recommendation ITU</w:t>
      </w:r>
      <w:r>
        <w:rPr>
          <w:snapToGrid w:val="0"/>
        </w:rPr>
        <w:noBreakHyphen/>
      </w:r>
      <w:r>
        <w:rPr>
          <w:snapToGrid w:val="0"/>
        </w:rPr>
        <w:t>R M.1545 [</w:t>
      </w:r>
      <w:r>
        <w:rPr>
          <w:snapToGrid w:val="0"/>
          <w:lang w:val="en-US" w:eastAsia="zh-CN"/>
        </w:rPr>
        <w:t>4</w:t>
      </w:r>
      <w:r>
        <w:rPr>
          <w:snapToGrid w:val="0"/>
        </w:rPr>
        <w:t>].</w:t>
      </w:r>
    </w:p>
    <w:p>
      <w:pPr>
        <w:pStyle w:val="4"/>
      </w:pPr>
      <w:bookmarkStart w:id="83" w:name="_Toc104206647"/>
      <w:bookmarkStart w:id="84" w:name="_Toc104122489"/>
      <w:bookmarkStart w:id="85" w:name="_Toc104205440"/>
      <w:bookmarkStart w:id="86" w:name="_Toc104503607"/>
      <w:bookmarkStart w:id="87" w:name="_Toc15014"/>
      <w:bookmarkStart w:id="88" w:name="_Toc97562262"/>
      <w:bookmarkStart w:id="89" w:name="_Toc106127529"/>
      <w:bookmarkStart w:id="90" w:name="_Toc1557"/>
      <w:bookmarkStart w:id="91" w:name="_Toc10434"/>
      <w:r>
        <w:t>4.2</w:t>
      </w:r>
      <w:r>
        <w:tab/>
      </w:r>
      <w:r>
        <w:t>Applicability of minimum requirements</w:t>
      </w:r>
      <w:bookmarkEnd w:id="83"/>
      <w:bookmarkEnd w:id="84"/>
      <w:bookmarkEnd w:id="85"/>
      <w:bookmarkEnd w:id="86"/>
      <w:bookmarkEnd w:id="87"/>
      <w:bookmarkEnd w:id="88"/>
      <w:bookmarkEnd w:id="89"/>
      <w:bookmarkEnd w:id="90"/>
      <w:bookmarkEnd w:id="91"/>
    </w:p>
    <w:p>
      <w:pPr>
        <w:pStyle w:val="111"/>
        <w:rPr>
          <w:snapToGrid w:val="0"/>
        </w:rPr>
      </w:pPr>
      <w:r>
        <w:rPr>
          <w:snapToGrid w:val="0"/>
        </w:rPr>
        <w:t>a)</w:t>
      </w:r>
      <w:r>
        <w:rPr>
          <w:snapToGrid w:val="0"/>
        </w:rPr>
        <w:tab/>
      </w:r>
      <w:r>
        <w:rPr>
          <w:snapToGrid w:val="0"/>
        </w:rPr>
        <w:t xml:space="preserve">Minimum requirements are mandated to be met in all scenarios by UEs supporting the applicable UE category(ies) for which that requirement is specified. In </w:t>
      </w:r>
      <w:r>
        <w:t>TS 3</w:t>
      </w:r>
      <w:r>
        <w:rPr>
          <w:lang w:val="en-US"/>
        </w:rPr>
        <w:t>6</w:t>
      </w:r>
      <w:r>
        <w:t>.10</w:t>
      </w:r>
      <w:r>
        <w:rPr>
          <w:lang w:val="en-US"/>
        </w:rPr>
        <w:t>2</w:t>
      </w:r>
      <w:r>
        <w:t xml:space="preserve"> [11]</w:t>
      </w:r>
      <w:r>
        <w:rPr>
          <w:snapToGrid w:val="0"/>
        </w:rPr>
        <w:t>, only minimum requirements for UE categories of M1, NB1, and NB2 are specified.</w:t>
      </w:r>
    </w:p>
    <w:p>
      <w:pPr>
        <w:pStyle w:val="111"/>
        <w:rPr>
          <w:snapToGrid w:val="0"/>
        </w:rPr>
      </w:pPr>
      <w:r>
        <w:rPr>
          <w:snapToGrid w:val="0"/>
        </w:rPr>
        <w:t>b)</w:t>
      </w:r>
      <w:r>
        <w:rPr>
          <w:snapToGrid w:val="0"/>
        </w:rPr>
        <w:tab/>
      </w:r>
      <w:r>
        <w:rPr>
          <w:snapToGrid w:val="0"/>
        </w:rPr>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pPr>
        <w:pStyle w:val="111"/>
        <w:rPr>
          <w:snapToGrid w:val="0"/>
        </w:rPr>
      </w:pPr>
      <w:r>
        <w:rPr>
          <w:snapToGrid w:val="0"/>
        </w:rPr>
        <w:t>c)</w:t>
      </w:r>
      <w:r>
        <w:rPr>
          <w:snapToGrid w:val="0"/>
        </w:rPr>
        <w:tab/>
      </w:r>
      <w:r>
        <w:rPr>
          <w:snapToGrid w:val="0"/>
        </w:rPr>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pPr>
        <w:pStyle w:val="111"/>
      </w:pPr>
      <w:r>
        <w:t>d)</w:t>
      </w:r>
      <w:r>
        <w:tab/>
      </w:r>
      <w:r>
        <w:t>The reference sensitivity power levels defined in subclause 7.3 are valid for the specified reference measurement channels.</w:t>
      </w:r>
    </w:p>
    <w:p>
      <w:pPr>
        <w:pStyle w:val="100"/>
      </w:pPr>
      <w:r>
        <w:t>NOTE: Receiver sensitivity degradation may occur when:</w:t>
      </w:r>
    </w:p>
    <w:p>
      <w:pPr>
        <w:pStyle w:val="122"/>
      </w:pPr>
      <w:r>
        <w:t>1)</w:t>
      </w:r>
      <w:r>
        <w:tab/>
      </w:r>
      <w:r>
        <w:t>The UE simultaneously transmits and receives with bandwidth allocations less than the transmission bandwidth configuration (see Figure 5.3A-1 and Figure 5.3B-1), and</w:t>
      </w:r>
    </w:p>
    <w:p>
      <w:pPr>
        <w:pStyle w:val="122"/>
      </w:pPr>
      <w:r>
        <w:t>2)</w:t>
      </w:r>
      <w:r>
        <w:tab/>
      </w:r>
      <w:r>
        <w:t>Any part of the downlink transmission bandwidth is within an uplink transmission bandwidth from the downlink center subcarrier.</w:t>
      </w:r>
    </w:p>
    <w:p>
      <w:pPr>
        <w:pStyle w:val="111"/>
      </w:pPr>
      <w:r>
        <w:t>e)</w:t>
      </w:r>
      <w:r>
        <w:tab/>
      </w:r>
      <w:r>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pPr>
        <w:pStyle w:val="111"/>
      </w:pPr>
      <w:r>
        <w:t>f)</w:t>
      </w:r>
      <w:r>
        <w:tab/>
      </w:r>
      <w:r>
        <w:t>The requirements related to subslot TTI and/or slot TTI shall apply only if UE supports multiple TTI patterns. And these requirements only apply to subslot and/or slot TTI configurations</w:t>
      </w:r>
    </w:p>
    <w:p>
      <w:pPr>
        <w:pStyle w:val="111"/>
      </w:pPr>
      <w:r>
        <w:t>g)</w:t>
      </w:r>
      <w:r>
        <w:tab/>
      </w:r>
      <w:r>
        <w:t>TS</w:t>
      </w:r>
      <w:r>
        <w:rPr>
          <w:lang w:val="en-US"/>
        </w:rPr>
        <w:t xml:space="preserve"> </w:t>
      </w:r>
      <w:r>
        <w:t>36.307 [5] specifies which minimum requirements in the present document are applicable to UEs that conform to an earlier specification Release, and from which Release those requirements apply.</w:t>
      </w:r>
    </w:p>
    <w:p>
      <w:pPr>
        <w:pStyle w:val="4"/>
      </w:pPr>
      <w:bookmarkStart w:id="92" w:name="_Toc104205441"/>
      <w:bookmarkStart w:id="93" w:name="_Toc104206648"/>
      <w:bookmarkStart w:id="94" w:name="_Toc104503608"/>
      <w:bookmarkStart w:id="95" w:name="_Toc25567"/>
      <w:bookmarkStart w:id="96" w:name="_Toc97562263"/>
      <w:bookmarkStart w:id="97" w:name="_Toc106127530"/>
      <w:bookmarkStart w:id="98" w:name="_Toc16379"/>
      <w:bookmarkStart w:id="99" w:name="_Toc104122490"/>
      <w:bookmarkStart w:id="100" w:name="_Toc15621"/>
      <w:r>
        <w:t>4.3</w:t>
      </w:r>
      <w:r>
        <w:tab/>
      </w:r>
      <w:r>
        <w:t>Specification suffix information</w:t>
      </w:r>
      <w:bookmarkEnd w:id="92"/>
      <w:bookmarkEnd w:id="93"/>
      <w:bookmarkEnd w:id="94"/>
      <w:bookmarkEnd w:id="95"/>
      <w:bookmarkEnd w:id="96"/>
      <w:bookmarkEnd w:id="97"/>
      <w:bookmarkEnd w:id="98"/>
      <w:bookmarkEnd w:id="99"/>
      <w:bookmarkEnd w:id="100"/>
    </w:p>
    <w:p>
      <w:r>
        <w:t>The following suffixes are defined at 2nd level for clauses 5, 6 and 7, as shown in Table 4.3-1.</w:t>
      </w:r>
    </w:p>
    <w:p>
      <w:pPr>
        <w:pStyle w:val="113"/>
      </w:pPr>
      <w:r>
        <w:t>Table 4.3-1: Definition of suffixes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pPr>
              <w:pStyle w:val="104"/>
            </w:pPr>
            <w:r>
              <w:t>Clause suffix</w:t>
            </w:r>
          </w:p>
        </w:tc>
        <w:tc>
          <w:tcPr>
            <w:tcW w:w="2551" w:type="dxa"/>
            <w:tcBorders>
              <w:top w:val="single" w:color="auto" w:sz="4" w:space="0"/>
              <w:left w:val="single" w:color="auto" w:sz="4" w:space="0"/>
              <w:bottom w:val="single" w:color="auto" w:sz="4" w:space="0"/>
              <w:right w:val="single" w:color="auto" w:sz="4" w:space="0"/>
            </w:tcBorders>
            <w:shd w:val="clear" w:color="auto" w:fill="D9D9D9"/>
          </w:tcPr>
          <w:p>
            <w:pPr>
              <w:pStyle w:val="104"/>
            </w:pPr>
            <w:r>
              <w:t>Variant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A</w:t>
            </w:r>
          </w:p>
        </w:tc>
        <w:tc>
          <w:tcPr>
            <w:tcW w:w="2551" w:type="dxa"/>
            <w:tcBorders>
              <w:top w:val="single" w:color="auto" w:sz="4" w:space="0"/>
              <w:left w:val="single" w:color="auto" w:sz="4" w:space="0"/>
              <w:bottom w:val="single" w:color="auto" w:sz="4" w:space="0"/>
              <w:right w:val="single" w:color="auto" w:sz="4" w:space="0"/>
            </w:tcBorders>
          </w:tcPr>
          <w:p>
            <w:pPr>
              <w:pStyle w:val="103"/>
            </w:pPr>
            <w:r>
              <w:t>Cat-M1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668" w:type="dxa"/>
            <w:tcBorders>
              <w:top w:val="single" w:color="auto" w:sz="4" w:space="0"/>
              <w:left w:val="single" w:color="auto" w:sz="4" w:space="0"/>
              <w:bottom w:val="single" w:color="auto" w:sz="4" w:space="0"/>
              <w:right w:val="single" w:color="auto" w:sz="4" w:space="0"/>
            </w:tcBorders>
          </w:tcPr>
          <w:p>
            <w:pPr>
              <w:pStyle w:val="105"/>
            </w:pPr>
            <w:r>
              <w:t>B</w:t>
            </w:r>
          </w:p>
        </w:tc>
        <w:tc>
          <w:tcPr>
            <w:tcW w:w="2551" w:type="dxa"/>
            <w:tcBorders>
              <w:top w:val="single" w:color="auto" w:sz="4" w:space="0"/>
              <w:left w:val="single" w:color="auto" w:sz="4" w:space="0"/>
              <w:bottom w:val="single" w:color="auto" w:sz="4" w:space="0"/>
              <w:right w:val="single" w:color="auto" w:sz="4" w:space="0"/>
            </w:tcBorders>
          </w:tcPr>
          <w:p>
            <w:pPr>
              <w:pStyle w:val="103"/>
            </w:pPr>
            <w:r>
              <w:t>NB1, NB2</w:t>
            </w:r>
          </w:p>
        </w:tc>
      </w:tr>
    </w:tbl>
    <w:p/>
    <w:p>
      <w:r>
        <w:t>The suffixes shall apply as defined in clause 4.2.</w:t>
      </w:r>
    </w:p>
    <w:p>
      <w:pPr>
        <w:pStyle w:val="4"/>
      </w:pPr>
      <w:bookmarkStart w:id="101" w:name="_Toc28949"/>
      <w:bookmarkStart w:id="102" w:name="_Toc97562264"/>
      <w:bookmarkStart w:id="103" w:name="_Toc104206649"/>
      <w:bookmarkStart w:id="104" w:name="_Toc104122491"/>
      <w:bookmarkStart w:id="105" w:name="_Toc104503609"/>
      <w:bookmarkStart w:id="106" w:name="_Toc10085"/>
      <w:bookmarkStart w:id="107" w:name="_Toc104205442"/>
      <w:bookmarkStart w:id="108" w:name="_Toc106127531"/>
      <w:bookmarkStart w:id="109" w:name="_Toc12349"/>
      <w:r>
        <w:t>4.4</w:t>
      </w:r>
      <w:r>
        <w:tab/>
      </w:r>
      <w:r>
        <w:rPr>
          <w:rFonts w:hint="eastAsia"/>
        </w:rPr>
        <w:t>Relationship</w:t>
      </w:r>
      <w:r>
        <w:t xml:space="preserve"> with core specifications</w:t>
      </w:r>
      <w:bookmarkEnd w:id="101"/>
      <w:bookmarkEnd w:id="102"/>
      <w:bookmarkEnd w:id="103"/>
      <w:bookmarkEnd w:id="104"/>
      <w:bookmarkEnd w:id="105"/>
      <w:bookmarkEnd w:id="106"/>
      <w:bookmarkEnd w:id="107"/>
      <w:bookmarkEnd w:id="108"/>
      <w:bookmarkEnd w:id="109"/>
    </w:p>
    <w:p>
      <w:pPr>
        <w:rPr>
          <w:color w:val="000000"/>
        </w:rPr>
      </w:pPr>
      <w:r>
        <w:t>TS 3</w:t>
      </w:r>
      <w:r>
        <w:rPr>
          <w:lang w:val="en-US"/>
        </w:rPr>
        <w:t>6</w:t>
      </w:r>
      <w:r>
        <w:t>.10</w:t>
      </w:r>
      <w:r>
        <w:rPr>
          <w:lang w:val="en-US"/>
        </w:rPr>
        <w:t>2</w:t>
      </w:r>
      <w:r>
        <w:t xml:space="preserve"> [11] specifies the minimum RF and performance requirements for E-UTRA User Equipment (UE) operating satellite access. TS 3</w:t>
      </w:r>
      <w:r>
        <w:rPr>
          <w:lang w:val="en-US"/>
        </w:rPr>
        <w:t>6</w:t>
      </w:r>
      <w:r>
        <w:t>.108 [</w:t>
      </w:r>
      <w:r>
        <w:rPr>
          <w:lang w:val="en-US"/>
        </w:rPr>
        <w:t>2</w:t>
      </w:r>
      <w:r>
        <w:t>] specifies the minimum RF and performance requirements of E-UTRA</w:t>
      </w:r>
      <w:r>
        <w:rPr>
          <w:lang w:val="en-US"/>
        </w:rPr>
        <w:t xml:space="preserve"> </w:t>
      </w:r>
      <w:r>
        <w:t>Satellite Access Node (SAN)</w:t>
      </w:r>
      <w:r>
        <w:rPr>
          <w:color w:val="000000"/>
        </w:rPr>
        <w:t>.</w:t>
      </w:r>
    </w:p>
    <w:p>
      <w:pPr>
        <w:pStyle w:val="3"/>
      </w:pPr>
      <w:bookmarkStart w:id="110" w:name="_Toc16356"/>
      <w:bookmarkStart w:id="111" w:name="_Toc30786"/>
      <w:bookmarkStart w:id="112" w:name="_Toc104206650"/>
      <w:bookmarkStart w:id="113" w:name="_Toc106127532"/>
      <w:bookmarkStart w:id="114" w:name="_Toc104205443"/>
      <w:bookmarkStart w:id="115" w:name="_Toc97562265"/>
      <w:bookmarkStart w:id="116" w:name="_Toc104503610"/>
      <w:bookmarkStart w:id="117" w:name="_Toc104122492"/>
      <w:bookmarkStart w:id="118" w:name="_Toc21720"/>
      <w:r>
        <w:rPr>
          <w:rFonts w:hint="eastAsia"/>
        </w:rPr>
        <w:t>5</w:t>
      </w:r>
      <w:r>
        <w:tab/>
      </w:r>
      <w:r>
        <w:t>Operating bands and channel arrangement</w:t>
      </w:r>
      <w:bookmarkEnd w:id="110"/>
      <w:bookmarkEnd w:id="111"/>
      <w:bookmarkEnd w:id="112"/>
      <w:bookmarkEnd w:id="113"/>
      <w:bookmarkEnd w:id="114"/>
      <w:bookmarkEnd w:id="115"/>
      <w:bookmarkEnd w:id="116"/>
      <w:bookmarkEnd w:id="117"/>
      <w:bookmarkEnd w:id="118"/>
    </w:p>
    <w:p>
      <w:pPr>
        <w:pStyle w:val="4"/>
      </w:pPr>
      <w:bookmarkStart w:id="119" w:name="_Toc920"/>
      <w:bookmarkStart w:id="120" w:name="_Toc104206651"/>
      <w:bookmarkStart w:id="121" w:name="_Toc97562266"/>
      <w:bookmarkStart w:id="122" w:name="_Toc104503611"/>
      <w:bookmarkStart w:id="123" w:name="_Toc104122493"/>
      <w:bookmarkStart w:id="124" w:name="_Toc106127533"/>
      <w:bookmarkStart w:id="125" w:name="_Toc29075"/>
      <w:bookmarkStart w:id="126" w:name="_Toc104205444"/>
      <w:bookmarkStart w:id="127" w:name="_Toc26136"/>
      <w:r>
        <w:t>5.1</w:t>
      </w:r>
      <w:r>
        <w:tab/>
      </w:r>
      <w:r>
        <w:t>General</w:t>
      </w:r>
      <w:bookmarkEnd w:id="119"/>
      <w:bookmarkEnd w:id="120"/>
      <w:bookmarkEnd w:id="121"/>
      <w:bookmarkEnd w:id="122"/>
      <w:bookmarkEnd w:id="123"/>
      <w:bookmarkEnd w:id="124"/>
      <w:bookmarkEnd w:id="125"/>
      <w:bookmarkEnd w:id="126"/>
      <w:bookmarkEnd w:id="127"/>
    </w:p>
    <w:p>
      <w:pPr>
        <w:rPr>
          <w:rFonts w:cs="v5.0.0"/>
        </w:rPr>
      </w:pPr>
      <w:r>
        <w:rPr>
          <w:rFonts w:cs="v5.0.0"/>
        </w:rPr>
        <w:t>The channel arrangements presented in this clause are based on the operating bands and channel bandwidths defined in the present release of specifications.</w:t>
      </w:r>
    </w:p>
    <w:p>
      <w:pPr>
        <w:pStyle w:val="100"/>
      </w:pPr>
      <w:r>
        <w:t>NOTE:</w:t>
      </w:r>
      <w:r>
        <w:tab/>
      </w:r>
      <w:r>
        <w:t>Other operating bands and channel bandwidths may be considered in future releases.</w:t>
      </w:r>
    </w:p>
    <w:p>
      <w:pPr>
        <w:pStyle w:val="4"/>
      </w:pPr>
      <w:bookmarkStart w:id="128" w:name="_Toc15843"/>
      <w:bookmarkStart w:id="129" w:name="_Toc27519"/>
      <w:r>
        <w:t>5.2</w:t>
      </w:r>
      <w:r>
        <w:tab/>
      </w:r>
      <w:r>
        <w:t>Operating bands</w:t>
      </w:r>
      <w:bookmarkEnd w:id="128"/>
      <w:bookmarkEnd w:id="129"/>
    </w:p>
    <w:p>
      <w:r>
        <w:t>E-UTRA satellite access is designed to operate in the operating bands defined in Table 5.2-1.</w:t>
      </w:r>
    </w:p>
    <w:p>
      <w:pPr>
        <w:pStyle w:val="113"/>
      </w:pPr>
      <w:r>
        <w:t>Table 5.2-1 E-UTRA operating bands for satellite access</w:t>
      </w:r>
    </w:p>
    <w:tbl>
      <w:tblPr>
        <w:tblStyle w:val="89"/>
        <w:tblW w:w="8094" w:type="dxa"/>
        <w:jc w:val="center"/>
        <w:tblLayout w:type="autofit"/>
        <w:tblCellMar>
          <w:top w:w="0" w:type="dxa"/>
          <w:left w:w="108" w:type="dxa"/>
          <w:bottom w:w="0" w:type="dxa"/>
          <w:right w:w="108" w:type="dxa"/>
        </w:tblCellMar>
      </w:tblPr>
      <w:tblGrid>
        <w:gridCol w:w="1508"/>
        <w:gridCol w:w="1227"/>
        <w:gridCol w:w="517"/>
        <w:gridCol w:w="1279"/>
        <w:gridCol w:w="1139"/>
        <w:gridCol w:w="317"/>
        <w:gridCol w:w="1201"/>
        <w:gridCol w:w="906"/>
      </w:tblGrid>
      <w:tr>
        <w:tblPrEx>
          <w:tblCellMar>
            <w:top w:w="0" w:type="dxa"/>
            <w:left w:w="108" w:type="dxa"/>
            <w:bottom w:w="0" w:type="dxa"/>
            <w:right w:w="108" w:type="dxa"/>
          </w:tblCellMar>
        </w:tblPrEx>
        <w:trPr>
          <w:jc w:val="center"/>
        </w:trPr>
        <w:tc>
          <w:tcPr>
            <w:tcW w:w="1508" w:type="dxa"/>
            <w:vMerge w:val="restart"/>
            <w:tcBorders>
              <w:top w:val="single" w:color="auto" w:sz="4" w:space="0"/>
              <w:left w:val="single" w:color="auto" w:sz="4" w:space="0"/>
              <w:right w:val="single" w:color="auto" w:sz="4" w:space="0"/>
            </w:tcBorders>
            <w:vAlign w:val="center"/>
          </w:tcPr>
          <w:p>
            <w:pPr>
              <w:pStyle w:val="104"/>
              <w:rPr>
                <w:rFonts w:cs="Arial"/>
              </w:rPr>
            </w:pPr>
            <w:r>
              <w:rPr>
                <w:rFonts w:cs="Arial"/>
              </w:rPr>
              <w:t>E</w:t>
            </w:r>
            <w:r>
              <w:rPr>
                <w:rFonts w:cs="Arial"/>
              </w:rPr>
              <w:noBreakHyphen/>
            </w:r>
            <w:r>
              <w:rPr>
                <w:rFonts w:cs="Arial"/>
              </w:rPr>
              <w:t>UTRA Operating Band</w:t>
            </w: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Uplink (UL) operating band</w:t>
            </w:r>
            <w:r>
              <w:rPr>
                <w:rFonts w:cs="Arial"/>
              </w:rPr>
              <w:br w:type="textWrapping"/>
            </w:r>
            <w:r>
              <w:rPr>
                <w:rFonts w:cs="Arial"/>
              </w:rPr>
              <w:t>BS receive</w:t>
            </w:r>
            <w:r>
              <w:rPr>
                <w:rFonts w:cs="Arial"/>
              </w:rPr>
              <w:br w:type="textWrapping"/>
            </w:r>
            <w:r>
              <w:rPr>
                <w:rFonts w:cs="Arial"/>
              </w:rPr>
              <w:t>UE transmit</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Downlink (DL) operating band</w:t>
            </w:r>
            <w:r>
              <w:rPr>
                <w:rFonts w:cs="Arial"/>
              </w:rPr>
              <w:br w:type="textWrapping"/>
            </w:r>
            <w:r>
              <w:rPr>
                <w:rFonts w:cs="Arial"/>
              </w:rPr>
              <w:t xml:space="preserve">BS transmit </w:t>
            </w:r>
            <w:r>
              <w:rPr>
                <w:rFonts w:cs="Arial"/>
              </w:rPr>
              <w:br w:type="textWrapping"/>
            </w:r>
            <w:r>
              <w:rPr>
                <w:rFonts w:cs="Arial"/>
              </w:rPr>
              <w:t>UE receive</w:t>
            </w:r>
          </w:p>
        </w:tc>
        <w:tc>
          <w:tcPr>
            <w:tcW w:w="906" w:type="dxa"/>
            <w:vMerge w:val="restart"/>
            <w:tcBorders>
              <w:top w:val="single" w:color="auto" w:sz="4" w:space="0"/>
              <w:left w:val="single" w:color="auto" w:sz="4" w:space="0"/>
              <w:right w:val="single" w:color="auto" w:sz="4" w:space="0"/>
            </w:tcBorders>
          </w:tcPr>
          <w:p>
            <w:pPr>
              <w:pStyle w:val="104"/>
              <w:rPr>
                <w:rFonts w:cs="Arial"/>
              </w:rPr>
            </w:pPr>
            <w:r>
              <w:rPr>
                <w:rFonts w:cs="Arial"/>
              </w:rPr>
              <w:t>Duplex Mode</w:t>
            </w:r>
          </w:p>
        </w:tc>
      </w:tr>
      <w:tr>
        <w:tblPrEx>
          <w:tblCellMar>
            <w:top w:w="0" w:type="dxa"/>
            <w:left w:w="108" w:type="dxa"/>
            <w:bottom w:w="0" w:type="dxa"/>
            <w:right w:w="108" w:type="dxa"/>
          </w:tblCellMar>
        </w:tblPrEx>
        <w:trPr>
          <w:jc w:val="center"/>
        </w:trPr>
        <w:tc>
          <w:tcPr>
            <w:tcW w:w="1508" w:type="dxa"/>
            <w:vMerge w:val="continue"/>
            <w:tcBorders>
              <w:left w:val="single" w:color="auto" w:sz="4" w:space="0"/>
              <w:bottom w:val="single" w:color="auto" w:sz="4" w:space="0"/>
              <w:right w:val="single" w:color="auto" w:sz="4" w:space="0"/>
            </w:tcBorders>
            <w:vAlign w:val="center"/>
          </w:tcPr>
          <w:p>
            <w:pPr>
              <w:pStyle w:val="104"/>
              <w:rPr>
                <w:rFonts w:cs="Arial"/>
              </w:rPr>
            </w:pPr>
          </w:p>
        </w:tc>
        <w:tc>
          <w:tcPr>
            <w:tcW w:w="3023" w:type="dxa"/>
            <w:gridSpan w:val="3"/>
            <w:tcBorders>
              <w:top w:val="single" w:color="auto" w:sz="4" w:space="0"/>
              <w:left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2657" w:type="dxa"/>
            <w:gridSpan w:val="3"/>
            <w:tcBorders>
              <w:top w:val="single" w:color="auto" w:sz="4" w:space="0"/>
              <w:bottom w:val="single" w:color="auto" w:sz="4" w:space="0"/>
              <w:right w:val="single" w:color="auto" w:sz="4" w:space="0"/>
            </w:tcBorders>
            <w:vAlign w:val="center"/>
          </w:tcPr>
          <w:p>
            <w:pPr>
              <w:pStyle w:val="104"/>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906" w:type="dxa"/>
            <w:vMerge w:val="continue"/>
            <w:tcBorders>
              <w:left w:val="single" w:color="auto" w:sz="4" w:space="0"/>
              <w:bottom w:val="single" w:color="auto" w:sz="4" w:space="0"/>
              <w:right w:val="single" w:color="auto" w:sz="4" w:space="0"/>
            </w:tcBorders>
          </w:tcPr>
          <w:p>
            <w:pPr>
              <w:pStyle w:val="105"/>
              <w:rPr>
                <w:rFonts w:cs="Arial"/>
              </w:rPr>
            </w:pP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256</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1980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2010 MHz</w:t>
            </w:r>
          </w:p>
        </w:tc>
        <w:tc>
          <w:tcPr>
            <w:tcW w:w="1139" w:type="dxa"/>
            <w:tcBorders>
              <w:top w:val="single" w:color="auto" w:sz="4" w:space="0"/>
              <w:left w:val="nil"/>
              <w:bottom w:val="single" w:color="auto" w:sz="4" w:space="0"/>
              <w:right w:val="nil"/>
            </w:tcBorders>
          </w:tcPr>
          <w:p>
            <w:pPr>
              <w:pStyle w:val="105"/>
            </w:pPr>
            <w:r>
              <w:t>2170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2200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15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255</w:t>
            </w:r>
          </w:p>
        </w:tc>
        <w:tc>
          <w:tcPr>
            <w:tcW w:w="1227" w:type="dxa"/>
            <w:tcBorders>
              <w:top w:val="single" w:color="auto" w:sz="4" w:space="0"/>
              <w:left w:val="single" w:color="auto" w:sz="4" w:space="0"/>
              <w:bottom w:val="single" w:color="auto" w:sz="4" w:space="0"/>
              <w:right w:val="nil"/>
            </w:tcBorders>
          </w:tcPr>
          <w:p>
            <w:pPr>
              <w:pStyle w:val="105"/>
              <w:wordWrap w:val="0"/>
              <w:rPr>
                <w:lang w:eastAsia="zh-CN"/>
              </w:rPr>
            </w:pPr>
            <w:r>
              <w:rPr>
                <w:lang w:eastAsia="zh-CN"/>
              </w:rPr>
              <w:t>1626.5 MHz</w:t>
            </w:r>
          </w:p>
        </w:tc>
        <w:tc>
          <w:tcPr>
            <w:tcW w:w="517" w:type="dxa"/>
            <w:tcBorders>
              <w:top w:val="single" w:color="auto" w:sz="4" w:space="0"/>
              <w:left w:val="nil"/>
              <w:bottom w:val="single" w:color="auto" w:sz="4" w:space="0"/>
              <w:right w:val="nil"/>
            </w:tcBorders>
          </w:tcPr>
          <w:p>
            <w:pPr>
              <w:pStyle w:val="105"/>
              <w:rPr>
                <w:rFonts w:cs="Arial"/>
                <w:lang w:eastAsia="zh-CN"/>
              </w:rPr>
            </w:pPr>
            <w:r>
              <w:rPr>
                <w:rFonts w:cs="Arial"/>
                <w:lang w:eastAsia="zh-CN"/>
              </w:rPr>
              <w:t>–</w:t>
            </w:r>
          </w:p>
        </w:tc>
        <w:tc>
          <w:tcPr>
            <w:tcW w:w="1279" w:type="dxa"/>
            <w:tcBorders>
              <w:top w:val="single" w:color="auto" w:sz="4" w:space="0"/>
              <w:left w:val="nil"/>
              <w:bottom w:val="single" w:color="auto" w:sz="4" w:space="0"/>
              <w:right w:val="single" w:color="auto" w:sz="4" w:space="0"/>
            </w:tcBorders>
          </w:tcPr>
          <w:p>
            <w:pPr>
              <w:pStyle w:val="105"/>
              <w:rPr>
                <w:lang w:eastAsia="zh-CN"/>
              </w:rPr>
            </w:pPr>
            <w:r>
              <w:rPr>
                <w:lang w:eastAsia="zh-CN"/>
              </w:rPr>
              <w:t>1660.5 MHz</w:t>
            </w:r>
          </w:p>
        </w:tc>
        <w:tc>
          <w:tcPr>
            <w:tcW w:w="1139" w:type="dxa"/>
            <w:tcBorders>
              <w:top w:val="single" w:color="auto" w:sz="4" w:space="0"/>
              <w:left w:val="nil"/>
              <w:bottom w:val="single" w:color="auto" w:sz="4" w:space="0"/>
              <w:right w:val="nil"/>
            </w:tcBorders>
          </w:tcPr>
          <w:p>
            <w:pPr>
              <w:pStyle w:val="105"/>
            </w:pPr>
            <w:r>
              <w:t>1525 MHz</w:t>
            </w:r>
          </w:p>
        </w:tc>
        <w:tc>
          <w:tcPr>
            <w:tcW w:w="317" w:type="dxa"/>
            <w:tcBorders>
              <w:top w:val="single" w:color="auto" w:sz="4" w:space="0"/>
              <w:left w:val="nil"/>
              <w:bottom w:val="single" w:color="auto" w:sz="4" w:space="0"/>
              <w:right w:val="nil"/>
            </w:tcBorders>
          </w:tcPr>
          <w:p>
            <w:pPr>
              <w:pStyle w:val="105"/>
            </w:pPr>
            <w:r>
              <w:t>–</w:t>
            </w:r>
          </w:p>
        </w:tc>
        <w:tc>
          <w:tcPr>
            <w:tcW w:w="1201" w:type="dxa"/>
            <w:tcBorders>
              <w:top w:val="single" w:color="auto" w:sz="4" w:space="0"/>
              <w:left w:val="nil"/>
              <w:bottom w:val="single" w:color="auto" w:sz="4" w:space="0"/>
              <w:right w:val="single" w:color="auto" w:sz="4" w:space="0"/>
            </w:tcBorders>
          </w:tcPr>
          <w:p>
            <w:pPr>
              <w:pStyle w:val="105"/>
            </w:pPr>
            <w:r>
              <w:t>1559 MHz</w:t>
            </w:r>
          </w:p>
        </w:tc>
        <w:tc>
          <w:tcPr>
            <w:tcW w:w="906" w:type="dxa"/>
            <w:tcBorders>
              <w:top w:val="single" w:color="auto" w:sz="4" w:space="0"/>
              <w:left w:val="single" w:color="auto" w:sz="4" w:space="0"/>
              <w:bottom w:val="single" w:color="auto" w:sz="4" w:space="0"/>
              <w:right w:val="single" w:color="auto" w:sz="4" w:space="0"/>
            </w:tcBorders>
          </w:tcPr>
          <w:p>
            <w:pPr>
              <w:pStyle w:val="105"/>
              <w:rPr>
                <w:rFonts w:cs="Arial"/>
                <w:lang w:eastAsia="ja-JP"/>
              </w:rPr>
            </w:pPr>
            <w:r>
              <w:rPr>
                <w:rFonts w:hint="eastAsia" w:cs="Arial"/>
                <w:lang w:eastAsia="ja-JP"/>
              </w:rPr>
              <w:t>FDD</w:t>
            </w:r>
          </w:p>
        </w:tc>
      </w:tr>
      <w:tr>
        <w:tblPrEx>
          <w:tblCellMar>
            <w:top w:w="0" w:type="dxa"/>
            <w:left w:w="108" w:type="dxa"/>
            <w:bottom w:w="0" w:type="dxa"/>
            <w:right w:w="108" w:type="dxa"/>
          </w:tblCellMar>
        </w:tblPrEx>
        <w:trPr>
          <w:jc w:val="center"/>
        </w:trPr>
        <w:tc>
          <w:tcPr>
            <w:tcW w:w="8094" w:type="dxa"/>
            <w:gridSpan w:val="8"/>
            <w:tcBorders>
              <w:top w:val="single" w:color="auto" w:sz="4" w:space="0"/>
              <w:left w:val="single" w:color="auto" w:sz="4" w:space="0"/>
              <w:bottom w:val="single" w:color="auto" w:sz="4" w:space="0"/>
              <w:right w:val="single" w:color="auto" w:sz="4" w:space="0"/>
            </w:tcBorders>
          </w:tcPr>
          <w:p>
            <w:pPr>
              <w:pStyle w:val="118"/>
              <w:rPr>
                <w:szCs w:val="18"/>
              </w:rPr>
            </w:pPr>
            <w:r>
              <w:rPr>
                <w:szCs w:val="18"/>
              </w:rPr>
              <w:t>NOTE:</w:t>
            </w:r>
            <w:r>
              <w:rPr>
                <w:szCs w:val="18"/>
              </w:rPr>
              <w:tab/>
            </w:r>
            <w:r>
              <w:rPr>
                <w:szCs w:val="18"/>
              </w:rPr>
              <w:t>Satellite bands are numbered in descending order from 256</w:t>
            </w:r>
          </w:p>
        </w:tc>
      </w:tr>
    </w:tbl>
    <w:p>
      <w:pPr>
        <w:rPr>
          <w:lang w:eastAsia="zh-TW"/>
        </w:rPr>
      </w:pPr>
    </w:p>
    <w:p>
      <w:pPr>
        <w:pStyle w:val="4"/>
        <w:rPr>
          <w:lang w:eastAsia="zh-CN"/>
        </w:rPr>
      </w:pPr>
      <w:bookmarkStart w:id="130" w:name="_Toc120570007"/>
      <w:bookmarkStart w:id="131" w:name="_Toc22552"/>
      <w:bookmarkStart w:id="132" w:name="_Toc111062012"/>
      <w:bookmarkStart w:id="133" w:name="_Toc19199"/>
      <w:bookmarkStart w:id="134" w:name="_Toc121162799"/>
      <w:bookmarkStart w:id="135" w:name="_Toc16839"/>
      <w:r>
        <w:t>5.2</w:t>
      </w:r>
      <w:r>
        <w:rPr>
          <w:lang w:eastAsia="zh-CN"/>
        </w:rPr>
        <w:t>A</w:t>
      </w:r>
      <w:r>
        <w:tab/>
      </w:r>
      <w:r>
        <w:t>Operating bands</w:t>
      </w:r>
      <w:r>
        <w:rPr>
          <w:lang w:eastAsia="zh-CN"/>
        </w:rPr>
        <w:t xml:space="preserve"> for UE category M1</w:t>
      </w:r>
      <w:bookmarkEnd w:id="130"/>
      <w:bookmarkEnd w:id="131"/>
      <w:bookmarkEnd w:id="132"/>
      <w:bookmarkEnd w:id="133"/>
      <w:bookmarkEnd w:id="134"/>
      <w:bookmarkEnd w:id="135"/>
    </w:p>
    <w:p>
      <w:pPr>
        <w:rPr>
          <w:lang w:eastAsia="zh-CN"/>
        </w:rPr>
      </w:pPr>
      <w:bookmarkStart w:id="136" w:name="_Toc108616966"/>
      <w:r>
        <w:rPr>
          <w:lang w:val="en-US"/>
        </w:rPr>
        <w:t>UE category M1 is designed to operate in the E-UTRA satellite access operating bands defined in Table 5.2-1 in both half duplex FDD mode and full-duplex FDD mode.</w:t>
      </w:r>
      <w:bookmarkEnd w:id="136"/>
    </w:p>
    <w:p>
      <w:pPr>
        <w:pStyle w:val="4"/>
      </w:pPr>
      <w:bookmarkStart w:id="137" w:name="_Toc121162800"/>
      <w:bookmarkStart w:id="138" w:name="_Toc19410"/>
      <w:bookmarkStart w:id="139" w:name="_Toc111062013"/>
      <w:bookmarkStart w:id="140" w:name="_Toc120570008"/>
      <w:bookmarkStart w:id="141" w:name="_Toc30935"/>
      <w:bookmarkStart w:id="142" w:name="_Toc5326"/>
      <w:r>
        <w:t>5.2</w:t>
      </w:r>
      <w:r>
        <w:rPr>
          <w:lang w:eastAsia="zh-CN"/>
        </w:rPr>
        <w:t>B</w:t>
      </w:r>
      <w:r>
        <w:tab/>
      </w:r>
      <w:r>
        <w:t>Operating bands</w:t>
      </w:r>
      <w:r>
        <w:rPr>
          <w:lang w:eastAsia="zh-CN"/>
        </w:rPr>
        <w:t xml:space="preserve"> for </w:t>
      </w:r>
      <w:r>
        <w:t>category NB1 and NB2</w:t>
      </w:r>
      <w:bookmarkEnd w:id="137"/>
      <w:bookmarkEnd w:id="138"/>
      <w:bookmarkEnd w:id="139"/>
      <w:bookmarkEnd w:id="140"/>
      <w:bookmarkEnd w:id="141"/>
      <w:bookmarkEnd w:id="142"/>
    </w:p>
    <w:p>
      <w:pPr>
        <w:rPr>
          <w:lang w:eastAsia="zh-CN"/>
        </w:rPr>
      </w:pPr>
      <w:r>
        <w:t>Category NB1 and NB2</w:t>
      </w:r>
      <w:r>
        <w:rPr>
          <w:rFonts w:hint="eastAsia" w:eastAsia="宋体"/>
          <w:lang w:val="en-US" w:eastAsia="zh-CN"/>
        </w:rPr>
        <w:t xml:space="preserve"> UE</w:t>
      </w:r>
      <w:r>
        <w:t xml:space="preserve"> </w:t>
      </w:r>
      <w:r>
        <w:rPr>
          <w:rFonts w:eastAsia="Malgun Gothic"/>
        </w:rPr>
        <w:t>are</w:t>
      </w:r>
      <w:r>
        <w:t xml:space="preserve"> designed to operate in the E-UTRA satellite access operating bands defined in Table 5.2-1.</w:t>
      </w:r>
    </w:p>
    <w:p>
      <w:pPr>
        <w:rPr>
          <w:b/>
          <w:bCs/>
        </w:rPr>
      </w:pPr>
      <w:r>
        <w:t xml:space="preserve">Category NB1 and NB2 </w:t>
      </w:r>
      <w:r>
        <w:rPr>
          <w:rFonts w:hint="eastAsia" w:eastAsia="宋体"/>
          <w:lang w:val="en-US" w:eastAsia="zh-CN"/>
        </w:rPr>
        <w:t>UE</w:t>
      </w:r>
      <w:r>
        <w:t xml:space="preserve"> </w:t>
      </w:r>
      <w:r>
        <w:rPr>
          <w:rFonts w:eastAsia="宋体"/>
          <w:bCs/>
        </w:rPr>
        <w:t>operate in HD-FDD duplex mode.</w:t>
      </w:r>
    </w:p>
    <w:p>
      <w:pPr>
        <w:pStyle w:val="4"/>
      </w:pPr>
      <w:bookmarkStart w:id="143" w:name="_Toc3107"/>
      <w:bookmarkStart w:id="144" w:name="_Toc111062014"/>
      <w:bookmarkStart w:id="145" w:name="_Toc29715"/>
      <w:bookmarkStart w:id="146" w:name="_Toc120570009"/>
      <w:bookmarkStart w:id="147" w:name="_Toc368026198"/>
      <w:bookmarkStart w:id="148" w:name="_Toc31889"/>
      <w:bookmarkStart w:id="149" w:name="_Toc121162801"/>
      <w:r>
        <w:t>5.3</w:t>
      </w:r>
      <w:r>
        <w:tab/>
      </w:r>
      <w:r>
        <w:t>Channel bandwidth</w:t>
      </w:r>
      <w:bookmarkEnd w:id="143"/>
      <w:bookmarkEnd w:id="144"/>
      <w:bookmarkEnd w:id="145"/>
      <w:bookmarkEnd w:id="146"/>
      <w:bookmarkEnd w:id="147"/>
      <w:bookmarkEnd w:id="148"/>
      <w:bookmarkEnd w:id="149"/>
      <w:bookmarkStart w:id="150" w:name="_Toc368026199"/>
    </w:p>
    <w:p>
      <w:r>
        <w:t>This clause is reserved.</w:t>
      </w:r>
    </w:p>
    <w:bookmarkEnd w:id="150"/>
    <w:p>
      <w:pPr>
        <w:pStyle w:val="4"/>
      </w:pPr>
      <w:bookmarkStart w:id="151" w:name="_Toc12264"/>
      <w:bookmarkStart w:id="152" w:name="_Toc28627"/>
      <w:bookmarkStart w:id="153" w:name="_Toc121162802"/>
      <w:bookmarkStart w:id="154" w:name="_Toc23837"/>
      <w:bookmarkStart w:id="155" w:name="_Toc120570010"/>
      <w:r>
        <w:t>5.3A</w:t>
      </w:r>
      <w:r>
        <w:tab/>
      </w:r>
      <w:r>
        <w:t>Channel bandwidth for category M1</w:t>
      </w:r>
      <w:bookmarkEnd w:id="151"/>
      <w:bookmarkEnd w:id="152"/>
      <w:bookmarkEnd w:id="153"/>
      <w:bookmarkEnd w:id="154"/>
      <w:bookmarkEnd w:id="155"/>
    </w:p>
    <w:p>
      <w:r>
        <w:t>The requirements in present document are specified for the channel bandwidth listed in Table 5.3A-1.</w:t>
      </w:r>
    </w:p>
    <w:p>
      <w:pPr>
        <w:pStyle w:val="113"/>
      </w:pPr>
      <w:r>
        <w:t>Table 5.3A-1: Transmission bandwidth configuration N</w:t>
      </w:r>
      <w:r>
        <w:rPr>
          <w:vertAlign w:val="subscript"/>
        </w:rPr>
        <w:t>RB</w:t>
      </w:r>
      <w:r>
        <w:t xml:space="preserve"> in E-UTRA channel bandwidths</w:t>
      </w:r>
    </w:p>
    <w:tbl>
      <w:tblPr>
        <w:tblStyle w:val="89"/>
        <w:tblW w:w="31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4"/>
              <w:rPr>
                <w:rFonts w:cs="Arial"/>
              </w:rPr>
            </w:pPr>
            <w:r>
              <w:rPr>
                <w:rFonts w:cs="Arial"/>
              </w:rPr>
              <w:t>Channel bandwidth BW</w:t>
            </w:r>
            <w:r>
              <w:rPr>
                <w:rFonts w:cs="Arial"/>
                <w:vertAlign w:val="subscript"/>
              </w:rPr>
              <w:t>Channel</w:t>
            </w:r>
            <w:r>
              <w:rPr>
                <w:rFonts w:cs="Arial"/>
              </w:rPr>
              <w:t xml:space="preserve"> [MHz]</w:t>
            </w:r>
          </w:p>
        </w:tc>
        <w:tc>
          <w:tcPr>
            <w:tcW w:w="804" w:type="dxa"/>
            <w:vAlign w:val="center"/>
          </w:tcPr>
          <w:p>
            <w:pPr>
              <w:pStyle w:val="104"/>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337" w:type="dxa"/>
            <w:vAlign w:val="center"/>
          </w:tcPr>
          <w:p>
            <w:pPr>
              <w:pStyle w:val="105"/>
              <w:rPr>
                <w:rFonts w:cs="Arial"/>
              </w:rPr>
            </w:pPr>
            <w:r>
              <w:rPr>
                <w:rFonts w:cs="Arial"/>
              </w:rPr>
              <w:t>Transmission bandwidth configuration N</w:t>
            </w:r>
            <w:r>
              <w:rPr>
                <w:rFonts w:cs="Arial"/>
                <w:vertAlign w:val="subscript"/>
              </w:rPr>
              <w:t>RB</w:t>
            </w:r>
          </w:p>
        </w:tc>
        <w:tc>
          <w:tcPr>
            <w:tcW w:w="804" w:type="dxa"/>
            <w:vAlign w:val="center"/>
          </w:tcPr>
          <w:p>
            <w:pPr>
              <w:pStyle w:val="105"/>
              <w:rPr>
                <w:rFonts w:cs="Arial"/>
              </w:rPr>
            </w:pPr>
            <w:r>
              <w:rPr>
                <w:rFonts w:cs="Arial"/>
              </w:rPr>
              <w:t>6</w:t>
            </w:r>
          </w:p>
        </w:tc>
      </w:tr>
    </w:tbl>
    <w:p/>
    <w:p>
      <w:r>
        <w:t>Figure 5.3A-1 shows the relation between the Channel bandwidth (BW</w:t>
      </w:r>
      <w:r>
        <w:rPr>
          <w:vertAlign w:val="subscript"/>
        </w:rPr>
        <w:t>Channel</w:t>
      </w:r>
      <w:r>
        <w:t>) and the Transmission bandwidth configuration (N</w:t>
      </w:r>
      <w:r>
        <w:rPr>
          <w:vertAlign w:val="subscript"/>
        </w:rPr>
        <w:t>RB</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mc:AlternateContent>
          <mc:Choice Requires="wpg">
            <w:drawing>
              <wp:anchor distT="0" distB="0" distL="114300" distR="114300" simplePos="0" relativeHeight="251660288" behindDoc="0" locked="0" layoutInCell="1" allowOverlap="1">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203" cy="318"/>
                          </a:xfrm>
                          <a:prstGeom prst="rect">
                            <a:avLst/>
                          </a:prstGeom>
                          <a:noFill/>
                          <a:ln>
                            <a:noFill/>
                          </a:ln>
                        </wps:spPr>
                        <wps:txbx>
                          <w:txbxContent>
                            <w:p>
                              <w:pPr>
                                <w:pStyle w:val="113"/>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pPr>
                                <w:pStyle w:val="113"/>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pPr>
                                <w:pStyle w:val="113"/>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pPr>
                                <w:pStyle w:val="113"/>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pPr>
                                <w:pStyle w:val="113"/>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pPr>
                                <w:pStyle w:val="113"/>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pPr>
                                <w:pStyle w:val="113"/>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pPr>
                                <w:pStyle w:val="113"/>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id="Group 3110" o:spid="_x0000_s1026" o:spt="203" style="position:absolute;left:0pt;margin-left:20.75pt;margin-top:22.8pt;height:283.2pt;width:448.2pt;mso-position-horizontal-relative:char;mso-position-vertical-relative:line;z-index:251660288;mso-width-relative:page;mso-height-relative:page;" coordorigin="916,1466" coordsize="10074,6120" o:gfxdata="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">
                <o:lock v:ext="edit" aspectratio="f"/>
                <v:rect id="AutoShape 3111" o:spid="_x0000_s1026" o:spt="1" style="position:absolute;left:916;top:1466;height:6120;width:10074;" filled="f" stroked="f" coordsize="21600,21600" o:gfxdata="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IMog&#10;wAAAAN0AAAAPAAAAAAAAAAEAIAAAACIAAABkcnMvZG93bnJldi54bWxQSwECFAAUAAAACACHTuJA&#10;My8FnjsAAAA5AAAAEAAAAAAAAAABACAAAAAPAQAAZHJzL3NoYXBleG1sLnhtbFBLBQYAAAAABgAG&#10;AFsBAAC5AwAAAAA=&#10;">
                  <v:fill on="f" focussize="0,0"/>
                  <v:stroke on="f"/>
                  <v:imagedata o:title=""/>
                  <o:lock v:ext="edit" text="t" aspectratio="t"/>
                </v:rect>
                <v:rect id="Rectangle 3112" o:spid="_x0000_s1026" o:spt="1" style="position:absolute;left:2168;top:1826;height:318;width:203;mso-wrap-style:none;" filled="f" stroked="f" coordsize="21600,21600" o:gfxdata="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YGEPrsAAADd&#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pStyle w:val="113"/>
                        </w:pPr>
                        <w:r>
                          <w:rPr>
                            <w:lang w:val="en-US"/>
                          </w:rPr>
                          <w:t xml:space="preserve"> </w:t>
                        </w:r>
                      </w:p>
                    </w:txbxContent>
                  </v:textbox>
                </v:rect>
                <v:group id="Group 3113" o:spid="_x0000_s1026" o:spt="203" style="position:absolute;left:2906;top:3773;height:1943;width:242;" coordorigin="738,1687" coordsize="242,1684" o:gfxdata="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dnbfTBAAAA3QAAAA8AAAAAAAAAAQAgAAAAIgAAAGRycy9kb3ducmV2&#10;LnhtbFBLAQIUABQAAAAIAIdO4kAzLwWeOwAAADkAAAAVAAAAAAAAAAEAIAAAABABAABkcnMvZ3Jv&#10;dXBzaGFwZXhtbC54bWxQSwUGAAAAAAYABgBgAQAAzQMAAAAA&#10;">
                  <o:lock v:ext="edit" aspectratio="f"/>
                  <v:shape id="Freeform 3114" o:spid="_x0000_s1026" o:spt="100" style="position:absolute;left:738;top:1687;height:1684;width:242;" fillcolor="#EAEAEA" filled="t" stroked="t" coordsize="1350,9433" o:gfxdata="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LmuYbgAAADdAAAA&#10;DwAAAAAAAAABACAAAAAiAAAAZHJzL2Rvd25yZXYueG1sUEsBAhQAFAAAAAgAh07iQDMvBZ47AAAA&#10;OQAAABAAAAAAAAAAAQAgAAAABwEAAGRycy9zaGFwZXhtbC54bWxQSwUGAAAAAAYABgBbAQAAsQMA&#10;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5" o:spid="_x0000_s1026" o:spt="100" style="position:absolute;left:738;top:1687;height:1684;width:242;" filled="f" stroked="t" coordsize="1350,9433" o:gfxdata="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zY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6" o:spid="_x0000_s1026" o:spt="203" style="position:absolute;left:3638;top:3773;height:1943;width:242;" coordorigin="1470,1687" coordsize="242,1684" o:gfxdata="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GmlYvwAAAN0AAAAPAAAAAAAAAAEAIAAAACIAAABkcnMvZG93bnJldi54&#10;bWxQSwECFAAUAAAACACHTuJAMy8FnjsAAAA5AAAAFQAAAAAAAAABACAAAAAOAQAAZHJzL2dyb3Vw&#10;c2hhcGV4bWwueG1sUEsFBgAAAAAGAAYAYAEAAMsDAAAAAA==&#10;">
                  <o:lock v:ext="edit" aspectratio="f"/>
                  <v:shape id="Freeform 3117" o:spid="_x0000_s1026" o:spt="100" style="position:absolute;left:1470;top:1687;height:1684;width:242;" fillcolor="#BBE0E3" filled="t" stroked="t" coordsize="1350,9433" o:gfxdata="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yd&#10;s9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18" o:spid="_x0000_s1026" o:spt="100" style="position:absolute;left:1470;top:1687;height:1684;width:242;" filled="f" stroked="t" coordsize="1350,9433" o:gfxdata="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Gt7O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19" o:spid="_x0000_s1026" o:spt="203" style="position:absolute;left:4371;top:3773;height:1943;width:242;" coordorigin="2203,1687" coordsize="242,1684" o:gfxdata="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D8/EsvwAAAN0AAAAPAAAAAAAAAAEAIAAAACIAAABkcnMvZG93bnJldi54&#10;bWxQSwECFAAUAAAACACHTuJAMy8FnjsAAAA5AAAAFQAAAAAAAAABACAAAAAOAQAAZHJzL2dyb3Vw&#10;c2hhcGV4bWwueG1sUEsFBgAAAAAGAAYAYAEAAMsDAAAAAA==&#10;">
                  <o:lock v:ext="edit" aspectratio="f"/>
                  <v:shape id="Freeform 3120" o:spid="_x0000_s1026" o:spt="100" style="position:absolute;left:2203;top:1687;height:1684;width:242;" fillcolor="#BBE0E3" filled="t" stroked="t" coordsize="1350,9433" o:gfxdata="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zq&#10;EE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1" o:spid="_x0000_s1026" o:spt="100" style="position:absolute;left:2203;top:1687;height:1684;width:242;" filled="f" stroked="t" coordsize="1350,9433" o:gfxdata="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nlT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2" o:spid="_x0000_s1026" o:spt="203" style="position:absolute;left:5102;top:3773;height:1943;width:242;" coordorigin="2934,1687" coordsize="242,1684" o:gfxdata="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7fJesr0AAADdAAAADwAAAAAAAAABACAAAAAiAAAAZHJzL2Rvd25yZXYueG1s&#10;UEsBAhQAFAAAAAgAh07iQDMvBZ47AAAAOQAAABUAAAAAAAAAAQAgAAAADAEAAGRycy9ncm91cHNo&#10;YXBleG1sLnhtbFBLBQYAAAAABgAGAGABAADJAwAAAAA=&#10;">
                  <o:lock v:ext="edit" aspectratio="f"/>
                  <v:shape id="Freeform 3123" o:spid="_x0000_s1026" o:spt="100" style="position:absolute;left:2934;top:1687;height:1684;width:242;" fillcolor="#BBE0E3" filled="t" stroked="t" coordsize="1350,9433" o:gfxdata="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dYQx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24" o:spid="_x0000_s1026" o:spt="100" style="position:absolute;left:2934;top:1687;height:1684;width:242;" filled="f" stroked="t" coordsize="1350,9433" o:gfxdata="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u+cj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25" o:spid="_x0000_s1026" o:spt="203" style="position:absolute;left:3390;top:3776;height:1943;width:243;" coordorigin="1222,1690" coordsize="243,1684" o:gfxdata="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iNtNcAAAADdAAAADwAAAAAAAAABACAAAAAiAAAAZHJzL2Rvd25yZXYu&#10;eG1sUEsBAhQAFAAAAAgAh07iQDMvBZ47AAAAOQAAABUAAAAAAAAAAQAgAAAADwEAAGRycy9ncm91&#10;cHNoYXBleG1sLnhtbFBLBQYAAAAABgAGAGABAADMAwAAAAA=&#10;">
                  <o:lock v:ext="edit" aspectratio="f"/>
                  <v:shape id="Freeform 3126" o:spid="_x0000_s1026" o:spt="100" style="position:absolute;left:1222;top:1690;height:1684;width:243;" fillcolor="#EAEAEA" filled="t" stroked="t" coordsize="1358,9433" o:gfxdata="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qcVk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127" o:spid="_x0000_s1026" o:spt="100" style="position:absolute;left:1222;top:1690;height:1684;width:243;" filled="f" stroked="t" coordsize="1358,9433" o:gfxdata="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3wyoL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128" o:spid="_x0000_s1026" o:spt="203" style="position:absolute;left:4123;top:3776;height:1943;width:242;" coordorigin="1955,1690" coordsize="242,1684" o:gfxdata="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lTOrcAAAADdAAAADwAAAAAAAAABACAAAAAiAAAAZHJzL2Rvd25yZXYu&#10;eG1sUEsBAhQAFAAAAAgAh07iQDMvBZ47AAAAOQAAABUAAAAAAAAAAQAgAAAADwEAAGRycy9ncm91&#10;cHNoYXBleG1sLnhtbFBLBQYAAAAABgAGAGABAADMAwAAAAA=&#10;">
                  <o:lock v:ext="edit" aspectratio="f"/>
                  <v:shape id="Freeform 3129" o:spid="_x0000_s1026" o:spt="100" style="position:absolute;left:1955;top:1690;height:1684;width:242;" fillcolor="#BBE0E3" filled="t" stroked="t" coordsize="1350,9433" o:gfxdata="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LT&#10;FC7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130" o:spid="_x0000_s1026" o:spt="100" style="position:absolute;left:1955;top:1690;height:1684;width:242;" filled="f" stroked="t" coordsize="1350,9433" o:gfxdata="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R7azL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31" o:spid="_x0000_s1026" o:spt="203" style="position:absolute;left:4854;top:3776;height:1943;width:248;" coordorigin="2686,1690" coordsize="248,1684" o:gfxdata="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oZQ2sAAAADdAAAADwAAAAAAAAABACAAAAAiAAAAZHJzL2Rvd25yZXYu&#10;eG1sUEsBAhQAFAAAAAgAh07iQDMvBZ47AAAAOQAAABUAAAAAAAAAAQAgAAAADwEAAGRycy9ncm91&#10;cHNoYXBleG1sLnhtbFBLBQYAAAAABgAGAGABAADMAwAAAAA=&#10;">
                  <o:lock v:ext="edit" aspectratio="f"/>
                  <v:shape id="Freeform 3132" o:spid="_x0000_s1026" o:spt="100" style="position:absolute;left:2686;top:1690;height:1684;width:248;" fillcolor="#BBE0E3" filled="t" stroked="t" coordsize="1383,9433" o:gfxdata="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D95k&#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133" o:spid="_x0000_s1026" o:spt="100" style="position:absolute;left:2686;top:1690;height:1684;width:248;" filled="f" stroked="t" coordsize="1383,9433" o:gfxdata="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TMUCugAAAN0A&#10;AAAPAAAAAAAAAAEAIAAAACIAAABkcnMvZG93bnJldi54bWxQSwECFAAUAAAACACHTuJAMy8FnjsA&#10;AAA5AAAAEAAAAAAAAAABACAAAAAJAQAAZHJzL3NoYXBleG1sLnhtbFBLBQYAAAAABgAGAFsBAACz&#10;Aw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134" o:spid="_x0000_s1026" o:spt="203" style="position:absolute;left:3148;top:3776;height:1943;width:242;" coordorigin="980,1690" coordsize="242,1684" o:gfxdata="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r76MAAAADdAAAADwAAAAAAAAABACAAAAAiAAAAZHJzL2Rvd25yZXYu&#10;eG1sUEsBAhQAFAAAAAgAh07iQDMvBZ47AAAAOQAAABUAAAAAAAAAAQAgAAAADwEAAGRycy9ncm91&#10;cHNoYXBleG1sLnhtbFBLBQYAAAAABgAGAGABAADMAwAAAAA=&#10;">
                  <o:lock v:ext="edit" aspectratio="f"/>
                  <v:shape id="Freeform 3135" o:spid="_x0000_s1026" o:spt="100" style="position:absolute;left:980;top:1690;height:1684;width:242;" fillcolor="#EAEAEA" filled="t" stroked="t" coordsize="1350,9433" o:gfxdata="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BWZS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36" o:spid="_x0000_s1026" o:spt="100" style="position:absolute;left:980;top:1690;height:1684;width:242;" filled="f" stroked="t" coordsize="1350,9433" o:gfxdata="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LDvi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37" o:spid="_x0000_s1026" o:spt="203" style="position:absolute;left:3880;top:3776;height:1943;width:243;" coordorigin="1712,1690" coordsize="243,1684" o:gfxdata="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41YcMAAAADdAAAADwAAAAAAAAABACAAAAAiAAAAZHJzL2Rvd25yZXYu&#10;eG1sUEsBAhQAFAAAAAgAh07iQDMvBZ47AAAAOQAAABUAAAAAAAAAAQAgAAAADwEAAGRycy9ncm91&#10;cHNoYXBleG1sLnhtbFBLBQYAAAAABgAGAGABAADMAwAAAAA=&#10;">
                  <o:lock v:ext="edit" aspectratio="f"/>
                  <v:shape id="Freeform 3138" o:spid="_x0000_s1026" o:spt="100" style="position:absolute;left:1712;top:1690;height:1684;width:243;" fillcolor="#BBE0E3" filled="t" stroked="t" coordsize="1358,9433" o:gfxdata="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Dk697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39" o:spid="_x0000_s1026" o:spt="100" style="position:absolute;left:1712;top:1690;height:1684;width:243;" filled="f" stroked="t" coordsize="1358,9433" o:gfxdata="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tIH5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40" o:spid="_x0000_s1026" o:spt="203" style="position:absolute;left:4613;top:3776;height:1943;width:241;" coordorigin="2445,1690" coordsize="241,1684" o:gfxdata="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h1/GB8AAAADdAAAADwAAAAAAAAABACAAAAAiAAAAZHJzL2Rvd25yZXYu&#10;eG1sUEsBAhQAFAAAAAgAh07iQDMvBZ47AAAAOQAAABUAAAAAAAAAAQAgAAAADwEAAGRycy9ncm91&#10;cHNoYXBleG1sLnhtbFBLBQYAAAAABgAGAGABAADMAwAAAAA=&#10;">
                  <o:lock v:ext="edit" aspectratio="f"/>
                  <v:shape id="Freeform 3141" o:spid="_x0000_s1026" o:spt="100" style="position:absolute;left:2445;top:1690;height:1684;width:241;" fillcolor="#BBE0E3" filled="t" stroked="t" coordsize="1350,9433" o:gfxdata="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kLLW2/&#10;AAAA3QAAAA8AAAAAAAAAAQAgAAAAIgAAAGRycy9kb3ducmV2LnhtbFBLAQIUABQAAAAIAIdO4kAz&#10;LwWeOwAAADkAAAAQAAAAAAAAAAEAIAAAAA4BAABkcnMvc2hhcGV4bWwueG1sUEsFBgAAAAAGAAYA&#10;WwEAALgDA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142" o:spid="_x0000_s1026" o:spt="100" style="position:absolute;left:2445;top:1690;height:1684;width:241;" filled="f" stroked="t" coordsize="1350,9433" o:gfxdata="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YY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143" o:spid="_x0000_s1026" o:spt="203" style="position:absolute;left:5344;top:3773;height:1943;width:242;" coordorigin="3176,1687" coordsize="242,1684" o:gfxdata="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G2pTOvAAAAN0AAAAPAAAAAAAAAAEAIAAAACIAAABkcnMvZG93bnJldi54bWxQ&#10;SwECFAAUAAAACACHTuJAMy8FnjsAAAA5AAAAFQAAAAAAAAABACAAAAALAQAAZHJzL2dyb3Vwc2hh&#10;cGV4bWwueG1sUEsFBgAAAAAGAAYAYAEAAMgDAAAAAA==&#10;">
                  <o:lock v:ext="edit" aspectratio="f"/>
                  <v:shape id="Freeform 3144" o:spid="_x0000_s1026" o:spt="100" style="position:absolute;left:3176;top:1687;height:1684;width:242;" fillcolor="#BBE0E3" filled="t" stroked="t" coordsize="1350,9433" o:gfxdata="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Zd&#10;Tk3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45" o:spid="_x0000_s1026" o:spt="100" style="position:absolute;left:3176;top:1687;height:1684;width:242;" filled="f" stroked="t" coordsize="1350,9433" o:gfxdata="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CAr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46" o:spid="_x0000_s1026" o:spt="203" style="position:absolute;left:6075;top:3773;height:1943;width:242;" coordorigin="3907,1687" coordsize="242,1684" o:gfxdata="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2CAq5vwAAAN0AAAAPAAAAAAAAAAEAIAAAACIAAABkcnMvZG93bnJldi54&#10;bWxQSwECFAAUAAAACACHTuJAMy8FnjsAAAA5AAAAFQAAAAAAAAABACAAAAAOAQAAZHJzL2dyb3Vw&#10;c2hhcGV4bWwueG1sUEsFBgAAAAAGAAYAYAEAAMsDAAAAAA==&#10;">
                  <o:lock v:ext="edit" aspectratio="f"/>
                  <v:shape id="Freeform 3147" o:spid="_x0000_s1026" o:spt="100" style="position:absolute;left:3907;top:1687;height:1684;width:242;" fillcolor="#EAEAEA" filled="t" stroked="t" coordsize="1350,9433" o:gfxdata="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3G4Y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148" o:spid="_x0000_s1026" o:spt="100" style="position:absolute;left:3907;top:1687;height:1684;width:242;" filled="f" stroked="t" coordsize="1350,9433" o:gfxdata="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kY274A&#10;AADdAAAADwAAAAAAAAABACAAAAAiAAAAZHJzL2Rvd25yZXYueG1sUEsBAhQAFAAAAAgAh07iQDMv&#10;BZ47AAAAOQAAABAAAAAAAAAAAQAgAAAADQEAAGRycy9zaGFwZXhtbC54bWxQSwUGAAAAAAYABgBb&#10;AQAAtwM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149" o:spid="_x0000_s1026" o:spt="203" style="position:absolute;left:6808;top:3773;height:1943;width:242;" coordorigin="4640,1687" coordsize="242,1684" o:gfxdata="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mf6khvwAAAN0AAAAPAAAAAAAAAAEAIAAAACIAAABkcnMvZG93bnJldi54&#10;bWxQSwECFAAUAAAACACHTuJAMy8FnjsAAAA5AAAAFQAAAAAAAAABACAAAAAOAQAAZHJzL2dyb3Vw&#10;c2hhcGV4bWwueG1sUEsFBgAAAAAGAAYAYAEAAMsDAAAAAA==&#10;">
                  <o:lock v:ext="edit" aspectratio="f"/>
                  <v:shape id="Freeform 3150" o:spid="_x0000_s1026" o:spt="100" style="position:absolute;left:4640;top:1687;height:1684;width:242;" fillcolor="#EAEAEA" filled="t" stroked="t" coordsize="1350,9433" o:gfxdata="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DvBv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51" o:spid="_x0000_s1026" o:spt="100" style="position:absolute;left:4640;top:1687;height:1684;width:242;" filled="f" stroked="t" coordsize="1350,9433" o:gfxdata="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eLdFvQAA&#10;AN0AAAAPAAAAAAAAAAEAIAAAACIAAABkcnMvZG93bnJldi54bWxQSwECFAAUAAAACACHTuJAMy8F&#10;njsAAAA5AAAAEAAAAAAAAAABACAAAAAMAQAAZHJzL3NoYXBleG1sLnhtbFBLBQYAAAAABgAGAFsB&#10;AAC2Aw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52" o:spid="_x0000_s1026" o:spt="203" style="position:absolute;left:7540;top:3773;height:1944;width:242;" coordorigin="5372,1687" coordsize="242,1685" o:gfxdata="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fgPVPBAAAA3QAAAA8AAAAAAAAAAQAgAAAAIgAAAGRycy9kb3ducmV2&#10;LnhtbFBLAQIUABQAAAAIAIdO4kAzLwWeOwAAADkAAAAVAAAAAAAAAAEAIAAAABABAABkcnMvZ3Jv&#10;dXBzaGFwZXhtbC54bWxQSwUGAAAAAAYABgBgAQAAzQMAAAAA&#10;">
                  <o:lock v:ext="edit" aspectratio="f"/>
                  <v:shape id="Freeform 3153" o:spid="_x0000_s1026" o:spt="100" style="position:absolute;left:5372;top:1687;height:1685;width:242;" fillcolor="#EAEAEA" filled="t" stroked="t" coordsize="675,4717" o:gfxdata="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iGsC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54" o:spid="_x0000_s1026" o:spt="100" style="position:absolute;left:5372;top:1687;height:1685;width:242;" filled="f" stroked="t" coordsize="675,4717" o:gfxdata="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B0IC/&#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55" o:spid="_x0000_s1026" o:spt="203" style="position:absolute;left:5828;top:3776;height:1943;width:243;" coordorigin="3660,1690" coordsize="243,1684" o:gfxdata="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nTn/vwAAAN0AAAAPAAAAAAAAAAEAIAAAACIAAABkcnMvZG93bnJldi54&#10;bWxQSwECFAAUAAAACACHTuJAMy8FnjsAAAA5AAAAFQAAAAAAAAABACAAAAAOAQAAZHJzL2dyb3Vw&#10;c2hhcGV4bWwueG1sUEsFBgAAAAAGAAYAYAEAAMsDAAAAAA==&#10;">
                  <o:lock v:ext="edit" aspectratio="f"/>
                  <v:shape id="Freeform 3156" o:spid="_x0000_s1026" o:spt="100" style="position:absolute;left:3660;top:1690;height:1684;width:243;" fillcolor="#EAEAEA" filled="t" stroked="t" coordsize="1358,9433" o:gfxdata="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h3q1vQAA&#10;AN0AAAAPAAAAAAAAAAEAIAAAACIAAABkcnMvZG93bnJldi54bWxQSwECFAAUAAAACACHTuJAMy8F&#10;njsAAAA5AAAAEAAAAAAAAAABACAAAAAMAQAAZHJzL3NoYXBleG1sLnhtbFBLBQYAAAAABgAGAFsB&#10;AAC2Aw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157" o:spid="_x0000_s1026" o:spt="100" style="position:absolute;left:3660;top:1690;height:1684;width:243;" filled="f" stroked="t" coordsize="1358,9433" o:gfxdata="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WBp&#10;wAAAAN0AAAAPAAAAAAAAAAEAIAAAACIAAABkcnMvZG93bnJldi54bWxQSwECFAAUAAAACACHTuJA&#10;My8FnjsAAAA5AAAAEAAAAAAAAAABACAAAAAPAQAAZHJzL3NoYXBleG1sLnhtbFBLBQYAAAAABgAG&#10;AFsBAAC5Aw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158" o:spid="_x0000_s1026" o:spt="203" style="position:absolute;left:6561;top:3776;height:1943;width:242;" coordorigin="4393,1690" coordsize="242,1684" o:gfxdata="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3Shi8AAAADdAAAADwAAAAAAAAABACAAAAAiAAAAZHJzL2Rvd25yZXYu&#10;eG1sUEsBAhQAFAAAAAgAh07iQDMvBZ47AAAAOQAAABUAAAAAAAAAAQAgAAAADwEAAGRycy9ncm91&#10;cHNoYXBleG1sLnhtbFBLBQYAAAAABgAGAGABAADMAwAAAAA=&#10;">
                  <o:lock v:ext="edit" aspectratio="f"/>
                  <v:shape id="Freeform 3159" o:spid="_x0000_s1026" o:spt="100" style="position:absolute;left:4393;top:1690;height:1684;width:242;" fillcolor="#EAEAEA" filled="t" stroked="t" coordsize="1350,9433" o:gfxdata="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JvDKb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0" o:spid="_x0000_s1026" o:spt="100" style="position:absolute;left:4393;top:1690;height:1684;width:242;" filled="f" stroked="t" coordsize="1350,9433" o:gfxdata="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D616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1" o:spid="_x0000_s1026" o:spt="203" style="position:absolute;left:7292;top:3776;height:1943;width:248;" coordorigin="5124,1690" coordsize="248,1684" o:gfxdata="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11DhW+AAAA3QAAAA8AAAAAAAAAAQAgAAAAIgAAAGRycy9kb3ducmV2Lnht&#10;bFBLAQIUABQAAAAIAIdO4kAzLwWeOwAAADkAAAAVAAAAAAAAAAEAIAAAAA0BAABkcnMvZ3JvdXBz&#10;aGFwZXhtbC54bWxQSwUGAAAAAAYABgBgAQAAygMAAAAA&#10;">
                  <o:lock v:ext="edit" aspectratio="f"/>
                  <v:shape id="Freeform 3162" o:spid="_x0000_s1026" o:spt="100" style="position:absolute;left:5124;top:1690;height:1684;width:248;" fillcolor="#EAEAEA" filled="t" stroked="t" coordsize="1383,9433" o:gfxdata="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MDb4A&#10;AADdAAAADwAAAAAAAAABACAAAAAiAAAAZHJzL2Rvd25yZXYueG1sUEsBAhQAFAAAAAgAh07iQDMv&#10;BZ47AAAAOQAAABAAAAAAAAAAAQAgAAAADQEAAGRycy9zaGFwZXhtbC54bWxQSwUGAAAAAAYABgBb&#10;AQAAtwM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163" o:spid="_x0000_s1026" o:spt="100" style="position:absolute;left:5124;top:1690;height:1684;width:248;" filled="f" stroked="t" coordsize="1383,9433" o:gfxdata="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x/+ofugAAAN0A&#10;AAAPAAAAAAAAAAEAIAAAACIAAABkcnMvZG93bnJldi54bWxQSwECFAAUAAAACACHTuJAMy8FnjsA&#10;AAA5AAAAEAAAAAAAAAABACAAAAAJAQAAZHJzL3NoYXBleG1sLnhtbFBLBQYAAAAABgAGAFsBAACz&#10;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164" o:spid="_x0000_s1026" o:spt="203" style="position:absolute;left:5586;top:3776;height:1943;width:242;" coordorigin="3418,1690" coordsize="242,1684" o:gfxdata="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dEnU9cAAAADdAAAADwAAAAAAAAABACAAAAAiAAAAZHJzL2Rvd25yZXYu&#10;eG1sUEsBAhQAFAAAAAgAh07iQDMvBZ47AAAAOQAAABUAAAAAAAAAAQAgAAAADwEAAGRycy9ncm91&#10;cHNoYXBleG1sLnhtbFBLBQYAAAAABgAGAGABAADMAwAAAAA=&#10;">
                  <o:lock v:ext="edit" aspectratio="f"/>
                  <v:shape id="Freeform 3165" o:spid="_x0000_s1026" o:spt="100" style="position:absolute;left:3418;top:1690;height:1684;width:242;" fillcolor="#BBE0E3" filled="t" stroked="t" coordsize="1350,9433" o:gfxdata="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b&#10;UDWa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66" o:spid="_x0000_s1026" o:spt="100" style="position:absolute;left:3418;top:1690;height:1684;width:242;" filled="f" stroked="t" coordsize="1350,9433" o:gfxdata="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wPAlL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67" o:spid="_x0000_s1026" o:spt="203" style="position:absolute;left:6317;top:3776;height:1943;width:244;" coordorigin="4149,1690" coordsize="244,1684" o:gfxdata="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ZD53bcAAAADdAAAADwAAAAAAAAABACAAAAAiAAAAZHJzL2Rvd25yZXYu&#10;eG1sUEsBAhQAFAAAAAgAh07iQDMvBZ47AAAAOQAAABUAAAAAAAAAAQAgAAAADwEAAGRycy9ncm91&#10;cHNoYXBleG1sLnhtbFBLBQYAAAAABgAGAGABAADMAwAAAAA=&#10;">
                  <o:lock v:ext="edit" aspectratio="f"/>
                  <v:shape id="Freeform 3168" o:spid="_x0000_s1026" o:spt="100" style="position:absolute;left:4149;top:1690;height:1684;width:244;" fillcolor="#EAEAEA" filled="t" stroked="t" coordsize="1359,9433" o:gfxdata="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a0gOvQAA&#10;AN0AAAAPAAAAAAAAAAEAIAAAACIAAABkcnMvZG93bnJldi54bWxQSwECFAAUAAAACACHTuJAMy8F&#10;njsAAAA5AAAAEAAAAAAAAAABACAAAAAMAQAAZHJzL3NoYXBleG1sLnhtbFBLBQYAAAAABgAGAFsB&#10;AAC2Aw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169" o:spid="_x0000_s1026" o:spt="100" style="position:absolute;left:4149;top:1690;height:1684;width:244;" filled="f" stroked="t" coordsize="1359,9433" o:gfxdata="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b7MFL4A&#10;AADdAAAADwAAAAAAAAABACAAAAAiAAAAZHJzL2Rvd25yZXYueG1sUEsBAhQAFAAAAAgAh07iQDMv&#10;BZ47AAAAOQAAABAAAAAAAAAAAQAgAAAADQEAAGRycy9zaGFwZXhtbC54bWxQSwUGAAAAAAYABgBb&#10;AQAAtwM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170" o:spid="_x0000_s1026" o:spt="203" style="position:absolute;left:7050;top:3776;height:1943;width:242;" coordorigin="4882,1690" coordsize="242,1684" o:gfxdata="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JTs6RrBAAAA3QAAAA8AAAAAAAAAAQAgAAAAIgAAAGRycy9kb3ducmV2&#10;LnhtbFBLAQIUABQAAAAIAIdO4kAzLwWeOwAAADkAAAAVAAAAAAAAAAEAIAAAABABAABkcnMvZ3Jv&#10;dXBzaGFwZXhtbC54bWxQSwUGAAAAAAYABgBgAQAAzQMAAAAA&#10;">
                  <o:lock v:ext="edit" aspectratio="f"/>
                  <v:shape id="Freeform 3171" o:spid="_x0000_s1026" o:spt="100" style="position:absolute;left:4882;top:1690;height:1684;width:242;" fillcolor="#EAEAEA" filled="t" stroked="t" coordsize="1350,9433" o:gfxdata="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5Ogb25AAAA3QAA&#10;AA8AAAAAAAAAAQAgAAAAIgAAAGRycy9kb3ducmV2LnhtbFBLAQIUABQAAAAIAIdO4kAzLwWeOwAA&#10;ADkAAAAQAAAAAAAAAAEAIAAAAAgBAABkcnMvc2hhcGV4bWwueG1sUEsFBgAAAAAGAAYAWwEAALID&#10;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172" o:spid="_x0000_s1026" o:spt="100" style="position:absolute;left:4882;top:1690;height:1684;width:242;" filled="f" stroked="t" coordsize="1350,9433" o:gfxdata="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uv3fr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73" o:spid="_x0000_s1026" o:spt="203" style="position:absolute;left:7782;top:3773;height:1944;width:242;" coordorigin="5614,1687" coordsize="242,1685" o:gfxdata="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tzns70AAADdAAAADwAAAAAAAAABACAAAAAiAAAAZHJzL2Rvd25yZXYueG1s&#10;UEsBAhQAFAAAAAgAh07iQDMvBZ47AAAAOQAAABUAAAAAAAAAAQAgAAAADAEAAGRycy9ncm91cHNo&#10;YXBleG1sLnhtbFBLBQYAAAAABgAGAGABAADJAwAAAAA=&#10;">
                  <o:lock v:ext="edit" aspectratio="f"/>
                  <v:shape id="Freeform 3174" o:spid="_x0000_s1026" o:spt="100" style="position:absolute;left:5614;top:1687;height:1685;width:242;" fillcolor="#EAEAEA" filled="t" stroked="t" coordsize="675,4717" o:gfxdata="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vxWvu/&#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5" o:spid="_x0000_s1026" o:spt="100" style="position:absolute;left:5614;top:1687;height:1685;width:242;" filled="f" stroked="t" coordsize="675,4717" o:gfxdata="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pMq1e/&#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6" o:spid="_x0000_s1026" o:spt="203" style="position:absolute;left:8513;top:3773;height:1944;width:242;" coordorigin="6345,1687" coordsize="242,1685" o:gfxdata="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bg55xMAAAADdAAAADwAAAAAAAAABACAAAAAiAAAAZHJzL2Rvd25yZXYu&#10;eG1sUEsBAhQAFAAAAAgAh07iQDMvBZ47AAAAOQAAABUAAAAAAAAAAQAgAAAADwEAAGRycy9ncm91&#10;cHNoYXBleG1sLnhtbFBLBQYAAAAABgAGAGABAADMAwAAAAA=&#10;">
                  <o:lock v:ext="edit" aspectratio="f"/>
                  <v:shape id="Freeform 3177" o:spid="_x0000_s1026" o:spt="100" style="position:absolute;left:6345;top:1687;height:1685;width:242;" fillcolor="#EAEAEA" filled="t" stroked="t" coordsize="675,4717" o:gfxdata="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uG+W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178" o:spid="_x0000_s1026" o:spt="100" style="position:absolute;left:6345;top:1687;height:1685;width:242;" filled="f" stroked="t" coordsize="675,4717" o:gfxdata="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WlMyO/&#10;AAAA3QAAAA8AAAAAAAAAAQAgAAAAIgAAAGRycy9kb3ducmV2LnhtbFBLAQIUABQAAAAIAIdO4kAz&#10;LwWeOwAAADkAAAAQAAAAAAAAAAEAIAAAAA4BAABkcnMvc2hhcGV4bWwueG1sUEsFBgAAAAAGAAYA&#10;WwEAALg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179" o:spid="_x0000_s1026" o:spt="203" style="position:absolute;left:8265;top:3776;height:1943;width:244;" coordorigin="6097,1690" coordsize="244,1684" o:gfxdata="UEsDBAoAAAAAAIdO4kAAAAAAAAAAAAAAAAAEAAAAZHJzL1BLAwQUAAAACACHTuJAfnnaXM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QO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fnnaXMAAAADdAAAADwAAAAAAAAABACAAAAAiAAAAZHJzL2Rvd25yZXYu&#10;eG1sUEsBAhQAFAAAAAgAh07iQDMvBZ47AAAAOQAAABUAAAAAAAAAAQAgAAAADwEAAGRycy9ncm91&#10;cHNoYXBleG1sLnhtbFBLBQYAAAAABgAGAGABAADMAwAAAAA=&#10;">
                  <o:lock v:ext="edit" aspectratio="f"/>
                  <v:shape id="Freeform 3180" o:spid="_x0000_s1026" o:spt="100" style="position:absolute;left:6097;top:1690;height:1684;width:244;" fillcolor="#EAEAEA" filled="t" stroked="t" coordsize="680,4716" o:gfxdata="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x/pfW/&#10;AAAA3QAAAA8AAAAAAAAAAQAgAAAAIgAAAGRycy9kb3ducmV2LnhtbFBLAQIUABQAAAAIAIdO4kAz&#10;LwWeOwAAADkAAAAQAAAAAAAAAAEAIAAAAA4BAABkcnMvc2hhcGV4bWwueG1sUEsFBgAAAAAGAAYA&#10;WwEAALgDA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181" o:spid="_x0000_s1026" o:spt="100" style="position:absolute;left:6097;top:1690;height:1684;width:244;" filled="f" stroked="t" coordsize="680,4716" o:gfxdata="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MHiz25AAAA3QAA&#10;AA8AAAAAAAAAAQAgAAAAIgAAAGRycy9kb3ducmV2LnhtbFBLAQIUABQAAAAIAIdO4kAzLwWeOwAA&#10;ADkAAAAQAAAAAAAAAAEAIAAAAAgBAABkcnMvc2hhcGV4bWwueG1sUEsFBgAAAAAGAAYAWwEAALID&#10;A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182" o:spid="_x0000_s1026" o:spt="203" style="position:absolute;left:8024;top:3776;height:1943;width:241;" coordorigin="5856,1690" coordsize="241,1684" o:gfxdata="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mTi7BAAAA3QAAAA8AAAAAAAAAAQAgAAAAIgAAAGRycy9kb3ducmV2&#10;LnhtbFBLAQIUABQAAAAIAIdO4kAzLwWeOwAAADkAAAAVAAAAAAAAAAEAIAAAABABAABkcnMvZ3Jv&#10;dXBzaGFwZXhtbC54bWxQSwUGAAAAAAYABgBgAQAAzQMAAAAA&#10;">
                  <o:lock v:ext="edit" aspectratio="f"/>
                  <v:shape id="Freeform 3183" o:spid="_x0000_s1026" o:spt="100" style="position:absolute;left:5856;top:1690;height:1684;width:241;" fillcolor="#EAEAEA" filled="t" stroked="t" coordsize="675,4716" o:gfxdata="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dhPIugAAAN0A&#10;AAAPAAAAAAAAAAEAIAAAACIAAABkcnMvZG93bnJldi54bWxQSwECFAAUAAAACACHTuJAMy8FnjsA&#10;AAA5AAAAEAAAAAAAAAABACAAAAAJAQAAZHJzL3NoYXBleG1sLnhtbFBLBQYAAAAABgAGAFsBAACz&#10;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184" o:spid="_x0000_s1026" o:spt="100" style="position:absolute;left:5856;top:1690;height:1684;width:241;" filled="f" stroked="t" coordsize="675,4716" o:gfxdata="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9hUWb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185" o:spid="_x0000_s1026" o:spt="203" style="position:absolute;left:8755;top:3776;height:1943;width:243;" coordorigin="6587,1690" coordsize="243,1684" o:gfxdata="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PLhbivwAAAN0AAAAPAAAAAAAAAAEAIAAAACIAAABkcnMvZG93bnJldi54&#10;bWxQSwECFAAUAAAACACHTuJAMy8FnjsAAAA5AAAAFQAAAAAAAAABACAAAAAOAQAAZHJzL2dyb3Vw&#10;c2hhcGV4bWwueG1sUEsFBgAAAAAGAAYAYAEAAMsDAAAAAA==&#10;">
                  <o:lock v:ext="edit" aspectratio="f"/>
                  <v:shape id="Freeform 3186" o:spid="_x0000_s1026" o:spt="100" style="position:absolute;left:6587;top:1690;height:1684;width:243;" fillcolor="#EAEAEA" filled="t" stroked="t" coordsize="679,4716" o:gfxdata="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ufZKG/&#10;AAAA3QAAAA8AAAAAAAAAAQAgAAAAIgAAAGRycy9kb3ducmV2LnhtbFBLAQIUABQAAAAIAIdO4kAz&#10;LwWeOwAAADkAAAAQAAAAAAAAAAEAIAAAAA4BAABkcnMvc2hhcGV4bWwueG1sUEsFBgAAAAAGAAYA&#10;WwEAALgDA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187" o:spid="_x0000_s1026" o:spt="100" style="position:absolute;left:6587;top:1690;height:1684;width:243;" filled="f" stroked="t" coordsize="679,4716" o:gfxdata="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iSCH&#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group id="Group 3188" o:spid="_x0000_s1026" o:spt="203" style="position:absolute;left:2906;top:3773;height:1943;width:242;" coordorigin="738,1687" coordsize="242,1684" o:gfxdata="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MeOlsAAAADdAAAADwAAAAAAAAABACAAAAAiAAAAZHJzL2Rvd25yZXYu&#10;eG1sUEsBAhQAFAAAAAgAh07iQDMvBZ47AAAAOQAAABUAAAAAAAAAAQAgAAAADwEAAGRycy9ncm91&#10;cHNoYXBleG1sLnhtbFBLBQYAAAAABgAGAGABAADMAwAAAAA=&#10;">
                  <o:lock v:ext="edit" aspectratio="f"/>
                  <v:shape id="Freeform 3189" o:spid="_x0000_s1026" o:spt="100" style="position:absolute;left:738;top:1687;height:1684;width:242;" fillcolor="#EAEAEA" filled="t" stroked="t" coordsize="1350,9433" o:gfxdata="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jsNLsAAADd&#10;AAAADwAAAAAAAAABACAAAAAiAAAAZHJzL2Rvd25yZXYueG1sUEsBAhQAFAAAAAgAh07iQDMvBZ47&#10;AAAAOQAAABAAAAAAAAAAAQAgAAAACgEAAGRycy9zaGFwZXhtbC54bWxQSwUGAAAAAAYABgBbAQAA&#10;tAM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0" o:spid="_x0000_s1026" o:spt="100" style="position:absolute;left:738;top:1687;height:1684;width:242;" filled="f" stroked="t" coordsize="1350,9433" o:gfxdata="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2a9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1" o:spid="_x0000_s1026" o:spt="203" style="position:absolute;left:3638;top:3773;height:1943;width:242;" coordorigin="1470,1687" coordsize="242,1684" o:gfxdata="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uxiEIvAAAAN0AAAAPAAAAAAAAAAEAIAAAACIAAABkcnMvZG93bnJldi54bWxQ&#10;SwECFAAUAAAACACHTuJAMy8FnjsAAAA5AAAAFQAAAAAAAAABACAAAAALAQAAZHJzL2dyb3Vwc2hh&#10;cGV4bWwueG1sUEsFBgAAAAAGAAYAYAEAAMgDAAAAAA==&#10;">
                  <o:lock v:ext="edit" aspectratio="f"/>
                  <v:shape id="Freeform 3192" o:spid="_x0000_s1026" o:spt="100" style="position:absolute;left:1470;top:1687;height:1684;width:242;" fillcolor="#BBE0E3" filled="t" stroked="t" coordsize="1350,9433" o:gfxdata="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5B&#10;+4v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3" o:spid="_x0000_s1026" o:spt="100" style="position:absolute;left:1470;top:1687;height:1684;width:242;" filled="f" stroked="t" coordsize="1350,9433" o:gfxdata="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b2UXr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4" o:spid="_x0000_s1026" o:spt="203" style="position:absolute;left:4371;top:3773;height:1943;width:242;" coordorigin="2203,1687" coordsize="242,1684" o:gfxdata="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iUeSMAAAADdAAAADwAAAAAAAAABACAAAAAiAAAAZHJzL2Rvd25yZXYu&#10;eG1sUEsBAhQAFAAAAAgAh07iQDMvBZ47AAAAOQAAABUAAAAAAAAAAQAgAAAADwEAAGRycy9ncm91&#10;cHNoYXBleG1sLnhtbFBLBQYAAAAABgAGAGABAADMAwAAAAA=&#10;">
                  <o:lock v:ext="edit" aspectratio="f"/>
                  <v:shape id="Freeform 3195" o:spid="_x0000_s1026" o:spt="100" style="position:absolute;left:2203;top:1687;height:1684;width:242;" fillcolor="#BBE0E3" filled="t" stroked="t" coordsize="1350,9433" o:gfxdata="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V&#10;PP8nwwAAAN0AAAAPAAAAAAAAAAEAIAAAACIAAABkcnMvZG93bnJldi54bWxQSwECFAAUAAAACACH&#10;TuJAMy8FnjsAAAA5AAAAEAAAAAAAAAABACAAAAASAQAAZHJzL3NoYXBleG1sLnhtbFBLBQYAAAAA&#10;BgAGAFsBAAC8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6" o:spid="_x0000_s1026" o:spt="100" style="position:absolute;left:2203;top:1687;height:1684;width:242;" filled="f" stroked="t" coordsize="1350,9433" o:gfxdata="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W8KK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197" o:spid="_x0000_s1026" o:spt="203" style="position:absolute;left:5102;top:3773;height:1943;width:242;" coordorigin="2934,1687" coordsize="242,1684" o:gfxdata="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KpSvdDBAAAA3QAAAA8AAAAAAAAAAQAgAAAAIgAAAGRycy9kb3ducmV2&#10;LnhtbFBLAQIUABQAAAAIAIdO4kAzLwWeOwAAADkAAAAVAAAAAAAAAAEAIAAAABABAABkcnMvZ3Jv&#10;dXBzaGFwZXhtbC54bWxQSwUGAAAAAAYABgBgAQAAzQMAAAAA&#10;">
                  <o:lock v:ext="edit" aspectratio="f"/>
                  <v:shape id="Freeform 3198" o:spid="_x0000_s1026" o:spt="100" style="position:absolute;left:2934;top:1687;height:1684;width:242;" fillcolor="#BBE0E3" filled="t" stroked="t" coordsize="1350,9433" o:gfxdata="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rV&#10;Z1P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199" o:spid="_x0000_s1026" o:spt="100" style="position:absolute;left:2934;top:1687;height:1684;width:242;" filled="f" stroked="t" coordsize="1350,9433" o:gfxdata="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Ripsb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00" o:spid="_x0000_s1026" o:spt="203" style="position:absolute;left:3390;top:3776;height:1943;width:243;" coordorigin="1222,1690" coordsize="243,1684" o:gfxdata="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FqAI6fBAAAA3QAAAA8AAAAAAAAAAQAgAAAAIgAAAGRycy9kb3ducmV2&#10;LnhtbFBLAQIUABQAAAAIAIdO4kAzLwWeOwAAADkAAAAVAAAAAAAAAAEAIAAAABABAABkcnMvZ3Jv&#10;dXBzaGFwZXhtbC54bWxQSwUGAAAAAAYABgBgAQAAzQMAAAAA&#10;">
                  <o:lock v:ext="edit" aspectratio="f"/>
                  <v:shape id="Freeform 3201" o:spid="_x0000_s1026" o:spt="100" style="position:absolute;left:1222;top:1690;height:1684;width:243;" fillcolor="#EAEAEA" filled="t" stroked="t" coordsize="1358,9433" o:gfxdata="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JUQS8AAAA&#10;3QAAAA8AAAAAAAAAAQAgAAAAIgAAAGRycy9kb3ducmV2LnhtbFBLAQIUABQAAAAIAIdO4kAzLwWe&#10;OwAAADkAAAAQAAAAAAAAAAEAIAAAAAsBAABkcnMvc2hhcGV4bWwueG1sUEsFBgAAAAAGAAYAWwEA&#10;ALUDAAAAAA==&#10;" path="m226,0c101,0,0,101,0,226l0,9207c0,9332,101,9433,226,9433l1132,9433c1257,9433,1358,9332,1358,9207l1358,226c1358,101,1257,0,1132,0l226,0xe">
                    <v:path o:connectlocs="40,0;0,40;0,1643;40,1684;202,1684;243,1643;243,40;202,0;40,0" o:connectangles="0,0,0,0,0,0,0,0,0"/>
                    <v:fill on="t" focussize="0,0"/>
                    <v:stroke weight="0pt" color="#000000" joinstyle="round"/>
                    <v:imagedata o:title=""/>
                    <o:lock v:ext="edit" aspectratio="f"/>
                  </v:shape>
                  <v:shape id="Freeform 3202" o:spid="_x0000_s1026" o:spt="100" style="position:absolute;left:1222;top:1690;height:1684;width:243;" filled="f" stroked="t" coordsize="1358,9433" o:gfxdata="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pJ2N74A&#10;AADdAAAADwAAAAAAAAABACAAAAAiAAAAZHJzL2Rvd25yZXYueG1sUEsBAhQAFAAAAAgAh07iQDMv&#10;BZ47AAAAOQAAABAAAAAAAAAAAQAgAAAADQEAAGRycy9zaGFwZXhtbC54bWxQSwUGAAAAAAYABgBb&#10;AQAAtwMAAAAA&#10;" path="m226,0c101,0,0,101,0,226l0,9207c0,9332,101,9433,226,9433l1132,9433c1257,9433,1358,9332,1358,9207l1358,226c1358,101,1257,0,1132,0l226,0xe">
                    <v:path o:connectlocs="40,0;0,40;0,1643;40,1684;202,1684;243,1643;243,40;202,0;40,0" o:connectangles="0,0,0,0,0,0,0,0,0"/>
                    <v:fill on="f" focussize="0,0"/>
                    <v:stroke weight="0.45pt" color="#000000" joinstyle="round" endcap="round"/>
                    <v:imagedata o:title=""/>
                    <o:lock v:ext="edit" aspectratio="f"/>
                  </v:shape>
                </v:group>
                <v:group id="Group 3203" o:spid="_x0000_s1026" o:spt="203" style="position:absolute;left:4123;top:3776;height:1943;width:242;" coordorigin="1955,1690" coordsize="242,1684" o:gfxdata="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4LzL9L0AAADdAAAADwAAAAAAAAABACAAAAAiAAAAZHJzL2Rvd25yZXYueG1s&#10;UEsBAhQAFAAAAAgAh07iQDMvBZ47AAAAOQAAABUAAAAAAAAAAQAgAAAADAEAAGRycy9ncm91cHNo&#10;YXBleG1sLnhtbFBLBQYAAAAABgAGAGABAADJAwAAAAA=&#10;">
                  <o:lock v:ext="edit" aspectratio="f"/>
                  <v:shape id="Freeform 3204" o:spid="_x0000_s1026" o:spt="100" style="position:absolute;left:1955;top:1690;height:1684;width:242;" fillcolor="#BBE0E3" filled="t" stroked="t" coordsize="1350,9433" o:gfxdata="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A7&#10;EXfCAAAA3QAAAA8AAAAAAAAAAQAgAAAAIgAAAGRycy9kb3ducmV2LnhtbFBLAQIUABQAAAAIAIdO&#10;4kAzLwWeOwAAADkAAAAQAAAAAAAAAAEAIAAAABEBAABkcnMvc2hhcGV4bWwueG1sUEsFBgAAAAAG&#10;AAYAWwEAALsDAAAAAA==&#10;" path="m225,0c101,0,0,101,0,225l0,9208c0,9332,101,9433,225,9433l1125,9433c1250,9433,1350,9332,1350,9208l1350,225c1350,101,1250,0,1125,0l225,0xe">
                    <v:path o:connectlocs="40,0;0,40;0,1643;40,1684;201,1684;242,1643;242,40;201,0;40,0" o:connectangles="0,0,0,0,0,0,0,0,0"/>
                    <v:fill on="t" focussize="0,0"/>
                    <v:stroke weight="0pt" color="#000000" joinstyle="round"/>
                    <v:imagedata o:title=""/>
                    <o:lock v:ext="edit" aspectratio="f"/>
                  </v:shape>
                  <v:shape id="Freeform 3205" o:spid="_x0000_s1026" o:spt="100" style="position:absolute;left:1955;top:1690;height:1684;width:242;" filled="f" stroked="t" coordsize="1350,9433" o:gfxdata="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bflb4A&#10;AADdAAAADwAAAAAAAAABACAAAAAiAAAAZHJzL2Rvd25yZXYueG1sUEsBAhQAFAAAAAgAh07iQDMv&#10;BZ47AAAAOQAAABAAAAAAAAAAAQAgAAAADQEAAGRycy9zaGFwZXhtbC54bWxQSwUGAAAAAAYABgBb&#10;AQAAtwMAAAAA&#10;" path="m225,0c101,0,0,101,0,225l0,9208c0,9332,101,9433,225,9433l1125,9433c1250,9433,1350,9332,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06" o:spid="_x0000_s1026" o:spt="203" style="position:absolute;left:4854;top:3776;height:1943;width:248;" coordorigin="2686,1690" coordsize="248,1684" o:gfxdata="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blWDvwAAAN0AAAAPAAAAAAAAAAEAIAAAACIAAABkcnMvZG93bnJldi54&#10;bWxQSwECFAAUAAAACACHTuJAMy8FnjsAAAA5AAAAFQAAAAAAAAABACAAAAAOAQAAZHJzL2dyb3Vw&#10;c2hhcGV4bWwueG1sUEsFBgAAAAAGAAYAYAEAAMsDAAAAAA==&#10;">
                  <o:lock v:ext="edit" aspectratio="f"/>
                  <v:shape id="Freeform 3207" o:spid="_x0000_s1026" o:spt="100" style="position:absolute;left:2686;top:1690;height:1684;width:248;" fillcolor="#BBE0E3" filled="t" stroked="t" coordsize="1383,9433" o:gfxdata="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P3XKg&#10;wAAAAN0AAAAPAAAAAAAAAAEAIAAAACIAAABkcnMvZG93bnJldi54bWxQSwECFAAUAAAACACHTuJA&#10;My8FnjsAAAA5AAAAEAAAAAAAAAABACAAAAAPAQAAZHJzL3NoYXBleG1sLnhtbFBLBQYAAAAABgAG&#10;AFsBAAC5AwAAAAA=&#10;" path="m230,0c103,0,0,103,0,230l0,9203c0,9330,103,9433,230,9433l1153,9433c1280,9433,1383,9330,1383,9203l1383,230c1383,103,1280,0,1153,0l230,0xe">
                    <v:path o:connectlocs="41,0;0,41;0,1642;41,1684;206,1684;248,1642;248,41;206,0;41,0" o:connectangles="0,0,0,0,0,0,0,0,0"/>
                    <v:fill on="t" focussize="0,0"/>
                    <v:stroke weight="0pt" color="#000000" joinstyle="round"/>
                    <v:imagedata o:title=""/>
                    <o:lock v:ext="edit" aspectratio="f"/>
                  </v:shape>
                  <v:shape id="Freeform 3208" o:spid="_x0000_s1026" o:spt="100" style="position:absolute;left:2686;top:1690;height:1684;width:248;" filled="f" stroked="t" coordsize="1383,9433" o:gfxdata="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ox8x28AAAA&#10;3QAAAA8AAAAAAAAAAQAgAAAAIgAAAGRycy9kb3ducmV2LnhtbFBLAQIUABQAAAAIAIdO4kAzLwWe&#10;OwAAADkAAAAQAAAAAAAAAAEAIAAAAAsBAABkcnMvc2hhcGV4bWwueG1sUEsFBgAAAAAGAAYAWwEA&#10;ALUDAAAAAA==&#10;" path="m230,0c103,0,0,103,0,230l0,9203c0,9330,103,9433,230,9433l1153,9433c1280,9433,1383,9330,1383,9203l1383,230c1383,103,1280,0,1153,0l230,0xe">
                    <v:path o:connectlocs="41,0;0,41;0,1642;41,1684;206,1684;248,1642;248,41;206,0;41,0" o:connectangles="0,0,0,0,0,0,0,0,0"/>
                    <v:fill on="f" focussize="0,0"/>
                    <v:stroke weight="0.45pt" color="#000000" joinstyle="round" endcap="round"/>
                    <v:imagedata o:title=""/>
                    <o:lock v:ext="edit" aspectratio="f"/>
                  </v:shape>
                </v:group>
                <v:group id="Group 3209" o:spid="_x0000_s1026" o:spt="203" style="position:absolute;left:3148;top:3776;height:1943;width:242;" coordorigin="980,1690" coordsize="242,1684" o:gfxdata="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AAZ9hvBAAAA3QAAAA8AAAAAAAAAAQAgAAAAIgAAAGRycy9kb3ducmV2&#10;LnhtbFBLAQIUABQAAAAIAIdO4kAzLwWeOwAAADkAAAAVAAAAAAAAAAEAIAAAABABAABkcnMvZ3Jv&#10;dXBzaGFwZXhtbC54bWxQSwUGAAAAAAYABgBgAQAAzQMAAAAA&#10;">
                  <o:lock v:ext="edit" aspectratio="f"/>
                  <v:shape id="Freeform 3210" o:spid="_x0000_s1026" o:spt="100" style="position:absolute;left:980;top:1690;height:1684;width:242;" fillcolor="#EAEAEA" filled="t" stroked="t" coordsize="1350,9433" o:gfxdata="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aK9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11" o:spid="_x0000_s1026" o:spt="100" style="position:absolute;left:980;top:1690;height:1684;width:242;" filled="f" stroked="t" coordsize="1350,9433" o:gfxdata="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h7of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12" o:spid="_x0000_s1026" o:spt="203" style="position:absolute;left:3880;top:3776;height:1943;width:243;" coordorigin="1712,1690" coordsize="243,1684" o:gfxdata="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xhmJpvwAAAN0AAAAPAAAAAAAAAAEAIAAAACIAAABkcnMvZG93bnJldi54&#10;bWxQSwECFAAUAAAACACHTuJAMy8FnjsAAAA5AAAAFQAAAAAAAAABACAAAAAOAQAAZHJzL2dyb3Vw&#10;c2hhcGV4bWwueG1sUEsFBgAAAAAGAAYAYAEAAMsDAAAAAA==&#10;">
                  <o:lock v:ext="edit" aspectratio="f"/>
                  <v:shape id="Freeform 3213" o:spid="_x0000_s1026" o:spt="100" style="position:absolute;left:1712;top:1690;height:1684;width:243;" fillcolor="#BBE0E3" filled="t" stroked="t" coordsize="1358,9433" o:gfxdata="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Z2aNbgAAADdAAAA&#10;DwAAAAAAAAABACAAAAAiAAAAZHJzL2Rvd25yZXYueG1sUEsBAhQAFAAAAAgAh07iQDMvBZ47AAAA&#10;OQAAABAAAAAAAAAAAQAgAAAABwEAAGRycy9zaGFwZXhtbC54bWxQSwUGAAAAAAYABgBbAQAAsQMA&#10;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14" o:spid="_x0000_s1026" o:spt="100" style="position:absolute;left:1712;top:1690;height:1684;width:243;" filled="f" stroked="t" coordsize="1358,9433" o:gfxdata="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Oicy7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15" o:spid="_x0000_s1026" o:spt="203" style="position:absolute;left:4613;top:3776;height:1943;width:241;" coordorigin="2445,1690" coordsize="241,1684" o:gfxdata="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Pr7ZsXBAAAA3QAAAA8AAAAAAAAAAQAgAAAAIgAAAGRycy9kb3ducmV2&#10;LnhtbFBLAQIUABQAAAAIAIdO4kAzLwWeOwAAADkAAAAVAAAAAAAAAAEAIAAAABABAABkcnMvZ3Jv&#10;dXBzaGFwZXhtbC54bWxQSwUGAAAAAAYABgBgAQAAzQMAAAAA&#10;">
                  <o:lock v:ext="edit" aspectratio="f"/>
                  <v:shape id="Freeform 3216" o:spid="_x0000_s1026" o:spt="100" style="position:absolute;left:2445;top:1690;height:1684;width:241;" fillcolor="#BBE0E3" filled="t" stroked="t" coordsize="1350,9433" o:gfxdata="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fLxGwwAAAN0AAAAPAAAAAAAAAAEAIAAAACIAAABkcnMvZG93bnJldi54bWxQSwECFAAUAAAACACH&#10;TuJAMy8FnjsAAAA5AAAAEAAAAAAAAAABACAAAAASAQAAZHJzL3NoYXBleG1sLnhtbFBLBQYAAAAA&#10;BgAGAFsBAAC8AwAAAAA=&#10;" path="m225,0c101,0,0,101,0,225l0,9208c0,9332,101,9433,225,9433l1125,9433c1249,9433,1350,9332,1350,9208l1350,225c1350,101,1249,0,1125,0l225,0xe">
                    <v:path o:connectlocs="40,0;0,40;0,1643;40,1684;200,1684;241,1643;241,40;200,0;40,0" o:connectangles="0,0,0,0,0,0,0,0,0"/>
                    <v:fill on="t" focussize="0,0"/>
                    <v:stroke weight="0pt" color="#000000" joinstyle="round"/>
                    <v:imagedata o:title=""/>
                    <o:lock v:ext="edit" aspectratio="f"/>
                  </v:shape>
                  <v:shape id="Freeform 3217" o:spid="_x0000_s1026" o:spt="100" style="position:absolute;left:2445;top:1690;height:1684;width:241;" filled="f" stroked="t" coordsize="1350,9433" o:gfxdata="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op0p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0,1684;241,1643;241,40;200,0;40,0" o:connectangles="0,0,0,0,0,0,0,0,0"/>
                    <v:fill on="f" focussize="0,0"/>
                    <v:stroke weight="0.45pt" color="#000000" joinstyle="round" endcap="round"/>
                    <v:imagedata o:title=""/>
                    <o:lock v:ext="edit" aspectratio="f"/>
                  </v:shape>
                </v:group>
                <v:group id="Group 3218" o:spid="_x0000_s1026" o:spt="203" style="position:absolute;left:5344;top:3773;height:1943;width:242;" coordorigin="3176,1687" coordsize="242,1684" o:gfxdata="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HUS/rHBAAAA3QAAAA8AAAAAAAAAAQAgAAAAIgAAAGRycy9kb3ducmV2&#10;LnhtbFBLAQIUABQAAAAIAIdO4kAzLwWeOwAAADkAAAAVAAAAAAAAAAEAIAAAABABAABkcnMvZ3Jv&#10;dXBzaGFwZXhtbC54bWxQSwUGAAAAAAYABgBgAQAAzQMAAAAA&#10;">
                  <o:lock v:ext="edit" aspectratio="f"/>
                  <v:shape id="Freeform 3219" o:spid="_x0000_s1026" o:spt="100" style="position:absolute;left:3176;top:1687;height:1684;width:242;" fillcolor="#BBE0E3" filled="t" stroked="t" coordsize="1350,9433" o:gfxdata="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oL&#10;H97CAAAA3QAAAA8AAAAAAAAAAQAgAAAAIgAAAGRycy9kb3ducmV2LnhtbFBLAQIUABQAAAAIAIdO&#10;4kAzLwWeOwAAADkAAAAQAAAAAAAAAAEAIAAAABEBAABkcnMvc2hhcGV4bWwueG1sUEsFBgAAAAAG&#10;AAYAWwEAALsDA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0" o:spid="_x0000_s1026" o:spt="100" style="position:absolute;left:3176;top:1687;height:1684;width:242;" filled="f" stroked="t" coordsize="1350,9433" o:gfxdata="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ljq0L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1" o:spid="_x0000_s1026" o:spt="203" style="position:absolute;left:6075;top:3773;height:1943;width:242;" coordorigin="3907,1687" coordsize="242,1684" o:gfxdata="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bE1EvvAAAAN0AAAAPAAAAAAAAAAEAIAAAACIAAABkcnMvZG93bnJldi54bWxQ&#10;SwECFAAUAAAACACHTuJAMy8FnjsAAAA5AAAAFQAAAAAAAAABACAAAAALAQAAZHJzL2dyb3Vwc2hh&#10;cGV4bWwueG1sUEsFBgAAAAAGAAYAYAEAAMgDAAAAAA==&#10;">
                  <o:lock v:ext="edit" aspectratio="f"/>
                  <v:shape id="Freeform 3222" o:spid="_x0000_s1026" o:spt="100" style="position:absolute;left:3907;top:1687;height:1684;width:242;" fillcolor="#EAEAEA" filled="t" stroked="t" coordsize="1350,9433" o:gfxdata="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IIYbsAAADd&#10;AAAADwAAAAAAAAABACAAAAAiAAAAZHJzL2Rvd25yZXYueG1sUEsBAhQAFAAAAAgAh07iQDMvBZ47&#10;AAAAOQAAABAAAAAAAAAAAQAgAAAACgEAAGRycy9zaGFwZXhtbC54bWxQSwUGAAAAAAYABgBbAQAA&#10;tAMAAAAA&#10;" path="m225,0c101,0,0,101,0,225l0,9208c0,9333,101,9433,225,9433l1125,9433c1250,9433,1350,9333,1350,9208l1350,225c1350,101,1250,0,1125,0l225,0xe">
                    <v:path o:connectlocs="40,0;0,40;0,1643;40,1684;201,1684;242,1643;242,40;201,0;40,0" o:connectangles="0,0,0,0,0,0,0,0,0"/>
                    <v:fill on="t" focussize="0,0"/>
                    <v:stroke weight="0pt" color="#000000" joinstyle="round"/>
                    <v:imagedata o:title=""/>
                    <o:lock v:ext="edit" aspectratio="f"/>
                  </v:shape>
                  <v:shape id="Freeform 3223" o:spid="_x0000_s1026" o:spt="100" style="position:absolute;left:3907;top:1687;height:1684;width:242;" filled="f" stroked="t" coordsize="1350,9433" o:gfxdata="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n0o0vQAA&#10;AN0AAAAPAAAAAAAAAAEAIAAAACIAAABkcnMvZG93bnJldi54bWxQSwECFAAUAAAACACHTuJAMy8F&#10;njsAAAA5AAAAEAAAAAAAAAABACAAAAAMAQAAZHJzL3NoYXBleG1sLnhtbFBLBQYAAAAABgAGAFsB&#10;AAC2AwAAAAA=&#10;" path="m225,0c101,0,0,101,0,225l0,9208c0,9333,101,9433,225,9433l1125,9433c1250,9433,1350,9333,1350,9208l1350,225c1350,101,1250,0,1125,0l225,0xe">
                    <v:path o:connectlocs="40,0;0,40;0,1643;40,1684;201,1684;242,1643;242,40;201,0;40,0" o:connectangles="0,0,0,0,0,0,0,0,0"/>
                    <v:fill on="f" focussize="0,0"/>
                    <v:stroke weight="0.45pt" color="#000000" joinstyle="round" endcap="round"/>
                    <v:imagedata o:title=""/>
                    <o:lock v:ext="edit" aspectratio="f"/>
                  </v:shape>
                </v:group>
                <v:group id="Group 3224" o:spid="_x0000_s1026" o:spt="203" style="position:absolute;left:6808;top:3773;height:1943;width:242;" coordorigin="4640,1687" coordsize="242,1684" o:gfxdata="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B8AivwAAAN0AAAAPAAAAAAAAAAEAIAAAACIAAABkcnMvZG93bnJldi54&#10;bWxQSwECFAAUAAAACACHTuJAMy8FnjsAAAA5AAAAFQAAAAAAAAABACAAAAAOAQAAZHJzL2dyb3Vw&#10;c2hhcGV4bWwueG1sUEsFBgAAAAAGAAYAYAEAAMsDAAAAAA==&#10;">
                  <o:lock v:ext="edit" aspectratio="f"/>
                  <v:shape id="Freeform 3225" o:spid="_x0000_s1026" o:spt="100" style="position:absolute;left:4640;top:1687;height:1684;width:242;" fillcolor="#EAEAEA" filled="t" stroked="t" coordsize="1350,9433" o:gfxdata="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x6KKAugAAAN0A&#10;AAAPAAAAAAAAAAEAIAAAACIAAABkcnMvZG93bnJldi54bWxQSwECFAAUAAAACACHTuJAMy8FnjsA&#10;AAA5AAAAEAAAAAAAAAABACAAAAAJAQAAZHJzL3NoYXBleG1sLnhtbFBLBQYAAAAABgAGAFsBAACz&#10;AwAAAAA=&#10;" path="m225,0c101,0,0,101,0,225l0,9208c0,9333,101,9433,225,9433l1125,9433c1249,9433,1350,9333,1350,9208l1350,225c1350,101,1249,0,1125,0l225,0xe">
                    <v:path o:connectlocs="40,0;0,40;0,1643;40,1684;201,1684;242,1643;242,40;201,0;40,0" o:connectangles="0,0,0,0,0,0,0,0,0"/>
                    <v:fill on="t" focussize="0,0"/>
                    <v:stroke weight="0pt" color="#000000" joinstyle="round"/>
                    <v:imagedata o:title=""/>
                    <o:lock v:ext="edit" aspectratio="f"/>
                  </v:shape>
                  <v:shape id="Freeform 3226" o:spid="_x0000_s1026" o:spt="100" style="position:absolute;left:4640;top:1687;height:1684;width:242;" filled="f" stroked="t" coordsize="1350,9433" o:gfxdata="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U3UQ74A&#10;AADdAAAADwAAAAAAAAABACAAAAAiAAAAZHJzL2Rvd25yZXYueG1sUEsBAhQAFAAAAAgAh07iQDMv&#10;BZ47AAAAOQAAABAAAAAAAAAAAQAgAAAADQEAAGRycy9zaGFwZXhtbC54bWxQSwUGAAAAAAYABgBb&#10;AQAAtwMAAAAA&#10;" path="m225,0c101,0,0,101,0,225l0,9208c0,9333,101,9433,225,9433l1125,9433c1249,9433,1350,9333,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27" o:spid="_x0000_s1026" o:spt="203" style="position:absolute;left:7540;top:3773;height:1944;width:242;" coordorigin="5372,1687" coordsize="242,1685" o:gfxdata="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WnBjusAAAADdAAAADwAAAAAAAAABACAAAAAiAAAAZHJzL2Rvd25yZXYu&#10;eG1sUEsBAhQAFAAAAAgAh07iQDMvBZ47AAAAOQAAABUAAAAAAAAAAQAgAAAADwEAAGRycy9ncm91&#10;cHNoYXBleG1sLnhtbFBLBQYAAAAABgAGAGABAADMAwAAAAA=&#10;">
                  <o:lock v:ext="edit" aspectratio="f"/>
                  <v:shape id="Freeform 3228" o:spid="_x0000_s1026" o:spt="100" style="position:absolute;left:5372;top:1687;height:1685;width:242;" fillcolor="#EAEAEA" filled="t" stroked="t" coordsize="675,4717" o:gfxdata="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Xd7y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29" o:spid="_x0000_s1026" o:spt="100" style="position:absolute;left:5372;top:1687;height:1685;width:242;" filled="f" stroked="t" coordsize="675,4717" o:gfxdata="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7gL168AAAA&#10;3QAAAA8AAAAAAAAAAQAgAAAAIgAAAGRycy9kb3ducmV2LnhtbFBLAQIUABQAAAAIAIdO4kAzLwWe&#10;OwAAADkAAAAQAAAAAAAAAAEAIAAAAAsBAABkcnMvc2hhcGV4bWwueG1sUEsFBgAAAAAGAAYAWwEA&#10;ALUDA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30" o:spid="_x0000_s1026" o:spt="203" style="position:absolute;left:5828;top:3776;height:1943;width:243;" coordorigin="3660,1690" coordsize="243,1684" o:gfxdata="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qL9zcAAAADdAAAADwAAAAAAAAABACAAAAAiAAAAZHJzL2Rvd25yZXYu&#10;eG1sUEsBAhQAFAAAAAgAh07iQDMvBZ47AAAAOQAAABUAAAAAAAAAAQAgAAAADwEAAGRycy9ncm91&#10;cHNoYXBleG1sLnhtbFBLBQYAAAAABgAGAGABAADMAwAAAAA=&#10;">
                  <o:lock v:ext="edit" aspectratio="f"/>
                  <v:shape id="Freeform 3231" o:spid="_x0000_s1026" o:spt="100" style="position:absolute;left:3660;top:1690;height:1684;width:243;" fillcolor="#EAEAEA" filled="t" stroked="t" coordsize="1358,9433" o:gfxdata="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2uPbrsAAADd&#10;AAAADwAAAAAAAAABACAAAAAiAAAAZHJzL2Rvd25yZXYueG1sUEsBAhQAFAAAAAgAh07iQDMvBZ47&#10;AAAAOQAAABAAAAAAAAAAAQAgAAAACgEAAGRycy9zaGFwZXhtbC54bWxQSwUGAAAAAAYABgBbAQAA&#10;tAMAAAAA&#10;" path="m227,0c102,0,0,101,0,226l0,9207c0,9332,102,9433,227,9433l1132,9433c1257,9433,1358,9332,1358,9207l1358,226c1358,101,1257,0,1132,0l227,0xe">
                    <v:path o:connectlocs="40,0;0,40;0,1643;40,1684;202,1684;243,1643;243,40;202,0;40,0" o:connectangles="0,0,0,0,0,0,0,0,0"/>
                    <v:fill on="t" focussize="0,0"/>
                    <v:stroke weight="0pt" color="#000000" joinstyle="round"/>
                    <v:imagedata o:title=""/>
                    <o:lock v:ext="edit" aspectratio="f"/>
                  </v:shape>
                  <v:shape id="Freeform 3232" o:spid="_x0000_s1026" o:spt="100" style="position:absolute;left:3660;top:1690;height:1684;width:243;" filled="f" stroked="t" coordsize="1358,9433" o:gfxdata="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rCoXb4A&#10;AADdAAAADwAAAAAAAAABACAAAAAiAAAAZHJzL2Rvd25yZXYueG1sUEsBAhQAFAAAAAgAh07iQDMv&#10;BZ47AAAAOQAAABAAAAAAAAAAAQAgAAAADQEAAGRycy9zaGFwZXhtbC54bWxQSwUGAAAAAAYABgBb&#10;AQAAtwMAAAAA&#10;" path="m227,0c102,0,0,101,0,226l0,9207c0,9332,102,9433,227,9433l1132,9433c1257,9433,1358,9332,1358,9207l1358,226c1358,101,1257,0,1132,0l227,0xe">
                    <v:path o:connectlocs="40,0;0,40;0,1643;40,1684;202,1684;243,1643;243,40;202,0;40,0" o:connectangles="0,0,0,0,0,0,0,0,0"/>
                    <v:fill on="f" focussize="0,0"/>
                    <v:stroke weight="0.45pt" color="#000000" joinstyle="round" endcap="round"/>
                    <v:imagedata o:title=""/>
                    <o:lock v:ext="edit" aspectratio="f"/>
                  </v:shape>
                </v:group>
                <v:group id="Group 3233" o:spid="_x0000_s1026" o:spt="203" style="position:absolute;left:6561;top:3776;height:1943;width:242;" coordorigin="4393,1690" coordsize="242,1684" o:gfxdata="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gkvNkvAAAAN0AAAAPAAAAAAAAAAEAIAAAACIAAABkcnMvZG93bnJldi54bWxQ&#10;SwECFAAUAAAACACHTuJAMy8FnjsAAAA5AAAAFQAAAAAAAAABACAAAAALAQAAZHJzL2dyb3Vwc2hh&#10;cGV4bWwueG1sUEsFBgAAAAAGAAYAYAEAAMgDAAAAAA==&#10;">
                  <o:lock v:ext="edit" aspectratio="f"/>
                  <v:shape id="Freeform 3234" o:spid="_x0000_s1026" o:spt="100" style="position:absolute;left:4393;top:1690;height:1684;width:242;" fillcolor="#EAEAEA" filled="t" stroked="t" coordsize="1350,9433" o:gfxdata="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OOqKrsAAADd&#10;AAAADwAAAAAAAAABACAAAAAiAAAAZHJzL2Rvd25yZXYueG1sUEsBAhQAFAAAAAgAh07iQDMvBZ47&#10;AAAAOQAAABAAAAAAAAAAAQAgAAAACgEAAGRycy9zaGFwZXhtbC54bWxQSwUGAAAAAAYABgBbAQAA&#10;tAM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35" o:spid="_x0000_s1026" o:spt="100" style="position:absolute;left:4393;top:1690;height:1684;width:242;" filled="f" stroked="t" coordsize="1350,9433" o:gfxdata="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9jnBb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36" o:spid="_x0000_s1026" o:spt="203" style="position:absolute;left:7292;top:3776;height:1943;width:248;" coordorigin="5124,1690" coordsize="248,1684" o:gfxdata="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QQG0TvwAAAN0AAAAPAAAAAAAAAAEAIAAAACIAAABkcnMvZG93bnJldi54&#10;bWxQSwECFAAUAAAACACHTuJAMy8FnjsAAAA5AAAAFQAAAAAAAAABACAAAAAOAQAAZHJzL2dyb3Vw&#10;c2hhcGV4bWwueG1sUEsFBgAAAAAGAAYAYAEAAMsDAAAAAA==&#10;">
                  <o:lock v:ext="edit" aspectratio="f"/>
                  <v:shape id="Freeform 3237" o:spid="_x0000_s1026" o:spt="100" style="position:absolute;left:5124;top:1690;height:1684;width:248;" fillcolor="#EAEAEA" filled="t" stroked="t" coordsize="1383,9433" o:gfxdata="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Z1UuS/&#10;AAAA3QAAAA8AAAAAAAAAAQAgAAAAIgAAAGRycy9kb3ducmV2LnhtbFBLAQIUABQAAAAIAIdO4kAz&#10;LwWeOwAAADkAAAAQAAAAAAAAAAEAIAAAAA4BAABkcnMvc2hhcGV4bWwueG1sUEsFBgAAAAAGAAYA&#10;WwEAALgDAAAAAA==&#10;" path="m231,0c103,0,0,103,0,230l0,9203c0,9330,103,9433,231,9433l1153,9433c1280,9433,1383,9330,1383,9203l1383,230c1383,103,1280,0,1153,0l231,0xe">
                    <v:path o:connectlocs="41,0;0,41;0,1642;41,1684;206,1684;248,1642;248,41;206,0;41,0" o:connectangles="0,0,0,0,0,0,0,0,0"/>
                    <v:fill on="t" focussize="0,0"/>
                    <v:stroke weight="0pt" color="#000000" joinstyle="round"/>
                    <v:imagedata o:title=""/>
                    <o:lock v:ext="edit" aspectratio="f"/>
                  </v:shape>
                  <v:shape id="Freeform 3238" o:spid="_x0000_s1026" o:spt="100" style="position:absolute;left:5124;top:1690;height:1684;width:248;" filled="f" stroked="t" coordsize="1383,9433" o:gfxdata="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H8uNvQAA&#10;AN0AAAAPAAAAAAAAAAEAIAAAACIAAABkcnMvZG93bnJldi54bWxQSwECFAAUAAAACACHTuJAMy8F&#10;njsAAAA5AAAAEAAAAAAAAAABACAAAAAMAQAAZHJzL3NoYXBleG1sLnhtbFBLBQYAAAAABgAGAFsB&#10;AAC2AwAAAAA=&#10;" path="m231,0c103,0,0,103,0,230l0,9203c0,9330,103,9433,231,9433l1153,9433c1280,9433,1383,9330,1383,9203l1383,230c1383,103,1280,0,1153,0l231,0xe">
                    <v:path o:connectlocs="41,0;0,41;0,1642;41,1684;206,1684;248,1642;248,41;206,0;41,0" o:connectangles="0,0,0,0,0,0,0,0,0"/>
                    <v:fill on="f" focussize="0,0"/>
                    <v:stroke weight="0.45pt" color="#000000" joinstyle="round" endcap="round"/>
                    <v:imagedata o:title=""/>
                    <o:lock v:ext="edit" aspectratio="f"/>
                  </v:shape>
                </v:group>
                <v:group id="Group 3239" o:spid="_x0000_s1026" o:spt="203" style="position:absolute;left:5586;top:3776;height:1943;width:242;" coordorigin="3418,1690" coordsize="242,1684" o:gfxdata="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QDfOi8AAAADdAAAADwAAAAAAAAABACAAAAAiAAAAZHJzL2Rvd25yZXYu&#10;eG1sUEsBAhQAFAAAAAgAh07iQDMvBZ47AAAAOQAAABUAAAAAAAAAAQAgAAAADwEAAGRycy9ncm91&#10;cHNoYXBleG1sLnhtbFBLBQYAAAAABgAGAGABAADMAwAAAAA=&#10;">
                  <o:lock v:ext="edit" aspectratio="f"/>
                  <v:shape id="Freeform 3240" o:spid="_x0000_s1026" o:spt="100" style="position:absolute;left:3418;top:1690;height:1684;width:242;" fillcolor="#BBE0E3" filled="t" stroked="t" coordsize="1350,9433" o:gfxdata="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Cw&#10;FAjCAAAA3QAAAA8AAAAAAAAAAQAgAAAAIgAAAGRycy9kb3ducmV2LnhtbFBLAQIUABQAAAAIAIdO&#10;4kAzLwWeOwAAADkAAAAQAAAAAAAAAAEAIAAAABEBAABkcnMvc2hhcGV4bWwueG1sUEsFBgAAAAAG&#10;AAYAWwEAALsDA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1" o:spid="_x0000_s1026" o:spt="100" style="position:absolute;left:3418;top:1690;height:1684;width:242;" filled="f" stroked="t" coordsize="1350,9433" o:gfxdata="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MNDvvQAA&#10;AN0AAAAPAAAAAAAAAAEAIAAAACIAAABkcnMvZG93bnJldi54bWxQSwECFAAUAAAACACHTuJAMy8F&#10;njsAAAA5AAAAEAAAAAAAAAABACAAAAAMAQAAZHJzL3NoYXBleG1sLnhtbFBLBQYAAAAABgAGAFsB&#10;AAC2Aw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2" o:spid="_x0000_s1026" o:spt="203" style="position:absolute;left:6317;top:3776;height:1943;width:244;" coordorigin="4149,1690" coordsize="244,1684" o:gfxdata="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xqFr5vwAAAN0AAAAPAAAAAAAAAAEAIAAAACIAAABkcnMvZG93bnJldi54&#10;bWxQSwECFAAUAAAACACHTuJAMy8FnjsAAAA5AAAAFQAAAAAAAAABACAAAAAOAQAAZHJzL2dyb3Vw&#10;c2hhcGV4bWwueG1sUEsFBgAAAAAGAAYAYAEAAMsDAAAAAA==&#10;">
                  <o:lock v:ext="edit" aspectratio="f"/>
                  <v:shape id="Freeform 3243" o:spid="_x0000_s1026" o:spt="100" style="position:absolute;left:4149;top:1690;height:1684;width:244;" fillcolor="#EAEAEA" filled="t" stroked="t" coordsize="1359,9433" o:gfxdata="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3noyG5AAAA3QAA&#10;AA8AAAAAAAAAAQAgAAAAIgAAAGRycy9kb3ducmV2LnhtbFBLAQIUABQAAAAIAIdO4kAzLwWeOwAA&#10;ADkAAAAQAAAAAAAAAAEAIAAAAAgBAABkcnMvc2hhcGV4bWwueG1sUEsFBgAAAAAGAAYAWwEAALID&#10;AAAAAA==&#10;" path="m227,0c102,0,0,101,0,226l0,9207c0,9332,102,9433,227,9433l1132,9433c1257,9433,1359,9332,1359,9207l1359,226c1359,101,1257,0,1132,0l227,0xe">
                    <v:path o:connectlocs="40,0;0,40;0,1643;40,1684;203,1684;244,1643;244,40;203,0;40,0" o:connectangles="0,0,0,0,0,0,0,0,0"/>
                    <v:fill on="t" focussize="0,0"/>
                    <v:stroke weight="0pt" color="#000000" joinstyle="round"/>
                    <v:imagedata o:title=""/>
                    <o:lock v:ext="edit" aspectratio="f"/>
                  </v:shape>
                  <v:shape id="Freeform 3244" o:spid="_x0000_s1026" o:spt="100" style="position:absolute;left:4149;top:1690;height:1684;width:244;" filled="f" stroked="t" coordsize="1359,9433" o:gfxdata="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usHNe/&#10;AAAA3QAAAA8AAAAAAAAAAQAgAAAAIgAAAGRycy9kb3ducmV2LnhtbFBLAQIUABQAAAAIAIdO4kAz&#10;LwWeOwAAADkAAAAQAAAAAAAAAAEAIAAAAA4BAABkcnMvc2hhcGV4bWwueG1sUEsFBgAAAAAGAAYA&#10;WwEAALgDAAAAAA==&#10;" path="m227,0c102,0,0,101,0,226l0,9207c0,9332,102,9433,227,9433l1132,9433c1257,9433,1359,9332,1359,9207l1359,226c1359,101,1257,0,1132,0l227,0xe">
                    <v:path o:connectlocs="40,0;0,40;0,1643;40,1684;203,1684;244,1643;244,40;203,0;40,0" o:connectangles="0,0,0,0,0,0,0,0,0"/>
                    <v:fill on="f" focussize="0,0"/>
                    <v:stroke weight="0.45pt" color="#000000" joinstyle="round" endcap="round"/>
                    <v:imagedata o:title=""/>
                    <o:lock v:ext="edit" aspectratio="f"/>
                  </v:shape>
                </v:group>
                <v:group id="Group 3245" o:spid="_x0000_s1026" o:spt="203" style="position:absolute;left:7050;top:3776;height:1943;width:242;" coordorigin="4882,1690" coordsize="242,1684" o:gfxdata="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YAI1vwAAAN0AAAAPAAAAAAAAAAEAIAAAACIAAABkcnMvZG93bnJldi54&#10;bWxQSwECFAAUAAAACACHTuJAMy8FnjsAAAA5AAAAFQAAAAAAAAABACAAAAAOAQAAZHJzL2dyb3Vw&#10;c2hhcGV4bWwueG1sUEsFBgAAAAAGAAYAYAEAAMsDAAAAAA==&#10;">
                  <o:lock v:ext="edit" aspectratio="f"/>
                  <v:shape id="Freeform 3246" o:spid="_x0000_s1026" o:spt="100" style="position:absolute;left:4882;top:1690;height:1684;width:242;" fillcolor="#EAEAEA" filled="t" stroked="t" coordsize="1350,9433" o:gfxdata="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VEVt7ugAAAN0A&#10;AAAPAAAAAAAAAAEAIAAAACIAAABkcnMvZG93bnJldi54bWxQSwECFAAUAAAACACHTuJAMy8FnjsA&#10;AAA5AAAAEAAAAAAAAAABACAAAAAJAQAAZHJzL3NoYXBleG1sLnhtbFBLBQYAAAAABgAGAFsBAACz&#10;AwAAAAA=&#10;" path="m225,0c101,0,0,101,0,225l0,9208c0,9332,101,9433,225,9433l1125,9433c1249,9433,1350,9332,1350,9208l1350,225c1350,101,1249,0,1125,0l225,0xe">
                    <v:path o:connectlocs="40,0;0,40;0,1643;40,1684;201,1684;242,1643;242,40;201,0;40,0" o:connectangles="0,0,0,0,0,0,0,0,0"/>
                    <v:fill on="t" focussize="0,0"/>
                    <v:stroke weight="0pt" color="#000000" joinstyle="round"/>
                    <v:imagedata o:title=""/>
                    <o:lock v:ext="edit" aspectratio="f"/>
                  </v:shape>
                  <v:shape id="Freeform 3247" o:spid="_x0000_s1026" o:spt="100" style="position:absolute;left:4882;top:1690;height:1684;width:242;" filled="f" stroked="t" coordsize="1350,9433" o:gfxdata="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REQV74A&#10;AADdAAAADwAAAAAAAAABACAAAAAiAAAAZHJzL2Rvd25yZXYueG1sUEsBAhQAFAAAAAgAh07iQDMv&#10;BZ47AAAAOQAAABAAAAAAAAAAAQAgAAAADQEAAGRycy9zaGFwZXhtbC54bWxQSwUGAAAAAAYABgBb&#10;AQAAtwMAAAAA&#10;" path="m225,0c101,0,0,101,0,225l0,9208c0,9332,101,9433,225,9433l1125,9433c1249,9433,1350,9332,1350,9208l1350,225c1350,101,1249,0,1125,0l225,0xe">
                    <v:path o:connectlocs="40,0;0,40;0,1643;40,1684;201,1684;242,1643;242,40;201,0;40,0" o:connectangles="0,0,0,0,0,0,0,0,0"/>
                    <v:fill on="f" focussize="0,0"/>
                    <v:stroke weight="0.45pt" color="#000000" joinstyle="round" endcap="round"/>
                    <v:imagedata o:title=""/>
                    <o:lock v:ext="edit" aspectratio="f"/>
                  </v:shape>
                </v:group>
                <v:group id="Group 3248" o:spid="_x0000_s1026" o:spt="203" style="position:absolute;left:7782;top:3773;height:1944;width:242;" coordorigin="5614,1687" coordsize="242,1685" o:gfxdata="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H6JmkG+AAAA3QAAAA8AAAAAAAAAAQAgAAAAIgAAAGRycy9kb3ducmV2Lnht&#10;bFBLAQIUABQAAAAIAIdO4kAzLwWeOwAAADkAAAAVAAAAAAAAAAEAIAAAAA0BAABkcnMvZ3JvdXBz&#10;aGFwZXhtbC54bWxQSwUGAAAAAAYABgBgAQAAygMAAAAA&#10;">
                  <o:lock v:ext="edit" aspectratio="f"/>
                  <v:shape id="Freeform 3249" o:spid="_x0000_s1026" o:spt="100" style="position:absolute;left:5614;top:1687;height:1685;width:242;" fillcolor="#EAEAEA" filled="t" stroked="t" coordsize="675,4717" o:gfxdata="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OhzlvQAA&#10;AN0AAAAPAAAAAAAAAAEAIAAAACIAAABkcnMvZG93bnJldi54bWxQSwECFAAUAAAACACHTuJAMy8F&#10;njsAAAA5AAAAEAAAAAAAAAABACAAAAAMAQAAZHJzL3NoYXBleG1sLnhtbFBLBQYAAAAABgAGAFsB&#10;AAC2Aw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0" o:spid="_x0000_s1026" o:spt="100" style="position:absolute;left:5614;top:1687;height:1685;width:242;" filled="f" stroked="t" coordsize="675,4717" o:gfxdata="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hnWpb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1" o:spid="_x0000_s1026" o:spt="203" style="position:absolute;left:8513;top:3773;height:1944;width:242;" coordorigin="6345,1687" coordsize="242,1685" o:gfxdata="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kIg1370AAADdAAAADwAAAAAAAAABACAAAAAiAAAAZHJzL2Rvd25yZXYueG1s&#10;UEsBAhQAFAAAAAgAh07iQDMvBZ47AAAAOQAAABUAAAAAAAAAAQAgAAAADAEAAGRycy9ncm91cHNo&#10;YXBleG1sLnhtbFBLBQYAAAAABgAGAGABAADJAwAAAAA=&#10;">
                  <o:lock v:ext="edit" aspectratio="f"/>
                  <v:shape id="Freeform 3252" o:spid="_x0000_s1026" o:spt="100" style="position:absolute;left:6345;top:1687;height:1685;width:242;" fillcolor="#EAEAEA" filled="t" stroked="t" coordsize="675,4717" o:gfxdata="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aWIl74A&#10;AADdAAAADwAAAAAAAAABACAAAAAiAAAAZHJzL2Rvd25yZXYueG1sUEsBAhQAFAAAAAgAh07iQDMv&#10;BZ47AAAAOQAAABAAAAAAAAAAAQAgAAAADQEAAGRycy9zaGFwZXhtbC54bWxQSwUGAAAAAAYABgBb&#10;AQAAtwMAAAAA&#10;" path="m113,0c51,0,0,51,0,113l0,4604c0,4667,51,4717,113,4717l563,4717c625,4717,675,4667,675,4604l675,113c675,51,625,0,563,0l113,0xe">
                    <v:path o:connectlocs="40,0;0,40;0,1644;40,1685;201,1685;242,1644;242,40;201,0;40,0" o:connectangles="0,0,0,0,0,0,0,0,0"/>
                    <v:fill on="t" focussize="0,0"/>
                    <v:stroke weight="0pt" color="#000000" joinstyle="round"/>
                    <v:imagedata o:title=""/>
                    <o:lock v:ext="edit" aspectratio="f"/>
                  </v:shape>
                  <v:shape id="Freeform 3253" o:spid="_x0000_s1026" o:spt="100" style="position:absolute;left:6345;top:1687;height:1685;width:242;" filled="f" stroked="t" coordsize="675,4717" o:gfxdata="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QKdgMugAAAN0A&#10;AAAPAAAAAAAAAAEAIAAAACIAAABkcnMvZG93bnJldi54bWxQSwECFAAUAAAACACHTuJAMy8FnjsA&#10;AAA5AAAAEAAAAAAAAAABACAAAAAJAQAAZHJzL3NoYXBleG1sLnhtbFBLBQYAAAAABgAGAFsBAACz&#10;AwAAAAA=&#10;" path="m113,0c51,0,0,51,0,113l0,4604c0,4667,51,4717,113,4717l563,4717c625,4717,675,4667,675,4604l675,113c675,51,625,0,563,0l113,0xe">
                    <v:path o:connectlocs="40,0;0,40;0,1644;40,1685;201,1685;242,1644;242,40;201,0;40,0" o:connectangles="0,0,0,0,0,0,0,0,0"/>
                    <v:fill on="f" focussize="0,0"/>
                    <v:stroke weight="0.45pt" color="#000000" joinstyle="round" endcap="round"/>
                    <v:imagedata o:title=""/>
                    <o:lock v:ext="edit" aspectratio="f"/>
                  </v:shape>
                </v:group>
                <v:group id="Group 3254" o:spid="_x0000_s1026" o:spt="203" style="position:absolute;left:8265;top:3776;height:1943;width:244;" coordorigin="6097,1690" coordsize="244,1684" o:gfxdata="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EawqfvwAAAN0AAAAPAAAAAAAAAAEAIAAAACIAAABkcnMvZG93bnJldi54&#10;bWxQSwECFAAUAAAACACHTuJAMy8FnjsAAAA5AAAAFQAAAAAAAAABACAAAAAOAQAAZHJzL2dyb3Vw&#10;c2hhcGV4bWwueG1sUEsFBgAAAAAGAAYAYAEAAMsDAAAAAA==&#10;">
                  <o:lock v:ext="edit" aspectratio="f"/>
                  <v:shape id="Freeform 3255" o:spid="_x0000_s1026" o:spt="100" style="position:absolute;left:6097;top:1690;height:1684;width:244;" fillcolor="#EAEAEA" filled="t" stroked="t" coordsize="680,4716" o:gfxdata="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NO2r4A&#10;AADdAAAADwAAAAAAAAABACAAAAAiAAAAZHJzL2Rvd25yZXYueG1sUEsBAhQAFAAAAAgAh07iQDMv&#10;BZ47AAAAOQAAABAAAAAAAAAAAQAgAAAADQEAAGRycy9zaGFwZXhtbC54bWxQSwUGAAAAAAYABgBb&#10;AQAAtwMAAAAA&#10;" path="m114,0c51,0,0,50,0,113l0,4603c0,4666,51,4716,114,4716l566,4716c629,4716,680,4666,680,4603l680,113c680,50,629,0,566,0l114,0xe">
                    <v:path o:connectlocs="40,0;0,40;0,1643;40,1684;203,1684;244,1643;244,40;203,0;40,0" o:connectangles="0,0,0,0,0,0,0,0,0"/>
                    <v:fill on="t" focussize="0,0"/>
                    <v:stroke weight="0pt" color="#000000" joinstyle="round"/>
                    <v:imagedata o:title=""/>
                    <o:lock v:ext="edit" aspectratio="f"/>
                  </v:shape>
                  <v:shape id="Freeform 3256" o:spid="_x0000_s1026" o:spt="100" style="position:absolute;left:6097;top:1690;height:1684;width:244;" filled="f" stroked="t" coordsize="680,4716" o:gfxdata="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WFH7vQAA&#10;AN0AAAAPAAAAAAAAAAEAIAAAACIAAABkcnMvZG93bnJldi54bWxQSwECFAAUAAAACACHTuJAMy8F&#10;njsAAAA5AAAAEAAAAAAAAAABACAAAAAMAQAAZHJzL3NoYXBleG1sLnhtbFBLBQYAAAAABgAGAFsB&#10;AAC2AwAAAAA=&#10;" path="m114,0c51,0,0,50,0,113l0,4603c0,4666,51,4716,114,4716l566,4716c629,4716,680,4666,680,4603l680,113c680,50,629,0,566,0l114,0xe">
                    <v:path o:connectlocs="40,0;0,40;0,1643;40,1684;203,1684;244,1643;244,40;203,0;40,0" o:connectangles="0,0,0,0,0,0,0,0,0"/>
                    <v:fill on="f" focussize="0,0"/>
                    <v:stroke weight="0.45pt" color="#000000" joinstyle="round" endcap="round"/>
                    <v:imagedata o:title=""/>
                    <o:lock v:ext="edit" aspectratio="f"/>
                  </v:shape>
                </v:group>
                <v:group id="Group 3257" o:spid="_x0000_s1026" o:spt="203" style="position:absolute;left:8024;top:3776;height:1943;width:241;" coordorigin="5856,1690" coordsize="241,1684" o:gfxdata="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UHKkHvwAAAN0AAAAPAAAAAAAAAAEAIAAAACIAAABkcnMvZG93bnJldi54&#10;bWxQSwECFAAUAAAACACHTuJAMy8FnjsAAAA5AAAAFQAAAAAAAAABACAAAAAOAQAAZHJzL2dyb3Vw&#10;c2hhcGV4bWwueG1sUEsFBgAAAAAGAAYAYAEAAMsDAAAAAA==&#10;">
                  <o:lock v:ext="edit" aspectratio="f"/>
                  <v:shape id="Freeform 3258" o:spid="_x0000_s1026" o:spt="100" style="position:absolute;left:5856;top:1690;height:1684;width:241;" fillcolor="#EAEAEA" filled="t" stroked="t" coordsize="675,4716" o:gfxdata="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ljJavQAA&#10;AN0AAAAPAAAAAAAAAAEAIAAAACIAAABkcnMvZG93bnJldi54bWxQSwECFAAUAAAACACHTuJAMy8F&#10;njsAAAA5AAAAEAAAAAAAAAABACAAAAAMAQAAZHJzL3NoYXBleG1sLnhtbFBLBQYAAAAABgAGAFsB&#10;AAC2AwAAAAA=&#10;" path="m113,0c51,0,0,50,0,112l0,4604c0,4666,51,4716,113,4716l563,4716c625,4716,675,4666,675,4604l675,112c675,50,625,0,563,0l113,0xe">
                    <v:path o:connectlocs="40,0;0,39;0,1644;40,1684;201,1684;241,1644;241,39;201,0;40,0" o:connectangles="0,0,0,0,0,0,0,0,0"/>
                    <v:fill on="t" focussize="0,0"/>
                    <v:stroke weight="0pt" color="#000000" joinstyle="round"/>
                    <v:imagedata o:title=""/>
                    <o:lock v:ext="edit" aspectratio="f"/>
                  </v:shape>
                  <v:shape id="Freeform 3259" o:spid="_x0000_s1026" o:spt="100" style="position:absolute;left:5856;top:1690;height:1684;width:241;" filled="f" stroked="t" coordsize="675,4716" o:gfxdata="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6ZOJ74A&#10;AADdAAAADwAAAAAAAAABACAAAAAiAAAAZHJzL2Rvd25yZXYueG1sUEsBAhQAFAAAAAgAh07iQDMv&#10;BZ47AAAAOQAAABAAAAAAAAAAAQAgAAAADQEAAGRycy9zaGFwZXhtbC54bWxQSwUGAAAAAAYABgBb&#10;AQAAtwMAAAAA&#10;" path="m113,0c51,0,0,50,0,112l0,4604c0,4666,51,4716,113,4716l563,4716c625,4716,675,4666,675,4604l675,112c675,50,625,0,563,0l113,0xe">
                    <v:path o:connectlocs="40,0;0,39;0,1644;40,1684;201,1684;241,1644;241,39;201,0;40,0" o:connectangles="0,0,0,0,0,0,0,0,0"/>
                    <v:fill on="f" focussize="0,0"/>
                    <v:stroke weight="0.45pt" color="#000000" joinstyle="round" endcap="round"/>
                    <v:imagedata o:title=""/>
                    <o:lock v:ext="edit" aspectratio="f"/>
                  </v:shape>
                </v:group>
                <v:group id="Group 3260" o:spid="_x0000_s1026" o:spt="203" style="position:absolute;left:8755;top:3776;height:1943;width:243;" coordorigin="6587,1690" coordsize="243,1684" o:gfxdata="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zjdwvwAAAN0AAAAPAAAAAAAAAAEAIAAAACIAAABkcnMvZG93bnJldi54&#10;bWxQSwECFAAUAAAACACHTuJAMy8FnjsAAAA5AAAAFQAAAAAAAAABACAAAAAOAQAAZHJzL2dyb3Vw&#10;c2hhcGV4bWwueG1sUEsFBgAAAAAGAAYAYAEAAMsDAAAAAA==&#10;">
                  <o:lock v:ext="edit" aspectratio="f"/>
                  <v:shape id="Freeform 3261" o:spid="_x0000_s1026" o:spt="100" style="position:absolute;left:6587;top:1690;height:1684;width:243;" fillcolor="#EAEAEA" filled="t" stroked="t" coordsize="679,4716" o:gfxdata="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x02rsAAADd&#10;AAAADwAAAAAAAAABACAAAAAiAAAAZHJzL2Rvd25yZXYueG1sUEsBAhQAFAAAAAgAh07iQDMvBZ47&#10;AAAAOQAAABAAAAAAAAAAAQAgAAAACgEAAGRycy9zaGFwZXhtbC54bWxQSwUGAAAAAAYABgBbAQAA&#10;tAMAAAAA&#10;" path="m113,0c51,0,0,50,0,113l0,4603c0,4666,51,4716,113,4716l566,4716c629,4716,679,4666,679,4603l679,113c679,50,629,0,566,0l113,0xe">
                    <v:path o:connectlocs="40,0;0,40;0,1643;40,1684;202,1684;243,1643;243,40;202,0;40,0" o:connectangles="0,0,0,0,0,0,0,0,0"/>
                    <v:fill on="t" focussize="0,0"/>
                    <v:stroke weight="0pt" color="#000000" joinstyle="round"/>
                    <v:imagedata o:title=""/>
                    <o:lock v:ext="edit" aspectratio="f"/>
                  </v:shape>
                  <v:shape id="Freeform 3262" o:spid="_x0000_s1026" o:spt="100" style="position:absolute;left:6587;top:1690;height:1684;width:243;" filled="f" stroked="t" coordsize="679,4716" o:gfxdata="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Hw0T&#10;wAAAAN0AAAAPAAAAAAAAAAEAIAAAACIAAABkcnMvZG93bnJldi54bWxQSwECFAAUAAAACACHTuJA&#10;My8FnjsAAAA5AAAAEAAAAAAAAAABACAAAAAPAQAAZHJzL3NoYXBleG1sLnhtbFBLBQYAAAAABgAG&#10;AFsBAAC5AwAAAAA=&#10;" path="m113,0c51,0,0,50,0,113l0,4603c0,4666,51,4716,113,4716l566,4716c629,4716,679,4666,679,4603l679,113c679,50,629,0,566,0l113,0xe">
                    <v:path o:connectlocs="40,0;0,40;0,1643;40,1684;202,1684;243,1643;243,40;202,0;40,0" o:connectangles="0,0,0,0,0,0,0,0,0"/>
                    <v:fill on="f" focussize="0,0"/>
                    <v:stroke weight="0.45pt" color="#000000" joinstyle="round" endcap="round"/>
                    <v:imagedata o:title=""/>
                    <o:lock v:ext="edit" aspectratio="f"/>
                  </v:shape>
                </v:group>
                <v:shape id="Freeform 3263" o:spid="_x0000_s1026" o:spt="100" style="position:absolute;left:8391;top:3688;height:2433;width:2236;" fillcolor="#000000" filled="t" stroked="t" coordsize="6242,5904" o:gfxdata="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1Gf/0ugAAAN0A&#10;AAAPAAAAAAAAAAEAIAAAACIAAABkcnMvZG93bnJldi54bWxQSwECFAAUAAAACACHTuJAMy8FnjsA&#10;AAA5AAAAEAAAAAAAAAABACAAAAAJAQAAZHJzL3NoYXBleG1sLnhtbFBLBQYAAAAABgAGAFsBAACz&#10;AwAAAAA=&#10;" path="m0,1l75,1,75,76,0,76,0,1xm150,1l176,1,225,1,225,76,176,76,150,76,150,1xm300,1l348,1,375,1,375,76,348,76,300,76,300,1xm450,1l516,1,525,1,525,76,516,76,450,76,450,1xm600,1l675,1,675,76,600,76,600,1xm750,1l753,1,825,1,825,76,753,76,750,76,750,1xm900,1l965,1,975,1,975,76,965,76,900,76,900,1xm1050,1l1088,1,1125,1,1125,76,1088,76,1050,76,1050,1xm1200,1l1238,1,1275,1,1275,76,1238,76,1200,76,1200,1xm1350,1l1372,1,1395,1,1416,1,1425,1,1425,76,1416,76,1395,76,1372,76,1350,76,1350,1xm1500,1l1513,1,1539,1,1552,1,1564,1,1573,0,1578,75,1566,76,1554,76,1539,76,1513,76,1500,76,1500,1xm1662,2l1668,4,1676,6,1668,5,1679,5,1689,5c1692,6,1694,6,1697,6l1706,9c1710,9,1713,11,1715,12l1720,15c1723,16,1725,17,1727,19l1731,23c1733,24,1735,26,1736,28l1741,33c1742,35,1743,37,1744,38l1748,45,1683,82,1679,75,1683,81,1678,75,1683,80,1679,77,1685,81,1681,78,1690,82,1680,80,1687,80,1676,80,1665,80c1662,80,1659,79,1656,78l1642,74,1637,72,1662,2xm1771,130l1772,134,1775,161,1778,191,1780,207,1705,214,1704,199,1701,170,1698,146,1697,142,1771,130xm1786,282l1787,294,1790,332,1792,357,1717,362,1715,337,1713,300,1712,288,1786,282xm1796,432l1797,450,1800,507,1725,512,1722,454,1721,437,1796,432xm1804,583l1805,601,1806,634,1807,658,1732,661,1732,638,1730,605,1729,586,1804,583xm1809,734l1809,744,1809,767,1807,810,1807,811,1732,808,1732,807,1734,766,1734,744,1734,734,1809,734xm1804,885l1804,893,1804,915,1804,939,1804,959,1729,959,1729,939,1729,913,1729,890,1729,883,1804,885xm1806,1032l1808,1060,1810,1099,1811,1107,1736,1111,1735,1104,1733,1064,1731,1036,1806,1032xm1816,1181l1816,1188,1820,1237,1821,1255,1747,1262,1745,1242,1742,1193,1741,1187,1816,1181xm1828,1330l1828,1340,1834,1405,1759,1411,1754,1346,1753,1336,1828,1330xm1841,1479l1848,1554,1774,1561,1766,1486,1841,1479xm1856,1628l1860,1663,1865,1702,1790,1711,1785,1671,1782,1636,1856,1628xm1874,1776l1878,1804,1884,1844,1884,1849,1810,1861,1809,1855,1803,1814,1800,1786,1874,1776xm1898,1921l1903,1945,1909,1973,1914,1993,1842,2011,1836,1991,1829,1961,1824,1937,1898,1921xm1935,2063l1938,2075,1954,2125,1957,2135,1885,2156,1882,2146,1867,2096,1863,2085,1935,2063xm1977,2208l1977,2209,1985,2241,1993,2276,1994,2284,1921,2298,1919,2292,1912,2258,1905,2228,1977,2208xm2008,2358l2015,2396,2021,2433,1947,2445,1941,2409,1934,2371,2008,2358xm2033,2507l2044,2575,2045,2581,1971,2592,1970,2587,1959,2519,2033,2507xm2056,2656l2058,2673,2066,2730,1992,2740,1984,2684,1982,2666,2056,2656xm2077,2804l2087,2879,2013,2889,2002,2815,2077,2804xm2097,2953l2102,2989,2107,3028,2032,3037,2027,2998,2023,2963,2097,2953xm2116,3102l2124,3159,2126,3177,2051,3186,2049,3168,2042,3112,2116,3102xm2135,3251l2139,3285,2144,3326,2070,3335,2065,3294,2061,3260,2135,3251xm2153,3400l2155,3419,2162,3475,2087,3483,2081,3428,2078,3409,2153,3400xm2170,3549l2178,3624,2104,3632,2096,3558,2170,3549xm2187,3699l2194,3766,2195,3773,2120,3781,2120,3774,2112,3707,2187,3699xm2203,3848l2208,3897,2211,3923,2136,3930,2134,3905,2129,3856,2203,3848xm2219,3997l2221,4018,2226,4072,2152,4079,2146,4026,2144,4005,2219,3997xm2234,4147l2236,4173,2240,4219,2241,4222,2166,4228,2166,4225,2161,4180,2159,4154,2234,4147xm2247,4297l2247,4305,2250,4345,2252,4372,2177,4377,2175,4350,2173,4311,2172,4303,2247,4297xm2257,4447l2257,4455,2259,4489,2261,4520,2261,4522,2186,4526,2186,4524,2184,4493,2183,4460,2182,4452,2257,4447xm2265,4597l2267,4631,2269,4672,2194,4676,2192,4635,2190,4601,2265,4597xm2270,4752l2269,4758,2268,4768,2266,4783,2265,4794,2264,4802,2265,4813,2266,4818,2192,4829,2191,4818,2190,4799,2190,4784,2192,4772,2194,4760,2195,4752,2195,4746,2270,4752xm2273,4898l2273,4918,2275,4946,2277,4958,2279,4964,2206,4981,2203,4970,2200,4952,2198,4919,2198,4898,2273,4898xm2305,5016l2307,5019,2320,5031,2334,5043,2352,5057,2311,5120,2308,5117,2285,5100,2265,5083,2248,5064,2246,5062,2305,5016xm2414,5094l2422,5098,2450,5113,2479,5126,2447,5194,2416,5179,2386,5164,2378,5160,2414,5094xm2546,5156l2580,5170,2615,5184,2588,5254,2552,5239,2518,5225,2546,5156xm2685,5210l2694,5213,2755,5235,2729,5306,2667,5284,2658,5280,2685,5210xm2825,5260l2860,5272,2896,5284,2872,5355,2835,5343,2800,5331,2825,5260xm2966,5308l2999,5318,3038,5330,3015,5402,2976,5389,2944,5379,2966,5308xm3109,5352l3153,5365,3181,5373,3160,5445,3132,5437,3087,5424,3109,5352xm3253,5394l3262,5397,3324,5414,3305,5486,3241,5469,3232,5466,3253,5394xm3396,5433l3469,5452,3450,5525,3377,5506,3396,5433xm3541,5471l3596,5485,3614,5489,3596,5562,3577,5557,3523,5544,3541,5471xm3687,5507l3703,5511,3759,5523,3743,5596,3685,5583,3669,5579,3687,5507xm3832,5539l3905,5555,3890,5628,3816,5613,3832,5539xm3978,5569l4052,5583,4038,5656,3964,5642,3978,5569xm4126,5597l4136,5599,4199,5610,4186,5683,4122,5672,4112,5670,4126,5597xm4272,5622l4346,5635,4334,5709,4260,5696,4272,5622xm4420,5646l4450,5651,4494,5658,4483,5732,4438,5725,4408,5720,4420,5646xm4568,5669l4592,5673,4636,5679,4642,5680,4631,5754,4625,5754,4581,5747,4557,5744,4568,5669xm4716,5691l4719,5691,4790,5701,4780,5775,4709,5765,4706,5765,4716,5691xm4864,5710l4875,5711,4939,5719,4930,5793,4866,5785,4855,5784,4864,5710xm5013,5727l5029,5728,5087,5734,5080,5809,5021,5803,5005,5801,5013,5727xm5162,5742l5199,5746,5236,5749,5229,5824,5192,5820,5154,5817,5162,5742xm5311,5757l5350,5760,5386,5764,5378,5839,5343,5835,5304,5831,5311,5757xm5460,5771l5517,5777,5535,5778,5528,5853,5509,5851,5453,5846,5460,5771xm5610,5786l5630,5788,5684,5793,5677,5867,5623,5862,5602,5860,5610,5786xm5759,5800l5792,5803,5833,5807,5827,5881,5785,5878,5752,5874,5759,5800xm5908,5813l5932,5816,5971,5819,5983,5820,5976,5895,5965,5894,5926,5890,5901,5888,5908,5813xm6057,5826l6064,5826,6089,5828,6110,5829,6129,5829,6130,5829,6128,5904,6126,5904,6107,5903,6084,5902,6059,5901,6051,5900,6057,5826xm6200,5828l6206,5827,6216,5825,6226,5823,6242,5896,6230,5899,6214,5902,6208,5902,6200,5828xe">
                  <v:path o:connectlocs="63,31;161,0;214,31;345,0;389,31;483,0;483,0;551,31;607,2;602,33;604,32;636,78;641,136;617,210;619,249;621,315;619,386;621,454;624,491;659,609;638,674;671,731;693,850;708,910;719,971;706,1068;736,1094;726,1235;764,1339;747,1435;785,1551;764,1609;800,1708;804,1774;809,1849;812,1908;811,1975;786,1958;788,2040;827,2109;888,2112;914,2158;1011,2167;1080,2226;1113,2205;1235,2276;1320,2269;1366,2313;1499,2341;1594,2328;1658,2371;1685,2375;1801,2360;1859,2398;1955,2378;2033,2417;2062,2390;2169,2400;2170,2431;2223,2432" o:connectangles="0,0,0,0,0,0,0,0,0,0,0,0,0,0,0,0,0,0,0,0,0,0,0,0,0,0,0,0,0,0,0,0,0,0,0,0,0,0,0,0,0,0,0,0,0,0,0,0,0,0,0,0,0,0,0,0,0,0,0,0"/>
                  <v:fill on="t" focussize="0,0"/>
                  <v:stroke weight="0.1pt" color="#000000" joinstyle="bevel"/>
                  <v:imagedata o:title=""/>
                  <o:lock v:ext="edit" aspectratio="f"/>
                </v:shape>
                <v:shape id="Freeform 3264" o:spid="_x0000_s1026" o:spt="100" style="position:absolute;left:3542;top:3678;height:31;width:4918;" fillcolor="#000000" filled="t" stroked="t" coordsize="4918,27" o:gfxdata="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0ojU&#10;wAAAAN0AAAAPAAAAAAAAAAEAIAAAACIAAABkcnMvZG93bnJldi54bWxQSwECFAAUAAAACACHTuJA&#10;My8FnjsAAAA5AAAAEAAAAAAAAAABACAAAAAPAQAAZHJzL3NoYXBleG1sLnhtbFBLBQYAAAAABgAG&#10;AFsBAAC5AwAAAAA=&#10;" path="m4918,27l4891,27,4891,0,4918,0,4918,27xm4864,27l4837,27,4837,0,4864,0,4864,27xm4810,27l4783,27,4783,0,4810,0,4810,27xm4756,27l4729,27,4729,0,4756,0,4756,27xm4703,27l4676,27,4676,0,4703,0,4703,27xm4649,27l4622,27,4622,0,4649,0,4649,27xm4595,27l4568,27,4568,0,4595,0,4595,27xm4541,27l4514,27,4514,0,4541,0,4541,27xm4488,27l4461,27,4461,0,4488,0,4488,27xm4434,27l4407,27,4407,0,4434,0,4434,27xm4380,27l4353,27,4353,0,4380,0,4380,27xm4326,27l4300,27,4300,0,4326,0,4326,27xm4273,27l4246,27,4246,0,4273,0,4273,27xm4219,27l4192,27,4192,0,4219,0,4219,27xm4165,27l4138,27,4138,0,4165,0,4165,27xm4111,27l4085,27,4085,0,4111,0,4111,27xm4058,27l4031,27,4031,0,4058,0,4058,27xm4004,27l3977,27,3977,0,4004,0,4004,27xm3950,27l3923,27,3923,0,3950,0,3950,27xm3896,27l3870,27,3870,0,3896,0,3896,27xm3843,27l3816,27,3816,0,3843,0,3843,27xm3789,27l3762,27,3762,0,3789,0,3789,27xm3735,27l3708,27,3708,0,3735,0,3735,27xm3682,27l3655,27,3655,0,3682,0,3682,27xm3628,27l3601,27,3601,0,3628,0,3628,27xm3574,27l3547,27,3547,0,3574,0,3574,27xm3520,27l3493,27,3493,0,3520,0,3520,27xm3467,27l3440,27,3440,0,3467,0,3467,27xm3413,27l3386,27,3386,0,3413,0,3413,27xm3359,27l3332,27,3332,0,3359,0,3359,27xm3305,27l3278,27,3278,0,3305,0,3305,27xm3252,27l3225,27,3225,0,3252,0,3252,27xm3198,27l3171,27,3171,0,3198,0,3198,27xm3144,27l3117,27,3117,0,3144,0,3144,27xm3090,27l3064,27,3064,0,3090,0,3090,27xm3037,27l3010,27,3010,0,3037,0,3037,27xm2983,27l2956,27,2956,0,2983,0,2983,27xm2929,27l2902,27,2902,0,2929,0,2929,27xm2875,27l2849,27,2849,0,2875,0,2875,27xm2822,27l2795,27,2795,0,2822,0,2822,27xm2768,27l2741,27,2741,0,2768,0,2768,27xm2714,27l2687,27,2687,0,2714,0,2714,27xm2660,27l2634,27,2634,0,2660,0,2660,27xm2607,27l2580,27,2580,0,2607,0,2607,27xm2553,27l2526,27,2526,0,2553,0,2553,27xm2499,27l2472,27,2472,0,2499,0,2499,27xm2445,27l2419,27,2419,0,2445,0,2445,27xm2392,27l2365,27,2365,0,2392,0,2392,27xm2338,27l2311,27,2311,0,2338,0,2338,27xm2284,27l2257,27,2257,0,2284,0,2284,27xm2231,27l2204,27,2204,0,2231,0,2231,27xm2177,27l2150,27,2150,0,2177,0,2177,27xm2123,27l2096,27,2096,0,2123,0,2123,27xm2069,27l2042,27,2042,0,2069,0,2069,27xm2016,27l1989,27,1989,0,2016,0,2016,27xm1962,27l1935,27,1935,0,1962,0,1962,27xm1908,27l1881,27,1881,0,1908,0,1908,27xm1854,27l1827,27,1827,0,1854,0,1854,27xm1801,27l1774,27,1774,0,1801,0,1801,27xm1747,27l1720,27,1720,0,1747,0,1747,27xm1693,27l1666,27,1666,0,1693,0,1693,27xm1639,27l1613,27,1613,0,1639,0,1639,27xm1586,27l1559,27,1559,0,1586,0,1586,27xm1532,27l1505,27,1505,0,1532,0,1532,27xm1478,27l1451,27,1451,0,1478,0,1478,27xm1424,27l1398,27,1398,0,1424,0,1424,27xm1371,27l1344,27,1344,0,1371,0,1371,27xm1317,27l1290,27,1290,0,1317,0,1317,27xm1263,27l1236,27,1236,0,1263,0,1263,27xm1209,27l1183,27,1183,0,1209,0,1209,27xm1156,27l1129,27,1129,0,1156,0,1156,27xm1102,27l1075,27,1075,0,1102,0,1102,27xm1048,27l1021,27,1021,0,1048,0,1048,27xm995,27l968,27,968,0,995,0,995,27xm941,27l914,27,914,0,941,0,941,27xm887,27l860,27,860,0,887,0,887,27xm833,27l806,27,806,0,833,0,833,27xm780,27l753,27,753,0,780,0,780,27xm726,27l699,27,699,0,726,0,726,27xm672,27l645,27,645,0,672,0,672,27xm618,27l591,27,591,0,618,0,618,27xm565,27l538,27,538,0,565,0,565,27xm511,27l484,27,484,0,511,0,511,27xm457,27l430,27,430,0,457,0,457,27xm403,27l377,27,377,0,403,0,403,27xm350,27l323,27,323,0,350,0,350,27xm296,27l269,27,269,0,296,0,296,27xm242,27l215,27,215,0,242,0,242,27xm188,27l162,27,162,0,188,0,188,27xm135,27l108,27,108,0,135,0,135,27xm81,27l54,27,54,0,81,0,81,27xm27,27l0,27,0,0,27,0,27,27xe">
                  <v:path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v:fill on="t" focussize="0,0"/>
                  <v:stroke weight="0.1pt" color="#000000" joinstyle="bevel"/>
                  <v:imagedata o:title=""/>
                  <o:lock v:ext="edit" aspectratio="f"/>
                </v:shape>
                <v:shape id="Freeform 3265" o:spid="_x0000_s1026" o:spt="100" style="position:absolute;left:1279;top:3688;height:2433;width:2236;" fillcolor="#000000" filled="t" stroked="t" coordsize="12483,11808" o:gfxdata="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Q8k6vQAA&#10;AN0AAAAPAAAAAAAAAAEAIAAAACIAAABkcnMvZG93bnJldi54bWxQSwECFAAUAAAACACHTuJAMy8F&#10;njsAAAA5AAAAEAAAAAAAAAABACAAAAAMAQAAZHJzL3NoYXBleG1sLnhtbFBLBQYAAAAABgAGAFsB&#10;AAC2AwAAAAA=&#10;" path="m12483,152l12333,152,12333,2,12483,2,12483,152xm12183,152l12132,152,12033,152,12033,2,12132,2,12183,2,12183,152xm11883,152l11787,152,11733,152,11733,2,11787,2,11883,2,11883,152xm11583,152l11452,152,11433,152,11433,2,11452,2,11583,2,11583,152xm11283,152l11133,152,11133,2,11283,2,11283,152xm10983,152l10978,152,10833,152,10833,2,10978,2,10983,2,10983,152xm10683,152l10555,152,10533,152,10533,2,10555,2,10683,2,10683,152xm10383,152l10308,152,10233,152,10233,2,10308,2,10383,2,10383,152xm10083,152l10007,152,9933,152,9933,2,10007,2,10083,2,10083,152xm9783,152l9741,152,9694,152,9652,152,9633,152,9633,2,9652,2,9694,2,9741,2,9783,2,9783,152xm9483,152l9458,152,9405,152,9377,152,9353,151,9327,150,9339,0,9356,1,9380,2,9405,2,9458,2,9483,2,9483,152xm9210,144l9200,148,9171,156c9166,158,9160,159,9154,159l9132,160,9110,160,9124,159,9104,163,9124,156,9115,161,9125,154,9116,161,9129,148,9120,159,9126,150,9119,164,8988,90,8996,76c8997,73,8999,70,9002,68l9010,57c9014,52,9018,47,9023,44l9032,36c9036,34,9039,31,9043,29l9052,24c9058,21,9065,18,9072,17l9092,12c9096,11,9101,11,9106,10l9125,10,9148,9,9131,12,9149,7,9159,3,9210,144xm9090,283l9089,292,9083,340,9077,397,9074,427,8924,413,8927,381,8934,321,8941,268,8942,259,9090,283xm9061,575l9059,599,9054,674,9051,724,8901,714,8904,663,8910,587,8911,564,9061,575xm9041,874l9039,908,9033,1023,8884,1015,8890,899,8892,865,9041,874xm9026,1172l9024,1209,9021,1275,9019,1322,8870,1315,8872,1268,8875,1201,8876,1165,9026,1172xm9016,1468l9016,1488,9016,1532,9019,1614,9019,1616,8870,1621,8870,1619,8866,1534,8866,1488,8866,1468,9016,1468xm9025,1765l9026,1779,9026,1827,9027,1877,9027,1919,8877,1918,8877,1878,8876,1829,8876,1786,8875,1771,9025,1765xm9022,2072l9019,2128,9014,2207,9013,2223,8863,2213,8864,2198,8869,2120,8872,2064,9022,2072xm9002,2373l9001,2386,8994,2484,8991,2523,8841,2511,8844,2473,8852,2375,8853,2362,9002,2373xm8978,2673l8977,2693,8965,2823,8816,2809,8827,2680,8829,2660,8978,2673xm8951,2973l8937,3122,8788,3107,8802,2958,8951,2973xm8921,3272l8914,3341,8904,3421,8755,3404,8764,3325,8772,3256,8921,3272xm8885,3572l8878,3627,8866,3710,8864,3723,8716,3698,8717,3688,8729,3607,8737,3552,8885,3572xm8836,3873l8826,3921,8811,3981,8800,4023,8655,3985,8666,3946,8679,3889,8689,3842,8836,3873xm8758,4169l8751,4192,8720,4293,8714,4313,8570,4270,8577,4248,8608,4149,8614,4126,8758,4169xm8675,4455l8674,4455,8660,4516,8645,4584,8643,4597,8496,4567,8499,4551,8514,4482,8529,4417,8530,4416,8675,4455xm8615,4742l8602,4817,8590,4889,8442,4865,8454,4791,8467,4716,8615,4742xm8566,5037l8545,5173,8543,5185,8395,5162,8396,5150,8418,5014,8566,5037xm8521,5333l8516,5367,8500,5481,8351,5460,8367,5345,8372,5311,8521,5333xm8479,5629l8459,5778,8310,5757,8330,5609,8479,5629xm8439,5926l8430,5996,8420,6075,8271,6055,8281,5977,8290,5906,8439,5926xm8400,6223l8386,6336,8382,6372,8233,6353,8237,6317,8252,6204,8400,6223xm8363,6521l8355,6588,8345,6669,8196,6651,8206,6569,8214,6502,8363,6521xm8327,6818l8323,6856,8310,6967,8161,6950,8174,6838,8178,6800,8327,6818xm8293,7116l8276,7265,8127,7248,8144,7099,8293,7116xm8260,7414l8245,7548,8243,7563,8094,7546,8096,7531,8111,7397,8260,7414xm8227,7712l8217,7810,8211,7861,8062,7845,8067,7794,8078,7696,8227,7712xm8196,8010l8192,8052,8180,8159,8031,8143,8042,8036,8047,7994,8196,8010xm8166,8307l8161,8359,8153,8450,8152,8456,8003,8444,8003,8437,8012,8345,8017,8293,8166,8307xm8140,8606l8139,8621,8133,8700,8129,8754,7980,8744,7984,8690,7989,8609,7991,8593,8140,8606xm8120,8903l8119,8919,8115,8985,8112,9048,8112,9052,7962,9045,7962,9040,7966,8977,7969,8910,7970,8894,8120,8903xm8104,9202l8101,9269,8096,9352,7947,9344,7951,9262,7954,9195,8104,9202xm8094,9492l8095,9504,8097,9521,8100,9543,8104,9565,8105,9597,8103,9636,8100,9657,7951,9637,7953,9624,7956,9604,7955,9588,7952,9565,7947,9534,7946,9515,7945,9503,8094,9492xm8089,9797l8088,9837,8084,9903,8078,9940,8073,9963,7927,9927,7930,9915,7934,9891,7938,9836,7939,9795,8089,9797xm7992,10123l7988,10128,7955,10165,7914,10200,7869,10234,7861,10239,7779,10113,7780,10113,7816,10087,7845,10062,7870,10037,7873,10032,7992,10123xm7728,10319l7712,10328,7652,10358,7590,10388,7525,10252,7584,10225,7640,10196,7655,10188,7728,10319xm7449,10450l7381,10478,7309,10507,7253,10367,7324,10339,7392,10311,7449,10450xm7167,10560l7150,10567,7025,10612,6974,10470,7097,10426,7114,10420,7167,10560xm6883,10662l6814,10686,6740,10711,6693,10568,6765,10544,6834,10520,6883,10662xm6597,10758l6533,10778,6453,10803,6409,10660,6487,10635,6551,10615,6597,10758xm6309,10847l6221,10874,6164,10890,6123,10746,6178,10730,6266,10704,6309,10847xm6020,10932l6002,10937,5875,10972,5835,10827,5960,10793,5979,10788,6020,10932xm5729,11012l5584,11050,5546,10905,5691,10866,5729,11012xm5438,11087l5330,11114,5292,11123,5257,10978,5293,10969,5401,10941,5438,11087xm5146,11159l5114,11166,4999,11192,4966,11046,5078,11021,5111,11013,5146,11159xm4851,11225l4704,11256,4673,11109,4820,11078,4851,11225xm4556,11285l4459,11304,4408,11313,4381,11165,4430,11156,4528,11137,4556,11285xm4261,11340l4239,11344,4112,11367,4086,11219,4212,11197,4233,11193,4261,11340xm3964,11392l3816,11417,3791,11269,3939,11244,3964,11392xm3667,11440l3608,11450,3519,11464,3496,11316,3584,11302,3643,11292,3667,11440xm3370,11487l3323,11494,3234,11507,3221,11509,3200,11360,3213,11358,3300,11346,3348,11339,3370,11487xm3072,11530l3066,11530,2923,11549,2903,11401,3046,11382,3052,11381,3072,11530xm2774,11568l2753,11570,2624,11586,2607,11437,2735,11422,2755,11419,2774,11568xm2474,11602l2442,11606,2325,11618,2309,11468,2425,11456,2458,11453,2474,11602xm2175,11633l2100,11640,2026,11648,2011,11498,2085,11491,2160,11483,2175,11633xm1876,11662l1799,11670,1728,11677,1713,11528,1785,11520,1862,11513,1876,11662xm1578,11691l1466,11702,1429,11706,1414,11556,1451,11553,1564,11542,1578,11691xm1279,11720l1239,11724,1130,11734,1116,11585,1225,11575,1265,11571,1279,11720xm981,11748l915,11755,831,11762,817,11613,900,11605,966,11599,981,11748xm682,11776l633,11780,554,11787,532,11789,519,11639,542,11637,620,11631,668,11626,682,11776xm381,11800l366,11801,317,11804,271,11806,232,11808,228,11808,224,11658,226,11658,265,11657,307,11655,356,11652,370,11651,381,11800xm68,11804l56,11803,24,11797,0,11791,33,11645,53,11649,72,11653,84,11655,68,11804xe">
                  <v:path o:connectlocs="2173,0;2074,31;2021,0;1890,31;1846,0;1752,31;1752,31;1684,0;1634,32;1609,18;1631,2;1625,81;1621,138;1591,209;1589,247;1588,316;1590,386;1587,452;1585,489;1603,612;1571,670;1591,735;1568,859;1553,917;1543,977;1503,1063;1526,1098;1483,1231;1498,1343;1461,1432;1476,1555;1444,1605;1462,1711;1457,1776;1453,1851;1451,1909;1451,1970;1423,1960;1421,2038;1393,2083;1359,2140;1311,2130;1232,2196;1148,2196;1130,2234;993,2246;921,2299;863,2282;759,2337;710,2347;579,2370;519,2349;496,2383;362,2400;333,2372;221,2415;161,2391;119,2395;47,2401;9,2400" o:connectangles="0,0,0,0,0,0,0,0,0,0,0,0,0,0,0,0,0,0,0,0,0,0,0,0,0,0,0,0,0,0,0,0,0,0,0,0,0,0,0,0,0,0,0,0,0,0,0,0,0,0,0,0,0,0,0,0,0,0,0,0"/>
                  <v:fill on="t" focussize="0,0"/>
                  <v:stroke weight="0.1pt" color="#000000" joinstyle="bevel"/>
                  <v:imagedata o:title=""/>
                  <o:lock v:ext="edit" aspectratio="f"/>
                </v:shape>
                <v:shape id="Freeform 3266" o:spid="_x0000_s1026" o:spt="100" style="position:absolute;left:2562;top:2136;height:3583;width:11;" fillcolor="#000000" filled="t" stroked="t" coordsize="11,3105" o:gfxdata="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CefCvQAA&#10;AN0AAAAPAAAAAAAAAAEAIAAAACIAAABkcnMvZG93bnJldi54bWxQSwECFAAUAAAACACHTuJAMy8F&#10;njsAAAA5AAAAEAAAAAAAAAABACAAAAAMAQAAZHJzL3NoYXBleG1sLnhtbFBLBQYAAAAABgAGAFsB&#10;AAC2AwAAAAA=&#10;" path="m0,3105l0,3058,11,3058,11,3105,0,3105xm0,3022l0,2974,11,2974,11,3022,0,3022xm0,2939l0,2891,11,2891,11,2939,0,2939xm0,2855l0,2808,11,2808,11,2855,0,2855xm0,2772l0,2725,11,2725,11,2772,0,2772xm0,2689l0,2641,11,2641,11,2689,0,2689xm0,2605l0,2558,11,2558,11,2605,0,2605xm0,2522l0,2475,11,2475,11,2522,0,2522xm0,2439l0,2391,11,2391,11,2439,0,2439xm0,2355l0,2308,11,2308,11,2355,0,2355xm0,2272l0,2225,11,2225,11,2272,0,2272xm0,2189l0,2141,11,2141,11,2189,0,2189xm0,2105l0,2058,11,2058,11,2105,0,2105xm0,2022l0,1975,11,1975,11,2022,0,2022xm0,1939l0,1891,11,1891,11,1939,0,1939xm0,1856l0,1808,11,1808,11,1856,0,1856xm0,1772l0,1725,11,1725,11,1772,0,1772xm0,1689l0,1641,11,1641,11,1689,0,1689xm0,1606l0,1558,11,1558,11,1606,0,1606xm0,1522l0,1475,11,1475,11,1522,0,1522xm0,1439l0,1391,11,1391,11,1439,0,1439xm0,1356l0,1308,11,1308,11,1356,0,1356xm0,1272l0,1225,11,1225,11,1272,0,1272xm0,1189l0,1141,11,1141,11,1189,0,1189xm0,1106l0,1058,11,1058,11,1106,0,1106xm0,1022l0,975,11,975,11,1022,0,1022xm0,939l0,891,11,891,11,939,0,939xm0,856l0,808,11,808,11,856,0,856xm0,772l0,725,11,725,11,772,0,772xm0,689l0,641,11,641,11,689,0,689xm0,606l0,558,11,558,11,606,0,606xm0,522l0,475,11,475,11,522,0,522xm0,439l0,391,11,391,11,439,0,439xm0,356l0,308,11,308,11,356,0,356xm0,272l0,225,11,225,11,272,0,272xm0,189l0,141,11,141,11,189,0,189xm0,106l0,58,11,58,11,106,0,106xm0,22l0,0,11,0,11,22,0,22xe">
                  <v:path o:connectlocs="11,3528;0,3487;11,3487;0,3336;0,3391;11,3240;0,3198;11,3198;0,3047;0,3102;11,2951;0,2910;11,2910;0,2759;0,2814;11,2663;0,2621;11,2621;0,2470;0,2525;11,2374;0,2333;11,2333;0,2182;0,2237;11,2086;0,2044;11,2044;0,1893;0,1949;11,1797;0,1756;11,1756;0,1605;0,1660;11,1509;0,1467;11,1467;0,1316;0,1372;11,1220;0,1179;11,1179;0,1028;0,1083;11,932;0,890;11,890;0,739;0,795;11,643;0,602;11,602;0,451;0,506;11,355;0,313;11,313;0,162;0,218;11,66;0,25;11,25" o:connectangles="0,0,0,0,0,0,0,0,0,0,0,0,0,0,0,0,0,0,0,0,0,0,0,0,0,0,0,0,0,0,0,0,0,0,0,0,0,0,0,0,0,0,0,0,0,0,0,0,0,0,0,0,0,0,0,0,0,0,0,0,0,0,0"/>
                  <v:fill on="t" focussize="0,0"/>
                  <v:stroke weight="0.1pt" color="#000000" joinstyle="bevel"/>
                  <v:imagedata o:title=""/>
                  <o:lock v:ext="edit" aspectratio="f"/>
                </v:shape>
                <v:shape id="Freeform 3267" o:spid="_x0000_s1026" o:spt="100" style="position:absolute;left:9333;top:2136;height:3583;width:12;" fillcolor="#000000" filled="t" stroked="t" coordsize="12,3105" o:gfxdata="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J1LG74A&#10;AADdAAAADwAAAAAAAAABACAAAAAiAAAAZHJzL2Rvd25yZXYueG1sUEsBAhQAFAAAAAgAh07iQDMv&#10;BZ47AAAAOQAAABAAAAAAAAAAAQAgAAAADQEAAGRycy9zaGFwZXhtbC54bWxQSwUGAAAAAAYABgBb&#10;AQAAtwMAAAAA&#10;" path="m0,3105l0,3058,12,3058,12,3105,0,3105xm0,3022l0,2975,12,2975,12,3022,0,3022xm0,2939l0,2891,12,2891,12,2939,0,2939xm0,2855l0,2808,12,2808,12,2855,0,2855xm0,2772l0,2725,12,2725,12,2772,0,2772xm0,2689l0,2641,12,2641,12,2689,0,2689xm0,2605l0,2558,12,2558,12,2605,0,2605xm0,2522l0,2475,12,2475,12,2522,0,2522xm0,2439l0,2391,12,2391,12,2439,0,2439xm0,2355l0,2308,12,2308,12,2355,0,2355xm0,2272l0,2225,12,2225,12,2272,0,2272xm0,2189l0,2141,12,2141,12,2189,0,2189xm0,2105l0,2058,12,2058,12,2105,0,2105xm0,2022l0,1975,12,1975,12,2022,0,2022xm0,1939l0,1891,12,1891,12,1939,0,1939xm0,1856l0,1808,12,1808,12,1856,0,1856xm0,1772l0,1725,12,1725,12,1772,0,1772xm0,1689l0,1641,12,1641,12,1689,0,1689xm0,1606l0,1558,12,1558,12,1606,0,1606xm0,1522l0,1475,12,1475,12,1522,0,1522xm0,1439l0,1391,12,1391,12,1439,0,1439xm0,1356l0,1308,12,1308,12,1356,0,1356xm0,1272l0,1225,12,1225,12,1272,0,1272xm0,1189l0,1141,12,1141,12,1189,0,1189xm0,1106l0,1058,12,1058,12,1106,0,1106xm0,1022l0,975,12,975,12,1022,0,1022xm0,939l0,891,12,891,12,939,0,939xm0,856l0,808,12,808,12,856,0,856xm0,772l0,725,12,725,12,772,0,772xm0,689l0,641,12,641,12,689,0,689xm0,606l0,558,12,558,12,606,0,606xm0,522l0,475,12,475,12,522,0,522xm0,439l0,391,12,391,12,439,0,439xm0,356l0,308,12,308,12,356,0,356xm0,273l0,225,12,225,12,273,0,273xm0,189l0,141,12,141,12,189,0,189xm0,106l0,58,12,58,12,106,0,106xm0,23l0,0,12,0,12,23,0,23xe">
                  <v:path o:connectlocs="12,3528;0,3487;12,3487;0,3336;0,3391;12,3240;0,3198;12,3198;0,3047;0,3102;12,2951;0,2910;12,2910;0,2759;0,2814;12,2663;0,2621;12,2621;0,2470;0,2525;12,2374;0,2333;12,2333;0,2182;0,2237;12,2086;0,2044;12,2044;0,1893;0,1949;12,1797;0,1756;12,1756;0,1605;0,1660;12,1509;0,1467;12,1467;0,1316;0,1372;12,1220;0,1179;12,1179;0,1028;0,1083;12,932;0,890;12,890;0,739;0,795;12,643;0,602;12,602;0,451;0,506;12,355;0,315;12,315;0,162;0,218;12,66;0,26;12,26" o:connectangles="0,0,0,0,0,0,0,0,0,0,0,0,0,0,0,0,0,0,0,0,0,0,0,0,0,0,0,0,0,0,0,0,0,0,0,0,0,0,0,0,0,0,0,0,0,0,0,0,0,0,0,0,0,0,0,0,0,0,0,0,0,0,0"/>
                  <v:fill on="t" focussize="0,0"/>
                  <v:stroke weight="0.1pt" color="#000000" joinstyle="bevel"/>
                  <v:imagedata o:title=""/>
                  <o:lock v:ext="edit" aspectratio="f"/>
                </v:shape>
                <v:shape id="Freeform 3268" o:spid="_x0000_s1026" o:spt="100" style="position:absolute;left:2900;top:2604;height:3115;width:12;" fillcolor="#000000" filled="t" stroked="t" coordsize="12,2700" o:gfxdata="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jW+7&#10;wAAAAN0AAAAPAAAAAAAAAAEAIAAAACIAAABkcnMvZG93bnJldi54bWxQSwECFAAUAAAACACHTuJA&#10;My8FnjsAAAA5AAAAEAAAAAAAAAABACAAAAAPAQAAZHJzL3NoYXBleG1sLnhtbFBLBQYAAAAABgAG&#10;AFsBAAC5AwAAAAA=&#10;" path="m0,2700l0,2653,12,2653,12,2700,0,2700xm0,2617l0,2569,12,2569,12,2617,0,2617xm0,2534l0,2486,12,2486,12,2534,0,2534xm0,2450l0,2403,12,2403,12,2450,0,2450xm0,2367l0,2320,12,2320,12,2367,0,2367xm0,2284l0,2236,12,2236,12,2284,0,2284xm0,2200l0,2153,12,2153,12,2200,0,2200xm0,2117l0,2070,12,2070,12,2117,0,2117xm0,2034l0,1986,12,1986,12,2034,0,2034xm0,1950l0,1903,12,1903,12,1950,0,1950xm0,1867l0,1820,12,1820,12,1867,0,1867xm0,1784l0,1736,12,1736,12,1784,0,1784xm0,1700l0,1653,12,1653,12,1700,0,1700xm0,1617l0,1570,12,1570,12,1617,0,1617xm0,1534l0,1486,12,1486,12,1534,0,1534xm0,1451l0,1403,12,1403,12,1451,0,1451xm0,1367l0,1320,12,1320,12,1367,0,1367xm0,1284l0,1236,12,1236,12,1284,0,1284xm0,1201l0,1153,12,1153,12,1201,0,1201xm0,1117l0,1070,12,1070,12,1117,0,1117xm0,1034l0,986,12,986,12,1034,0,1034xm0,951l0,903,12,903,12,951,0,951xm0,867l0,820,12,820,12,867,0,867xm0,784l0,736,12,736,12,784,0,784xm0,701l0,653,12,653,12,701,0,701xm0,617l0,570,12,570,12,617,0,617xm0,534l0,486,12,486,12,534,0,534xm0,451l0,403,12,403,12,451,0,451xm0,367l0,320,12,320,12,367,0,367xm0,284l0,236,12,236,12,284,0,284xm0,201l0,153,12,153,12,201,0,201xm0,117l0,70,12,70,12,117,0,117xm0,34l0,0,12,0,12,34,0,34xe">
                  <v:path o:connectlocs="12,3060;0,3019;12,3019;0,2868;0,2923;12,2772;0,2730;12,2730;0,2579;0,2635;12,2483;0,2442;12,2442;0,2291;0,2346;12,2195;0,2153;12,2153;0,2002;0,2058;12,1907;0,1865;12,1865;0,1714;0,1769;12,1618;0,1577;12,1577;0,1425;0,1481;12,1330;0,1288;12,1288;0,1137;0,1192;12,1041;0,1000;12,1000;0,849;0,904;12,753;0,711;12,711;0,560;0,616;12,464;0,423;12,423;0,272;0,327;12,176;0,134;12,134;0,0;0,39" o:connectangles="0,0,0,0,0,0,0,0,0,0,0,0,0,0,0,0,0,0,0,0,0,0,0,0,0,0,0,0,0,0,0,0,0,0,0,0,0,0,0,0,0,0,0,0,0,0,0,0,0,0,0,0,0,0,0"/>
                  <v:fill on="t" focussize="0,0"/>
                  <v:stroke weight="0.1pt" color="#000000" joinstyle="bevel"/>
                  <v:imagedata o:title=""/>
                  <o:lock v:ext="edit" aspectratio="f"/>
                </v:shape>
                <v:shape id="Freeform 3269" o:spid="_x0000_s1026" o:spt="100" style="position:absolute;left:8994;top:2526;height:3193;width:12;" fillcolor="#000000" filled="t" stroked="t" coordsize="12,2767" o:gfxdata="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uAJb74A&#10;AADdAAAADwAAAAAAAAABACAAAAAiAAAAZHJzL2Rvd25yZXYueG1sUEsBAhQAFAAAAAgAh07iQDMv&#10;BZ47AAAAOQAAABAAAAAAAAAAAQAgAAAADQEAAGRycy9zaGFwZXhtbC54bWxQSwUGAAAAAAYABgBb&#10;AQAAtwMAAAAA&#10;" path="m0,2767l0,2720,12,2720,12,2767,0,2767xm0,2684l0,2637,12,2637,12,2684,0,2684xm0,2601l0,2553,12,2553,12,2601,0,2601xm0,2517l0,2470,12,2470,12,2517,0,2517xm0,2434l0,2387,12,2387,12,2434,0,2434xm0,2351l0,2303,12,2303,12,2351,0,2351xm0,2267l0,2220,12,2220,12,2267,0,2267xm0,2184l0,2137,12,2137,12,2184,0,2184xm0,2101l0,2053,12,2053,12,2101,0,2101xm0,2017l0,1970,12,1970,12,2017,0,2017xm0,1934l0,1887,12,1887,12,1934,0,1934xm0,1851l0,1803,12,1803,12,1851,0,1851xm0,1767l0,1720,12,1720,12,1767,0,1767xm0,1684l0,1637,12,1637,12,1684,0,1684xm0,1601l0,1553,12,1553,12,1601,0,1601xm0,1518l0,1470,12,1470,12,1518,0,1518xm0,1434l0,1387,12,1387,12,1434,0,1434xm0,1351l0,1303,12,1303,12,1351,0,1351xm0,1268l0,1220,12,1220,12,1268,0,1268xm0,1184l0,1137,12,1137,12,1184,0,1184xm0,1101l0,1053,12,1053,12,1101,0,1101xm0,1018l0,970,12,970,12,1018,0,1018xm0,934l0,887,12,887,12,934,0,934xm0,851l0,803,12,803,12,851,0,851xm0,768l0,720,12,720,12,768,0,768xm0,684l0,637,12,637,12,684,0,684xm0,601l0,553,12,553,12,601,0,601xm0,518l0,470,12,470,12,518,0,518xm0,434l0,387,12,387,12,434,0,434xm0,351l0,303,12,303,12,351,0,351xm0,268l0,220,12,220,12,268,0,268xm0,184l0,137,12,137,12,184,0,184xm0,101l0,53,12,53,12,101,0,101xm0,18l0,0,12,0,12,18,0,18xe">
                  <v:path o:connectlocs="12,3138;0,3097;12,3097;0,2946;0,3001;12,2850;0,2808;12,2808;0,2657;0,2712;12,2561;0,2520;12,2520;0,2369;0,2424;12,2273;0,2231;12,2231;0,2080;0,2135;12,1984;0,1943;12,1943;0,1792;0,1847;12,1696;0,1654;12,1654;0,1503;0,1558;12,1407;0,1366;12,1366;0,1215;0,1270;12,1119;0,1077;12,1077;0,926;0,982;12,830;0,789;12,789;0,638;0,693;12,542;0,500;12,500;0,349;0,405;12,253;0,212;12,212;0,61;0,116;12,0" o:connectangles="0,0,0,0,0,0,0,0,0,0,0,0,0,0,0,0,0,0,0,0,0,0,0,0,0,0,0,0,0,0,0,0,0,0,0,0,0,0,0,0,0,0,0,0,0,0,0,0,0,0,0,0,0,0,0,0"/>
                  <v:fill on="t" focussize="0,0"/>
                  <v:stroke weight="0.1pt" color="#000000" joinstyle="bevel"/>
                  <v:imagedata o:title=""/>
                  <o:lock v:ext="edit" aspectratio="f"/>
                </v:shape>
                <v:shape id="Freeform 3270" o:spid="_x0000_s1026" o:spt="100" style="position:absolute;left:3632;top:3261;height:2458;width:12;" fillcolor="#000000" filled="t" stroked="t" coordsize="12,2130" o:gfxdata="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LhK/&#10;AAAA3QAAAA8AAAAAAAAAAQAgAAAAIgAAAGRycy9kb3ducmV2LnhtbFBLAQIUABQAAAAIAIdO4kAz&#10;LwWeOwAAADkAAAAQAAAAAAAAAAEAIAAAAA4BAABkcnMvc2hhcGV4bWwueG1sUEsFBgAAAAAGAAYA&#10;WwEAALgDA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1" o:spid="_x0000_s1026" o:spt="100" style="position:absolute;left:5826;top:3261;height:2458;width:12;" fillcolor="#000000" filled="t" stroked="t" coordsize="12,2130" o:gfxdata="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qC6YLsAAADd&#10;AAAADwAAAAAAAAABACAAAAAiAAAAZHJzL2Rvd25yZXYueG1sUEsBAhQAFAAAAAgAh07iQDMvBZ47&#10;AAAAOQAAABAAAAAAAAAAAQAgAAAACgEAAGRycy9zaGFwZXhtbC54bWxQSwUGAAAAAAYABgBbAQAA&#10;tAMAAAAA&#10;" path="m0,2130l0,2083,12,2083,12,2130,0,2130xm0,2047l0,1999,12,1999,12,2047,0,2047xm0,1964l0,1916,12,1916,12,1964,0,1964xm0,1880l0,1833,12,1833,12,1880,0,1880xm0,1797l0,1750,12,1750,12,1797,0,1797xm0,1714l0,1666,12,1666,12,1714,0,1714xm0,1630l0,1583,12,1583,12,1630,0,1630xm0,1547l0,1500,12,1500,12,1547,0,1547xm0,1464l0,1416,12,1416,12,1464,0,1464xm0,1380l0,1333,12,1333,12,1380,0,1380xm0,1297l0,1250,12,1250,12,1297,0,1297xm0,1214l0,1166,12,1166,12,1214,0,1214xm0,1130l0,1083,12,1083,12,1130,0,1130xm0,1047l0,1000,12,1000,12,1047,0,1047xm0,964l0,916,12,916,12,964,0,964xm0,881l0,833,12,833,12,881,0,881xm0,797l0,750,12,750,12,797,0,797xm0,714l0,666,12,666,12,714,0,714xm0,631l0,583,12,583,12,631,0,631xm0,547l0,500,12,500,12,547,0,547xm0,464l0,416,12,416,12,464,0,464xm0,381l0,333,12,333,12,381,0,381xm0,297l0,250,12,250,12,297,0,297xm0,214l0,166,12,166,12,214,0,214xm0,131l0,83,12,83,12,131,0,131xm0,47l0,0,12,0,12,47,0,47xe">
                  <v:path o:connectlocs="12,2403;0,2362;12,2362;0,2211;0,2266;12,2115;0,2073;12,2073;0,1922;0,1977;12,1826;0,1785;12,1785;0,1634;0,1689;12,1538;0,1496;12,1496;0,1345;0,1400;12,1249;0,1208;12,1208;0,1057;0,1112;12,961;0,919;12,919;0,768;0,823;12,672;0,631;12,631;0,480;0,535;12,384;0,342;12,342;0,191;0,246;12,95;0,54;12,54" o:connectangles="0,0,0,0,0,0,0,0,0,0,0,0,0,0,0,0,0,0,0,0,0,0,0,0,0,0,0,0,0,0,0,0,0,0,0,0,0,0,0,0,0,0,0"/>
                  <v:fill on="t" focussize="0,0"/>
                  <v:stroke weight="0.1pt" color="#000000" joinstyle="bevel"/>
                  <v:imagedata o:title=""/>
                  <o:lock v:ext="edit" aspectratio="f"/>
                </v:shape>
                <v:shape id="Freeform 3272" o:spid="_x0000_s1026" o:spt="100" style="position:absolute;left:2906;top:2598;height:138;width:6094;" fillcolor="#000000" filled="t" stroked="t" coordsize="6094,120" o:gfxdata="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fWT8C/&#10;AAAA3QAAAA8AAAAAAAAAAQAgAAAAIgAAAGRycy9kb3ducmV2LnhtbFBLAQIUABQAAAAIAIdO4kAz&#10;LwWeOwAAADkAAAAQAAAAAAAAAAEAIAAAAA4BAABkcnMvc2hhcGV4bWwueG1sUEsFBgAAAAAGAAYA&#10;WwEAALgDAAAAAA==&#10;" path="m108,51l5987,51,5987,69,108,69,108,51xm120,120l0,60,120,0,120,120xm5974,0l6094,60,5974,120,5974,0xe">
                  <v:path o:connectlocs="108,58;5987,58;5987,79;108,79;108,58;120,138;0,69;120,0;120,138;5974,0;6094,69;5974,138;5974,0" o:connectangles="0,0,0,0,0,0,0,0,0,0,0,0,0"/>
                  <v:fill on="t" focussize="0,0"/>
                  <v:stroke weight="0.1pt" color="#000000" joinstyle="bevel"/>
                  <v:imagedata o:title=""/>
                  <o:lock v:ext="edit" aspectratio="f"/>
                </v:shape>
                <v:shape id="Freeform 3273" o:spid="_x0000_s1026" o:spt="100" style="position:absolute;left:3651;top:3314;height:138;width:2168;" fillcolor="#000000" filled="t" stroked="t" coordsize="2168,119" o:gfxdata="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9wvVr4A&#10;AADdAAAADwAAAAAAAAABACAAAAAiAAAAZHJzL2Rvd25yZXYueG1sUEsBAhQAFAAAAAgAh07iQDMv&#10;BZ47AAAAOQAAABAAAAAAAAAAAQAgAAAADQEAAGRycy9zaGFwZXhtbC54bWxQSwUGAAAAAAYABgBb&#10;AQAAtwMAAAAA&#10;" path="m108,50l2060,50,2060,68,108,68,108,50xm120,119l0,59,120,0,120,119xm2048,0l2168,59,2048,119,2048,0xe">
                  <v:path o:connectlocs="108,57;2060,57;2060,78;108,78;108,57;120,138;0,68;120,0;120,138;2048,0;2168,68;2048,138;2048,0" o:connectangles="0,0,0,0,0,0,0,0,0,0,0,0,0"/>
                  <v:fill on="t" focussize="0,0"/>
                  <v:stroke weight="0.1pt" color="#000000" joinstyle="bevel"/>
                  <v:imagedata o:title=""/>
                  <o:lock v:ext="edit" aspectratio="f"/>
                </v:shape>
                <v:rect id="Rectangle 3274" o:spid="_x0000_s1026" o:spt="1" style="position:absolute;left:4062;top:2836;height:428;width:1462;mso-wrap-style:none;" filled="f" stroked="f" coordsize="21600,21600" o:gfxdata="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geo26/&#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w:t>
                        </w:r>
                      </w:p>
                    </w:txbxContent>
                  </v:textbox>
                </v:rect>
                <v:line id="Line 3275" o:spid="_x0000_s1026" o:spt="20" style="position:absolute;left:2230;top:5719;height:0;width:7448;" filled="f" stroked="t" coordsize="21600,21600" o:gfxdata="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K5HNC8AAAA&#10;3QAAAA8AAAAAAAAAAQAgAAAAIgAAAGRycy9kb3ducmV2LnhtbFBLAQIUABQAAAAIAIdO4kAzLwWe&#10;OwAAADkAAAAQAAAAAAAAAAEAIAAAAAsBAABkcnMvc2hhcGV4bWwueG1sUEsFBgAAAAAGAAYAWwEA&#10;ALUDAAAAAA==&#10;">
                  <v:fill on="f" focussize="0,0"/>
                  <v:stroke weight="1.35pt" color="#000000" joinstyle="round"/>
                  <v:imagedata o:title=""/>
                  <o:lock v:ext="edit" aspectratio="f"/>
                </v:line>
                <v:group id="Group 3276" o:spid="_x0000_s1026" o:spt="203" style="position:absolute;left:5941;top:3773;height:1943;width:24;" coordorigin="3773,1687" coordsize="24,1684" o:gfxdata="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KtTTvwAAAN0AAAAPAAAAAAAAAAEAIAAAACIAAABkcnMvZG93bnJldi54&#10;bWxQSwECFAAUAAAACACHTuJAMy8FnjsAAAA5AAAAFQAAAAAAAAABACAAAAAOAQAAZHJzL2dyb3Vw&#10;c2hhcGV4bWwueG1sUEsFBgAAAAAGAAYAYAEAAMsDAAAAAA==&#10;">
                  <o:lock v:ext="edit" aspectratio="f"/>
                  <v:shape id="Freeform 3277" o:spid="_x0000_s1026" o:spt="100" style="position:absolute;left:3773;top:1687;height:1684;width:24;" fillcolor="#808080" filled="t" stroked="t" coordsize="134,9433" o:gfxdata="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bmWvC/&#10;AAAA3QAAAA8AAAAAAAAAAQAgAAAAIgAAAGRycy9kb3ducmV2LnhtbFBLAQIUABQAAAAIAIdO4kAz&#10;LwWeOwAAADkAAAAQAAAAAAAAAAEAIAAAAA4BAABkcnMvc2hhcGV4bWwueG1sUEsFBgAAAAAGAAYA&#10;WwEAALgDAAAAAA==&#10;" path="m23,0c10,0,0,10,0,22l0,9411c0,9424,10,9433,23,9433l112,9433c124,9433,134,9424,134,9411l134,22c134,10,124,0,112,0l23,0xe">
                    <v:path o:connectlocs="4,0;0,3;0,1680;4,1684;20,1684;24,1680;24,3;20,0;4,0" o:connectangles="0,0,0,0,0,0,0,0,0"/>
                    <v:fill on="t" focussize="0,0"/>
                    <v:stroke weight="0pt" color="#000000" joinstyle="round"/>
                    <v:imagedata o:title=""/>
                    <o:lock v:ext="edit" aspectratio="f"/>
                  </v:shape>
                  <v:shape id="Freeform 3278" o:spid="_x0000_s1026" o:spt="100" style="position:absolute;left:3773;top:1687;height:1684;width:24;" filled="f" stroked="t" coordsize="134,9433" o:gfxdata="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bD2P1&#10;wAAAAN0AAAAPAAAAAAAAAAEAIAAAACIAAABkcnMvZG93bnJldi54bWxQSwECFAAUAAAACACHTuJA&#10;My8FnjsAAAA5AAAAEAAAAAAAAAABACAAAAAPAQAAZHJzL3NoYXBleG1sLnhtbFBLBQYAAAAABgAG&#10;AFsBAAC5AwAAAAA=&#10;" path="m23,0c10,0,0,10,0,22l0,9411c0,9424,10,9433,23,9433l112,9433c124,9433,134,9424,134,9411l134,22c134,10,124,0,112,0l23,0xe">
                    <v:path o:connectlocs="4,0;0,3;0,1680;4,1684;20,1684;24,1680;24,3;20,0;4,0" o:connectangles="0,0,0,0,0,0,0,0,0"/>
                    <v:fill on="f" focussize="0,0"/>
                    <v:stroke weight="0.45pt" color="#000000" joinstyle="round" endcap="round"/>
                    <v:imagedata o:title=""/>
                    <o:lock v:ext="edit" aspectratio="f"/>
                  </v:shape>
                </v:group>
                <v:rect id="Rectangle 3279" o:spid="_x0000_s1026" o:spt="1" style="position:absolute;left:6428;top:6011;height:1215;width:3491;" filled="f" stroked="f" coordsize="21600,21600" o:gfxdata="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QbLSh&#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Center subcarrier (corresponds to DC in baseband) is not transmitted in downlink</w:t>
                        </w:r>
                      </w:p>
                    </w:txbxContent>
                  </v:textbox>
                </v:rect>
                <v:shape id="Freeform 3280" o:spid="_x0000_s1026" o:spt="100" style="position:absolute;left:5917;top:5716;height:412;width:424;" fillcolor="#000000" filled="t" stroked="t" coordsize="424,357" o:gfxdata="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uzap&#10;wAAAAN0AAAAPAAAAAAAAAAEAIAAAACIAAABkcnMvZG93bnJldi54bWxQSwECFAAUAAAACACHTuJA&#10;My8FnjsAAAA5AAAAEAAAAAAAAAABACAAAAAPAQAAZHJzL3NoYXBleG1sLnhtbFBLBQYAAAAABgAG&#10;AFsBAAC5AwAAAAA=&#10;" path="m424,357l353,357,353,340,424,340,424,357xm299,357l227,357,227,340,299,340,299,357xm173,357l102,357,102,340,173,340,173,357xm48,357l27,357,27,289,45,289,45,348,36,340,48,340,48,357xm27,235l27,164,45,164,45,235,27,235xm27,110l27,60,45,60,45,110,27,110xm0,72l36,0,72,72,0,72xe">
                  <v:path o:connectlocs="424,412;353,412;353,392;424,392;424,412;299,412;227,412;227,392;299,392;299,412;173,412;102,412;102,392;173,392;173,412;48,412;27,412;27,333;45,333;45,401;36,392;48,392;48,412;27,271;27,189;45,189;45,271;27,271;27,126;27,69;45,69;45,126;27,126;0,83;36,0;72,83;0,83" o:connectangles="0,0,0,0,0,0,0,0,0,0,0,0,0,0,0,0,0,0,0,0,0,0,0,0,0,0,0,0,0,0,0,0,0,0,0,0,0"/>
                  <v:fill on="t" focussize="0,0"/>
                  <v:stroke weight="0.1pt" color="#000000" joinstyle="bevel"/>
                  <v:imagedata o:title=""/>
                  <o:lock v:ext="edit" aspectratio="f"/>
                </v:shape>
                <v:shape id="Freeform 3281" o:spid="_x0000_s1026" o:spt="100" style="position:absolute;left:3651;top:5796;height:235;width:2168;" filled="f" stroked="t" coordsize="12100,1133" o:gfxdata="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aNMYrsAAADd&#10;AAAADwAAAAAAAAABACAAAAAiAAAAZHJzL2Rvd25yZXYueG1sUEsBAhQAFAAAAAgAh07iQDMvBZ47&#10;AAAAOQAAABAAAAAAAAAAAQAgAAAACgEAAGRycy9zaGFwZXhtbC54bWxQSwUGAAAAAAYABgBbAQAA&#10;tAMAAAAA&#10;" path="m0,0c0,313,295,567,658,567l5392,567c5755,567,6050,820,6050,1133c6050,820,6345,567,6708,567l11442,567c11805,567,12100,313,12100,0e">
                  <v:path o:connectlocs="0,0;117,117;966,117;1084,235;1201,117;2050,117;2168,0" o:connectangles="0,0,0,0,0,0,0"/>
                  <v:fill on="f" focussize="0,0"/>
                  <v:stroke weight="0.9pt" color="#000000" joinstyle="round"/>
                  <v:imagedata o:title=""/>
                  <o:lock v:ext="edit" aspectratio="f"/>
                </v:shape>
                <v:rect id="Rectangle 3282" o:spid="_x0000_s1026" o:spt="1" style="position:absolute;left:3738;top:6071;height:426;width:2561;mso-wrap-style:none;" filled="f" stroked="f" coordsize="21600,21600" o:gfxdata="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Zor2i/&#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Active Resource Blocks</w:t>
                        </w:r>
                      </w:p>
                    </w:txbxContent>
                  </v:textbox>
                </v:rect>
                <v:shape id="Text Box 3283" o:spid="_x0000_s1026" o:spt="202" type="#_x0000_t202" style="position:absolute;left:9019;top:3314;height:1212;width:797;" filled="f" stroked="f" coordsize="21600,21600" o:gfxdata="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s0wYC5AAAA3QAA&#10;AA8AAAAAAAAAAQAgAAAAIgAAAGRycy9kb3ducmV2LnhtbFBLAQIUABQAAAAIAIdO4kAzLwWeOwAA&#10;ADkAAAAQAAAAAAAAAAEAIAAAAAgBAABkcnMvc2hhcGV4bWwueG1sUEsFBgAAAAAGAAYAWwEAALID&#10;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026" o:spt="202" type="#_x0000_t202" style="position:absolute;left:1982;top:3314;height:1212;width:797;" filled="f" stroked="f" coordsize="21600,21600" o:gfxdata="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4ZBu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rPr>
                            <w:lang w:val="en-US" w:eastAsia="zh-TW"/>
                          </w:rPr>
                          <w:drawing>
                            <wp:inline distT="0" distB="0" distL="0" distR="0">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026" o:spt="202" type="#_x0000_t202" style="position:absolute;left:2971;top:4166;height:1375;width:712;" filled="f" stroked="f" coordsize="21600,21600" o:gfxdata="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Sq+my8AAAA&#10;3QAAAA8AAAAAAAAAAQAgAAAAIgAAAGRycy9kb3ducmV2LnhtbFBLAQIUABQAAAAIAIdO4kAzLwWe&#10;OwAAADkAAAAQAAAAAAAAAAEAIAAAAAsBAABkcnMvc2hhcGV4bWwueG1sUEsFBgAAAAAGAAYAWwEA&#10;ALUDAAAAAA==&#10;">
                  <v:fill on="f" focussize="0,0"/>
                  <v:stroke on="f"/>
                  <v:imagedata o:title=""/>
                  <o:lock v:ext="edit" aspectratio="f"/>
                  <v:textbox inset="0mm,0mm,0mm,0mm" style="layout-flow:vertical-ideographic;">
                    <w:txbxContent>
                      <w:p>
                        <w:pPr>
                          <w:pStyle w:val="113"/>
                        </w:pPr>
                        <w:r>
                          <w:t>Resource block</w:t>
                        </w:r>
                      </w:p>
                    </w:txbxContent>
                  </v:textbox>
                </v:shape>
                <v:rect id="Rectangle 3286" o:spid="_x0000_s1026" o:spt="1" style="position:absolute;left:3616;top:2293;height:443;width:4872;" filled="f" stroked="f" coordsize="21600,21600" o:gfxdata="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533YS/&#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Transmission bandwidth configuration [N</w:t>
                        </w:r>
                        <w:r>
                          <w:rPr>
                            <w:vertAlign w:val="subscript"/>
                            <w:lang w:val="en-US"/>
                          </w:rPr>
                          <w:t>RB</w:t>
                        </w:r>
                        <w:r>
                          <w:rPr>
                            <w:lang w:val="en-US"/>
                          </w:rPr>
                          <w:t>]</w:t>
                        </w:r>
                      </w:p>
                    </w:txbxContent>
                  </v:textbox>
                </v:rect>
                <v:rect id="Rectangle 3287" o:spid="_x0000_s1026" o:spt="1" style="position:absolute;left:4040;top:3020;height:273;width:1454;" filled="f" stroked="f" coordsize="21600,21600" o:gfxdata="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nkXw&#10;wAAAAN0AAAAPAAAAAAAAAAEAIAAAACIAAABkcnMvZG93bnJldi54bWxQSwECFAAUAAAACACHTuJA&#10;My8FnjsAAAA5AAAAEAAAAAAAAAABACAAAAAPAQAAZHJzL3NoYXBleG1sLnhtbFBLBQYAAAAABgAG&#10;AFsBAAC5AwAAAAA=&#10;">
                  <v:fill on="f" focussize="0,0"/>
                  <v:stroke on="f"/>
                  <v:imagedata o:title=""/>
                  <o:lock v:ext="edit" aspectratio="f"/>
                  <v:textbox inset="0mm,0mm,0mm,0mm">
                    <w:txbxContent>
                      <w:p>
                        <w:pPr>
                          <w:pStyle w:val="113"/>
                        </w:pPr>
                        <w:r>
                          <w:rPr>
                            <w:lang w:val="en-US"/>
                          </w:rPr>
                          <w:t>bandwidth [RB]</w:t>
                        </w:r>
                      </w:p>
                    </w:txbxContent>
                  </v:textbox>
                </v:rect>
                <v:shape id="Freeform 3288" o:spid="_x0000_s1026" o:spt="100" style="position:absolute;left:2562;top:2144;height:138;width:6771;" fillcolor="#000000" filled="t" stroked="t" coordsize="6771,119" o:gfxdata="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9g0U&#10;wAAAAN0AAAAPAAAAAAAAAAEAIAAAACIAAABkcnMvZG93bnJldi54bWxQSwECFAAUAAAACACHTuJA&#10;My8FnjsAAAA5AAAAEAAAAAAAAAABACAAAAAPAQAAZHJzL3NoYXBleG1sLnhtbFBLBQYAAAAABgAG&#10;AFsBAAC5AwAAAAA=&#10;" path="m107,50l6663,50,6663,68,107,68,107,50xm119,119l0,59,119,0,119,119xm6651,0l6771,59,6651,119,6651,0xe">
                  <v:path o:connectlocs="107,57;6663,57;6663,78;107,78;107,57;119,138;0,68;119,0;119,138;6651,0;6771,68;6651,138;6651,0" o:connectangles="0,0,0,0,0,0,0,0,0,0,0,0,0"/>
                  <v:fill on="t" focussize="0,0"/>
                  <v:stroke weight="0.1pt" color="#000000" joinstyle="bevel"/>
                  <v:imagedata o:title=""/>
                  <o:lock v:ext="edit" aspectratio="f"/>
                </v:shape>
                <v:rect id="Rectangle 3289" o:spid="_x0000_s1026" o:spt="1" style="position:absolute;left:4583;top:1826;height:426;width:2748;mso-wrap-style:none;" filled="f" stroked="f" coordsize="21600,21600" o:gfxdata="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mb8ae/&#10;AAAA3Q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pPr>
                          <w:pStyle w:val="113"/>
                        </w:pPr>
                        <w:r>
                          <w:rPr>
                            <w:lang w:val="en-US"/>
                          </w:rPr>
                          <w:t>Channel bandwidth [MHz]</w:t>
                        </w:r>
                      </w:p>
                    </w:txbxContent>
                  </v:textbox>
                </v:rect>
              </v:group>
            </w:pict>
          </mc:Fallback>
        </mc:AlternateContent>
      </w:r>
      <w:r>
        <w:rPr>
          <w:lang w:val="en-US" w:eastAsia="zh-TW"/>
        </w:rPr>
        <mc:AlternateContent>
          <mc:Choice Requires="wps">
            <w:drawing>
              <wp:inline distT="0" distB="0" distL="0" distR="0">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AutoShape 22" o:spid="_x0000_s1026" o:spt="1" style="height:276.1pt;width:454.8pt;" filled="f" stroked="f" coordsize="21600,21600" o:gfxdata="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Ga80NcAAAAFAQAADwAAAAAAAAABACAAAAAiAAAAZHJz&#10;L2Rvd25yZXYueG1sUEsBAhQAFAAAAAgAh07iQNpuJ1EFAgAAFQQAAA4AAAAAAAAAAQAgAAAAJgEA&#10;AGRycy9lMm9Eb2MueG1sUEsFBgAAAAAGAAYAWQEAAJ0FAAAAAA==&#10;">
                <v:fill on="f" focussize="0,0"/>
                <v:stroke on="f"/>
                <v:imagedata o:title=""/>
                <o:lock v:ext="edit" aspectratio="t"/>
                <w10:wrap type="none"/>
                <w10:anchorlock/>
              </v:rect>
            </w:pict>
          </mc:Fallback>
        </mc:AlternateContent>
      </w:r>
    </w:p>
    <w:p>
      <w:pPr>
        <w:pStyle w:val="120"/>
      </w:pPr>
      <w:r>
        <w:t>Figure 5.3A-1: Definition of channel bandwidth and transmission bandwidth configuration for one E</w:t>
      </w:r>
      <w:r>
        <w:noBreakHyphen/>
      </w:r>
      <w:r>
        <w:t>UTRA carrier</w:t>
      </w:r>
    </w:p>
    <w:p>
      <w:pPr>
        <w:pStyle w:val="4"/>
      </w:pPr>
      <w:bookmarkStart w:id="156" w:name="_Toc121162803"/>
      <w:bookmarkStart w:id="157" w:name="_Toc120570011"/>
      <w:bookmarkStart w:id="158" w:name="_Toc32212"/>
      <w:bookmarkStart w:id="159" w:name="_Toc1897"/>
      <w:bookmarkStart w:id="160" w:name="_Toc12668"/>
      <w:r>
        <w:t>5.3B</w:t>
      </w:r>
      <w:r>
        <w:tab/>
      </w:r>
      <w:r>
        <w:t>Channel bandwidth for category NB1 and NB2</w:t>
      </w:r>
      <w:bookmarkEnd w:id="156"/>
      <w:bookmarkEnd w:id="157"/>
      <w:bookmarkEnd w:id="158"/>
      <w:bookmarkEnd w:id="159"/>
      <w:bookmarkEnd w:id="160"/>
    </w:p>
    <w:p>
      <w:pPr>
        <w:rPr>
          <w:kern w:val="2"/>
        </w:rPr>
      </w:pPr>
      <w:r>
        <w:rPr>
          <w:kern w:val="2"/>
        </w:rPr>
        <w:t>F</w:t>
      </w:r>
      <w:r>
        <w:rPr>
          <w:rFonts w:hint="eastAsia"/>
          <w:kern w:val="2"/>
        </w:rPr>
        <w:t xml:space="preserve">or </w:t>
      </w:r>
      <w:r>
        <w:rPr>
          <w:rFonts w:hint="eastAsia"/>
          <w:kern w:val="2"/>
          <w:lang w:eastAsia="zh-CN"/>
        </w:rPr>
        <w:t xml:space="preserve">category </w:t>
      </w:r>
      <w:r>
        <w:rPr>
          <w:rFonts w:hint="eastAsia"/>
          <w:kern w:val="2"/>
        </w:rPr>
        <w:t>NB1 and NB2, r</w:t>
      </w:r>
      <w:r>
        <w:rPr>
          <w:kern w:val="2"/>
        </w:rPr>
        <w:t>equirements in present document are specified for the channel bandwidth listed in Table 5.3B-</w:t>
      </w:r>
      <w:r>
        <w:rPr>
          <w:rFonts w:hint="eastAsia"/>
          <w:kern w:val="2"/>
          <w:lang w:eastAsia="zh-CN"/>
        </w:rPr>
        <w:t>1</w:t>
      </w:r>
      <w:r>
        <w:rPr>
          <w:kern w:val="2"/>
        </w:rPr>
        <w:t>.</w:t>
      </w:r>
    </w:p>
    <w:p>
      <w:pPr>
        <w:pStyle w:val="113"/>
      </w:pPr>
      <w:r>
        <w:t>Table 5.3B</w:t>
      </w:r>
      <w:r>
        <w:rPr>
          <w:rFonts w:hint="eastAsia"/>
        </w:rPr>
        <w:t>-</w:t>
      </w:r>
      <w:r>
        <w:rPr>
          <w:rFonts w:hint="eastAsia"/>
          <w:lang w:eastAsia="zh-CN"/>
        </w:rPr>
        <w:t>1</w:t>
      </w:r>
      <w:r>
        <w:t xml:space="preserve">: Transmission bandwidth configuration </w:t>
      </w:r>
      <w:r>
        <w:rPr>
          <w:i/>
        </w:rPr>
        <w:t>N</w:t>
      </w:r>
      <w:r>
        <w:rPr>
          <w:vertAlign w:val="subscript"/>
        </w:rPr>
        <w:t>RB</w:t>
      </w:r>
      <w:r>
        <w:rPr>
          <w:rFonts w:hint="eastAsia"/>
        </w:rPr>
        <w:t xml:space="preserve">, </w:t>
      </w:r>
      <w:r>
        <w:rPr>
          <w:rFonts w:hint="eastAsia"/>
          <w:i/>
        </w:rPr>
        <w:t>N</w:t>
      </w:r>
      <w:r>
        <w:rPr>
          <w:rFonts w:hint="eastAsia"/>
          <w:vertAlign w:val="subscript"/>
        </w:rPr>
        <w:t>tone 15kHz</w:t>
      </w:r>
      <w:r>
        <w:rPr>
          <w:rFonts w:hint="eastAsia"/>
        </w:rPr>
        <w:t xml:space="preserve"> and </w:t>
      </w:r>
      <w:r>
        <w:rPr>
          <w:rFonts w:hint="eastAsia"/>
          <w:i/>
        </w:rPr>
        <w:t>N</w:t>
      </w:r>
      <w:r>
        <w:rPr>
          <w:rFonts w:hint="eastAsia"/>
          <w:vertAlign w:val="subscript"/>
        </w:rPr>
        <w:t>tone 3.75kHz</w:t>
      </w:r>
      <w:r>
        <w:rPr>
          <w:vertAlign w:val="subscript"/>
        </w:rPr>
        <w:t xml:space="preserve"> </w:t>
      </w:r>
      <w:r>
        <w:t>in NB1 and NB2 channel bandwidth</w:t>
      </w:r>
    </w:p>
    <w:tbl>
      <w:tblPr>
        <w:tblStyle w:val="89"/>
        <w:tblW w:w="42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2480" w:type="dxa"/>
            <w:vAlign w:val="center"/>
          </w:tcPr>
          <w:p>
            <w:pPr>
              <w:pStyle w:val="104"/>
              <w:rPr>
                <w:rFonts w:cs="Arial"/>
              </w:rPr>
            </w:pPr>
            <w:r>
              <w:rPr>
                <w:rFonts w:cs="Arial"/>
              </w:rPr>
              <w:t xml:space="preserve">Channel bandwidth </w:t>
            </w:r>
            <w:r>
              <w:t>BW</w:t>
            </w:r>
            <w:r>
              <w:rPr>
                <w:vertAlign w:val="subscript"/>
              </w:rPr>
              <w:t>Channel</w:t>
            </w:r>
            <w:r>
              <w:rPr>
                <w:rFonts w:ascii="Times New Roman" w:hAnsi="Times New Roman" w:cs="Arial"/>
                <w:kern w:val="2"/>
              </w:rPr>
              <w:t xml:space="preserve"> </w:t>
            </w:r>
            <w:r>
              <w:rPr>
                <w:rFonts w:cs="Arial"/>
              </w:rPr>
              <w:t>[kHz]</w:t>
            </w:r>
          </w:p>
        </w:tc>
        <w:tc>
          <w:tcPr>
            <w:tcW w:w="1800" w:type="dxa"/>
            <w:vAlign w:val="center"/>
          </w:tcPr>
          <w:p>
            <w:pPr>
              <w:pStyle w:val="104"/>
              <w:rPr>
                <w:rFonts w:cs="Arial"/>
              </w:rPr>
            </w:pPr>
            <w:r>
              <w:rPr>
                <w:rFonts w:cs="Aria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RB</w:t>
            </w:r>
          </w:p>
        </w:tc>
        <w:tc>
          <w:tcPr>
            <w:tcW w:w="1800" w:type="dxa"/>
            <w:vAlign w:val="center"/>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vAlign w:val="center"/>
          </w:tcPr>
          <w:p>
            <w:pPr>
              <w:pStyle w:val="105"/>
              <w:rPr>
                <w:rFonts w:cs="Arial"/>
              </w:rPr>
            </w:pPr>
            <w:r>
              <w:rPr>
                <w:rFonts w:cs="Arial"/>
              </w:rPr>
              <w:t xml:space="preserve">Transmission bandwidth configuration </w:t>
            </w:r>
            <w:r>
              <w:rPr>
                <w:rFonts w:cs="Arial"/>
                <w:i/>
              </w:rPr>
              <w:t>N</w:t>
            </w:r>
            <w:r>
              <w:rPr>
                <w:rFonts w:cs="Arial"/>
                <w:vertAlign w:val="subscript"/>
              </w:rPr>
              <w:t>tone 15kHz</w:t>
            </w:r>
          </w:p>
        </w:tc>
        <w:tc>
          <w:tcPr>
            <w:tcW w:w="1800" w:type="dxa"/>
            <w:vAlign w:val="center"/>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248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 xml:space="preserve">Transmission bandwidth configuration </w:t>
            </w:r>
            <w:r>
              <w:rPr>
                <w:rFonts w:cs="Arial"/>
                <w:i/>
              </w:rPr>
              <w:t>N</w:t>
            </w:r>
            <w:r>
              <w:rPr>
                <w:rFonts w:cs="Arial"/>
                <w:vertAlign w:val="subscript"/>
              </w:rPr>
              <w:t xml:space="preserve">tone 3.75kHz </w:t>
            </w:r>
          </w:p>
        </w:tc>
        <w:tc>
          <w:tcPr>
            <w:tcW w:w="180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48</w:t>
            </w:r>
          </w:p>
        </w:tc>
      </w:tr>
    </w:tbl>
    <w:p/>
    <w:p>
      <w:r>
        <w:t>Figure 5.3B-1 shows the relation between the Category NB1</w:t>
      </w:r>
      <w:r>
        <w:rPr>
          <w:rFonts w:hint="eastAsia"/>
          <w:lang w:eastAsia="zh-CN"/>
        </w:rPr>
        <w:t>/</w:t>
      </w:r>
      <w:r>
        <w:t>NB2 channel bandwidth (BW</w:t>
      </w:r>
      <w:r>
        <w:rPr>
          <w:vertAlign w:val="subscript"/>
        </w:rPr>
        <w:t>Channel</w:t>
      </w:r>
      <w:r>
        <w:t xml:space="preserve">) and the Category NB1 </w:t>
      </w:r>
      <w:r>
        <w:rPr>
          <w:rFonts w:hint="eastAsia"/>
          <w:lang w:eastAsia="zh-CN"/>
        </w:rPr>
        <w:t>/</w:t>
      </w:r>
      <w:r>
        <w:t>NB2 transmission bandwidth configuration (N</w:t>
      </w:r>
      <w:r>
        <w:rPr>
          <w:vertAlign w:val="subscript"/>
        </w:rPr>
        <w:t>tone</w:t>
      </w:r>
      <w:r>
        <w:t>). The channel edges are defined as the lowest and highest frequencies of the carrier separated by the channel bandwidth, i.e. at F</w:t>
      </w:r>
      <w:r>
        <w:rPr>
          <w:vertAlign w:val="subscript"/>
        </w:rPr>
        <w:t>C</w:t>
      </w:r>
      <w:r>
        <w:t xml:space="preserve"> +/- BW</w:t>
      </w:r>
      <w:r>
        <w:rPr>
          <w:vertAlign w:val="subscript"/>
        </w:rPr>
        <w:t>Channel</w:t>
      </w:r>
      <w:r>
        <w:t xml:space="preserve"> /2.</w:t>
      </w:r>
    </w:p>
    <w:p>
      <w:pPr>
        <w:pStyle w:val="113"/>
      </w:pPr>
      <w:r>
        <w:rPr>
          <w:lang w:val="en-US" w:eastAsia="zh-TW"/>
        </w:rPr>
        <w:drawing>
          <wp:inline distT="0" distB="0" distL="0" distR="0">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pPr>
        <w:pStyle w:val="120"/>
      </w:pPr>
      <w:r>
        <w:t>Figure 5.3B-1: Definition of Channel Bandwidth and Transmission Bandwidth configuration</w:t>
      </w:r>
    </w:p>
    <w:p>
      <w:pPr>
        <w:pStyle w:val="4"/>
      </w:pPr>
      <w:bookmarkStart w:id="161" w:name="_Toc17549"/>
      <w:bookmarkStart w:id="162" w:name="_Toc111062017"/>
      <w:bookmarkStart w:id="163" w:name="_Toc22551"/>
      <w:bookmarkStart w:id="164" w:name="_Toc120570012"/>
      <w:bookmarkStart w:id="165" w:name="_Toc121162804"/>
      <w:bookmarkStart w:id="166" w:name="_Toc5639"/>
      <w:r>
        <w:t>5.4</w:t>
      </w:r>
      <w:r>
        <w:tab/>
      </w:r>
      <w:r>
        <w:t>Channel arrangement</w:t>
      </w:r>
      <w:bookmarkEnd w:id="161"/>
      <w:bookmarkEnd w:id="162"/>
      <w:bookmarkEnd w:id="163"/>
      <w:bookmarkEnd w:id="164"/>
      <w:bookmarkEnd w:id="165"/>
      <w:bookmarkEnd w:id="166"/>
    </w:p>
    <w:p>
      <w:r>
        <w:t>This clause is reserved.</w:t>
      </w:r>
    </w:p>
    <w:p>
      <w:pPr>
        <w:pStyle w:val="4"/>
      </w:pPr>
      <w:bookmarkStart w:id="167" w:name="_Toc121162805"/>
      <w:bookmarkStart w:id="168" w:name="_Toc26103"/>
      <w:bookmarkStart w:id="169" w:name="_Toc23743"/>
      <w:bookmarkStart w:id="170" w:name="_Toc120570013"/>
      <w:bookmarkStart w:id="171" w:name="_Toc14320"/>
      <w:r>
        <w:t>5.4A</w:t>
      </w:r>
      <w:r>
        <w:tab/>
      </w:r>
      <w:r>
        <w:t>Channel arrangement for category M1</w:t>
      </w:r>
      <w:bookmarkEnd w:id="167"/>
      <w:bookmarkEnd w:id="168"/>
      <w:bookmarkEnd w:id="169"/>
      <w:bookmarkEnd w:id="170"/>
      <w:bookmarkEnd w:id="171"/>
    </w:p>
    <w:p>
      <w:pPr>
        <w:pStyle w:val="5"/>
      </w:pPr>
      <w:bookmarkStart w:id="172" w:name="_Toc368026205"/>
      <w:bookmarkStart w:id="173" w:name="_Toc120570014"/>
      <w:bookmarkStart w:id="174" w:name="_Toc121162806"/>
      <w:bookmarkStart w:id="175" w:name="_Toc6332"/>
      <w:bookmarkStart w:id="176" w:name="_Toc111062018"/>
      <w:bookmarkStart w:id="177" w:name="_Toc4200"/>
      <w:bookmarkStart w:id="178" w:name="_Toc23661"/>
      <w:r>
        <w:t>5.4A.1</w:t>
      </w:r>
      <w:r>
        <w:tab/>
      </w:r>
      <w:r>
        <w:t>Channel spacing</w:t>
      </w:r>
      <w:bookmarkEnd w:id="172"/>
      <w:bookmarkEnd w:id="173"/>
      <w:bookmarkEnd w:id="174"/>
      <w:bookmarkEnd w:id="175"/>
      <w:bookmarkEnd w:id="176"/>
      <w:bookmarkEnd w:id="177"/>
      <w:bookmarkEnd w:id="178"/>
    </w:p>
    <w:p>
      <w:r>
        <w:t>The spacing between carriers will depend on the deployment scenario, the size of the frequency block available and the channel bandwidths. The nominal channel spacing between two adjacent E-UTRA carriers is defined as following:</w:t>
      </w:r>
    </w:p>
    <w:p>
      <w:pPr>
        <w:pStyle w:val="95"/>
      </w:pPr>
      <w:r>
        <w:tab/>
      </w:r>
      <w:r>
        <w:t>Nominal Channel spacing = (BW</w:t>
      </w:r>
      <w:r>
        <w:rPr>
          <w:vertAlign w:val="subscript"/>
        </w:rPr>
        <w:t>Channel(1)</w:t>
      </w:r>
      <w:r>
        <w:t xml:space="preserve"> + BW</w:t>
      </w:r>
      <w:r>
        <w:rPr>
          <w:vertAlign w:val="subscript"/>
        </w:rPr>
        <w:t>Channel(2)</w:t>
      </w:r>
      <w:r>
        <w:t>)/2</w:t>
      </w:r>
    </w:p>
    <w:p>
      <w:r>
        <w:t>where BW</w:t>
      </w:r>
      <w:r>
        <w:rPr>
          <w:vertAlign w:val="subscript"/>
        </w:rPr>
        <w:t>Channel(1)</w:t>
      </w:r>
      <w:r>
        <w:t xml:space="preserve"> and BW</w:t>
      </w:r>
      <w:r>
        <w:rPr>
          <w:vertAlign w:val="subscript"/>
        </w:rPr>
        <w:t>Channel(2)</w:t>
      </w:r>
      <w:r>
        <w:t xml:space="preserve"> are the channel bandwidths of the two respective E-UTRA carriers. The channel spacing can be adjusted to optimize performance in a particular deployment scenario.</w:t>
      </w:r>
    </w:p>
    <w:p>
      <w:pPr>
        <w:pStyle w:val="5"/>
      </w:pPr>
      <w:bookmarkStart w:id="179" w:name="_Toc368026209"/>
      <w:bookmarkStart w:id="180" w:name="_Toc111062020"/>
      <w:bookmarkStart w:id="181" w:name="_Toc120570015"/>
      <w:bookmarkStart w:id="182" w:name="_Toc11468"/>
      <w:bookmarkStart w:id="183" w:name="_Toc22197"/>
      <w:bookmarkStart w:id="184" w:name="_Toc13774"/>
      <w:bookmarkStart w:id="185" w:name="_Toc121162807"/>
      <w:r>
        <w:t>5.4A.2</w:t>
      </w:r>
      <w:r>
        <w:tab/>
      </w:r>
      <w:bookmarkEnd w:id="179"/>
      <w:r>
        <w:t>Channel raster, carrier frequency and EARFCN</w:t>
      </w:r>
      <w:bookmarkEnd w:id="180"/>
      <w:bookmarkEnd w:id="181"/>
      <w:bookmarkEnd w:id="182"/>
      <w:bookmarkEnd w:id="183"/>
      <w:bookmarkEnd w:id="184"/>
      <w:bookmarkEnd w:id="185"/>
    </w:p>
    <w:p>
      <w:r>
        <w:rPr>
          <w:rFonts w:eastAsia="Yu Mincho"/>
        </w:rPr>
        <w:t xml:space="preserve">The global frequency raster is defined for all frequencies. The granularity of the global frequency raster is </w:t>
      </w:r>
      <w:r>
        <w:t>100 kHz, which means that the carrier centre frequency must be an integer multiple of 100 kHz. For each operating band, a subset of frequencies from the global frequency raster are applicable and forms a channel raster with a granularity ΔF</w:t>
      </w:r>
      <w:r>
        <w:rPr>
          <w:vertAlign w:val="subscript"/>
        </w:rPr>
        <w:t>Raster</w:t>
      </w:r>
      <w:r>
        <w:t>.</w:t>
      </w:r>
    </w:p>
    <w:p>
      <w:r>
        <w:rPr>
          <w:rFonts w:cs="v5.0.0"/>
        </w:rPr>
        <w:t xml:space="preserve">The carrier frequency in the uplink and downlink is designated by the E-UTRA Absolute Radio Frequency Channel Number (EARFCN) in the range 0 – 262143. </w:t>
      </w:r>
      <w:r>
        <w:t>The relation between EARFCN and the carrier frequency in MHz for the downlink is given by the following equation, where F</w:t>
      </w:r>
      <w:r>
        <w:rPr>
          <w:vertAlign w:val="subscript"/>
        </w:rPr>
        <w:t>DL_low</w:t>
      </w:r>
      <w:r>
        <w:t xml:space="preserve"> and N</w:t>
      </w:r>
      <w:r>
        <w:rPr>
          <w:vertAlign w:val="subscript"/>
        </w:rPr>
        <w:t>Offs-DL</w:t>
      </w:r>
      <w:r>
        <w:t xml:space="preserve"> are given in Table 5.4A.2-1 and N</w:t>
      </w:r>
      <w:r>
        <w:rPr>
          <w:vertAlign w:val="subscript"/>
        </w:rPr>
        <w:t>DL</w:t>
      </w:r>
      <w:r>
        <w:t xml:space="preserve"> is the downlink EARFCN.</w:t>
      </w:r>
    </w:p>
    <w:p>
      <w:pPr>
        <w:pStyle w:val="95"/>
      </w:pPr>
      <w:r>
        <w:tab/>
      </w: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p>
    <w:p>
      <w:r>
        <w:t>The relation between EARFCN and the carrier frequency in MHz for the uplink is given by the following equation where F</w:t>
      </w:r>
      <w:r>
        <w:rPr>
          <w:vertAlign w:val="subscript"/>
        </w:rPr>
        <w:t>UL_low</w:t>
      </w:r>
      <w:r>
        <w:t xml:space="preserve"> and N</w:t>
      </w:r>
      <w:r>
        <w:rPr>
          <w:vertAlign w:val="subscript"/>
        </w:rPr>
        <w:t>Offs-UL</w:t>
      </w:r>
      <w:r>
        <w:t xml:space="preserve"> are given in Table 5.4.2-1 and N</w:t>
      </w:r>
      <w:r>
        <w:rPr>
          <w:vertAlign w:val="subscript"/>
        </w:rPr>
        <w:t>UL</w:t>
      </w:r>
      <w:r>
        <w:t xml:space="preserve"> is the uplink EARFCN.</w:t>
      </w:r>
    </w:p>
    <w:p>
      <w:pPr>
        <w:pStyle w:val="95"/>
      </w:pPr>
      <w:r>
        <w:tab/>
      </w: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p>
    <w:p>
      <w:r>
        <w:t xml:space="preserve">The applicable channel raster and EARFCNs for each operating band are specified in Table 5.4A.2-1. </w:t>
      </w:r>
    </w:p>
    <w:p>
      <w:r>
        <w:t xml:space="preserve">For operating bands with a channel raster of 100 kHz, every </w:t>
      </w:r>
      <w:bookmarkStart w:id="186" w:name="_Hlk499903272"/>
      <w:r>
        <w:t>EARFCN within the operating band shall be applicable for the channel raster, and the step size for the channel raster in Table 5.4A.2</w:t>
      </w:r>
      <w:r>
        <w:noBreakHyphen/>
      </w:r>
      <w:r>
        <w:t>1 is given as &lt;1&gt;.</w:t>
      </w:r>
      <w:bookmarkEnd w:id="186"/>
      <w:r>
        <w:t xml:space="preserve"> The broadcast parameter </w:t>
      </w:r>
      <w:r>
        <w:rPr>
          <w:i/>
        </w:rPr>
        <w:t>earfcn</w:t>
      </w:r>
      <w:r>
        <w:rPr>
          <w:i/>
          <w:iCs/>
        </w:rPr>
        <w:t>-LSB</w:t>
      </w:r>
      <w:r>
        <w:t xml:space="preserve"> defined in TS</w:t>
      </w:r>
      <w:r>
        <w:rPr>
          <w:lang w:val="en-US"/>
        </w:rPr>
        <w:t xml:space="preserve"> </w:t>
      </w:r>
      <w:r>
        <w:t>36.331 [6] may be used to assist the UE in synchronizing to the cell.</w:t>
      </w:r>
    </w:p>
    <w:p>
      <w:pPr>
        <w:pStyle w:val="113"/>
      </w:pPr>
      <w:r>
        <w:t>Table 5.4A.2-1: E-UTRA channel numbers</w:t>
      </w:r>
    </w:p>
    <w:tbl>
      <w:tblPr>
        <w:tblStyle w:val="89"/>
        <w:tblW w:w="96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1055"/>
        <w:gridCol w:w="1134"/>
        <w:gridCol w:w="1134"/>
        <w:gridCol w:w="1701"/>
        <w:gridCol w:w="1134"/>
        <w:gridCol w:w="850"/>
        <w:gridCol w:w="15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7" w:type="dxa"/>
            <w:vMerge w:val="restart"/>
            <w:shd w:val="clear" w:color="auto" w:fill="auto"/>
            <w:vAlign w:val="bottom"/>
          </w:tcPr>
          <w:p>
            <w:pPr>
              <w:pStyle w:val="104"/>
              <w:rPr>
                <w:rFonts w:cs="Arial"/>
              </w:rPr>
            </w:pPr>
            <w:r>
              <w:rPr>
                <w:rFonts w:cs="Arial"/>
              </w:rPr>
              <w:t>E-UTRA Operating</w:t>
            </w:r>
          </w:p>
          <w:p>
            <w:pPr>
              <w:pStyle w:val="104"/>
              <w:rPr>
                <w:rFonts w:cs="Arial"/>
              </w:rPr>
            </w:pPr>
            <w:r>
              <w:rPr>
                <w:rFonts w:cs="Arial"/>
              </w:rPr>
              <w:t>Band</w:t>
            </w:r>
          </w:p>
        </w:tc>
        <w:tc>
          <w:tcPr>
            <w:tcW w:w="1055" w:type="dxa"/>
            <w:vMerge w:val="restart"/>
            <w:vAlign w:val="center"/>
          </w:tcPr>
          <w:p>
            <w:pPr>
              <w:pStyle w:val="104"/>
              <w:rPr>
                <w:rFonts w:cs="Arial"/>
              </w:rPr>
            </w:pPr>
            <w:r>
              <w:t>ΔF</w:t>
            </w:r>
            <w:r>
              <w:rPr>
                <w:vertAlign w:val="subscript"/>
              </w:rPr>
              <w:t>Raster</w:t>
            </w:r>
            <w:r>
              <w:t xml:space="preserve"> (kHz)</w:t>
            </w:r>
          </w:p>
        </w:tc>
        <w:tc>
          <w:tcPr>
            <w:tcW w:w="3969" w:type="dxa"/>
            <w:gridSpan w:val="3"/>
          </w:tcPr>
          <w:p>
            <w:pPr>
              <w:pStyle w:val="104"/>
              <w:rPr>
                <w:rFonts w:cs="Arial"/>
              </w:rPr>
            </w:pPr>
            <w:r>
              <w:rPr>
                <w:rFonts w:cs="Arial"/>
              </w:rPr>
              <w:t>Downlink</w:t>
            </w:r>
          </w:p>
        </w:tc>
        <w:tc>
          <w:tcPr>
            <w:tcW w:w="3540" w:type="dxa"/>
            <w:gridSpan w:val="3"/>
          </w:tcPr>
          <w:p>
            <w:pPr>
              <w:pStyle w:val="104"/>
              <w:rPr>
                <w:rFonts w:cs="Arial"/>
              </w:rPr>
            </w:pPr>
            <w:r>
              <w:rPr>
                <w:rFonts w:cs="Arial"/>
              </w:rPr>
              <w:t>Uplink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7" w:type="dxa"/>
            <w:vMerge w:val="continue"/>
            <w:shd w:val="clear" w:color="auto" w:fill="auto"/>
          </w:tcPr>
          <w:p>
            <w:pPr>
              <w:pStyle w:val="104"/>
              <w:rPr>
                <w:rFonts w:cs="Arial"/>
              </w:rPr>
            </w:pPr>
          </w:p>
        </w:tc>
        <w:tc>
          <w:tcPr>
            <w:tcW w:w="1055" w:type="dxa"/>
            <w:vMerge w:val="continue"/>
          </w:tcPr>
          <w:p>
            <w:pPr>
              <w:pStyle w:val="104"/>
              <w:rPr>
                <w:rFonts w:cs="Arial"/>
              </w:rPr>
            </w:pPr>
          </w:p>
        </w:tc>
        <w:tc>
          <w:tcPr>
            <w:tcW w:w="1134" w:type="dxa"/>
          </w:tcPr>
          <w:p>
            <w:pPr>
              <w:pStyle w:val="104"/>
              <w:rPr>
                <w:rFonts w:cs="Arial"/>
              </w:rPr>
            </w:pPr>
            <w:r>
              <w:rPr>
                <w:rFonts w:cs="Arial"/>
              </w:rPr>
              <w:t>F</w:t>
            </w:r>
            <w:r>
              <w:rPr>
                <w:rFonts w:cs="Arial"/>
                <w:vertAlign w:val="subscript"/>
              </w:rPr>
              <w:t xml:space="preserve">DL_low </w:t>
            </w:r>
            <w:r>
              <w:rPr>
                <w:rFonts w:cs="Arial"/>
              </w:rPr>
              <w:t>(MHz)</w:t>
            </w:r>
          </w:p>
        </w:tc>
        <w:tc>
          <w:tcPr>
            <w:tcW w:w="1134" w:type="dxa"/>
          </w:tcPr>
          <w:p>
            <w:pPr>
              <w:pStyle w:val="104"/>
              <w:rPr>
                <w:rFonts w:cs="Arial"/>
              </w:rPr>
            </w:pPr>
            <w:r>
              <w:rPr>
                <w:rFonts w:cs="Arial"/>
              </w:rPr>
              <w:t>N</w:t>
            </w:r>
            <w:r>
              <w:rPr>
                <w:rFonts w:cs="Arial"/>
                <w:vertAlign w:val="subscript"/>
              </w:rPr>
              <w:t>Offs-DL</w:t>
            </w:r>
          </w:p>
        </w:tc>
        <w:tc>
          <w:tcPr>
            <w:tcW w:w="1701" w:type="dxa"/>
          </w:tcPr>
          <w:p>
            <w:pPr>
              <w:pStyle w:val="104"/>
              <w:rPr>
                <w:rFonts w:cs="Arial"/>
                <w:vertAlign w:val="subscript"/>
              </w:rPr>
            </w:pPr>
            <w:r>
              <w:rPr>
                <w:rFonts w:cs="Arial"/>
              </w:rPr>
              <w:t>Range of N</w:t>
            </w:r>
            <w:r>
              <w:rPr>
                <w:rFonts w:cs="Arial"/>
                <w:vertAlign w:val="subscript"/>
              </w:rPr>
              <w:t>DL</w:t>
            </w:r>
          </w:p>
          <w:p>
            <w:pPr>
              <w:pStyle w:val="104"/>
              <w:rPr>
                <w:rFonts w:cs="Arial"/>
              </w:rPr>
            </w:pPr>
            <w:r>
              <w:rPr>
                <w:rFonts w:eastAsia="Yu Mincho"/>
              </w:rPr>
              <w:t>(First – &lt;Step size&gt; – Last)</w:t>
            </w:r>
          </w:p>
        </w:tc>
        <w:tc>
          <w:tcPr>
            <w:tcW w:w="1134" w:type="dxa"/>
          </w:tcPr>
          <w:p>
            <w:pPr>
              <w:pStyle w:val="104"/>
              <w:rPr>
                <w:rFonts w:cs="Arial"/>
              </w:rPr>
            </w:pPr>
            <w:r>
              <w:rPr>
                <w:rFonts w:cs="Arial"/>
              </w:rPr>
              <w:t>F</w:t>
            </w:r>
            <w:r>
              <w:rPr>
                <w:rFonts w:cs="Arial"/>
                <w:vertAlign w:val="subscript"/>
              </w:rPr>
              <w:t xml:space="preserve">UL_low </w:t>
            </w:r>
            <w:r>
              <w:rPr>
                <w:rFonts w:cs="Arial"/>
              </w:rPr>
              <w:t>(MHz)</w:t>
            </w:r>
          </w:p>
        </w:tc>
        <w:tc>
          <w:tcPr>
            <w:tcW w:w="850" w:type="dxa"/>
          </w:tcPr>
          <w:p>
            <w:pPr>
              <w:pStyle w:val="104"/>
              <w:rPr>
                <w:rFonts w:cs="Arial"/>
              </w:rPr>
            </w:pPr>
            <w:r>
              <w:rPr>
                <w:rFonts w:cs="Arial"/>
              </w:rPr>
              <w:t>N</w:t>
            </w:r>
            <w:r>
              <w:rPr>
                <w:rFonts w:cs="Arial"/>
                <w:vertAlign w:val="subscript"/>
              </w:rPr>
              <w:t>Offs-UL</w:t>
            </w:r>
          </w:p>
        </w:tc>
        <w:tc>
          <w:tcPr>
            <w:tcW w:w="1556" w:type="dxa"/>
          </w:tcPr>
          <w:p>
            <w:pPr>
              <w:pStyle w:val="104"/>
              <w:rPr>
                <w:rFonts w:cs="Arial"/>
                <w:vertAlign w:val="subscript"/>
              </w:rPr>
            </w:pPr>
            <w:r>
              <w:rPr>
                <w:rFonts w:cs="Arial"/>
              </w:rPr>
              <w:t>Range of N</w:t>
            </w:r>
            <w:r>
              <w:rPr>
                <w:rFonts w:cs="Arial"/>
                <w:vertAlign w:val="subscript"/>
              </w:rPr>
              <w:t>UL</w:t>
            </w:r>
          </w:p>
          <w:p>
            <w:pPr>
              <w:pStyle w:val="104"/>
              <w:rPr>
                <w:rFonts w:cs="Arial"/>
              </w:rPr>
            </w:pPr>
            <w:r>
              <w:rPr>
                <w:rFonts w:eastAsia="Yu Mincho"/>
              </w:rPr>
              <w:t>(First – &lt;Step size&gt; – Last)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7" w:type="dxa"/>
          </w:tcPr>
          <w:p>
            <w:pPr>
              <w:pStyle w:val="105"/>
              <w:rPr>
                <w:rFonts w:cs="Arial"/>
                <w:szCs w:val="18"/>
              </w:rPr>
            </w:pPr>
            <w:r>
              <w:rPr>
                <w:rFonts w:cs="Arial"/>
                <w:szCs w:val="18"/>
              </w:rPr>
              <w:t>256</w:t>
            </w:r>
          </w:p>
        </w:tc>
        <w:tc>
          <w:tcPr>
            <w:tcW w:w="1055" w:type="dxa"/>
          </w:tcPr>
          <w:p>
            <w:pPr>
              <w:pStyle w:val="105"/>
              <w:rPr>
                <w:rFonts w:cs="Arial"/>
                <w:szCs w:val="18"/>
              </w:rPr>
            </w:pPr>
            <w:r>
              <w:rPr>
                <w:rFonts w:cs="Arial"/>
                <w:szCs w:val="18"/>
              </w:rPr>
              <w:t>100</w:t>
            </w:r>
          </w:p>
        </w:tc>
        <w:tc>
          <w:tcPr>
            <w:tcW w:w="1134" w:type="dxa"/>
          </w:tcPr>
          <w:p>
            <w:pPr>
              <w:pStyle w:val="105"/>
              <w:rPr>
                <w:rFonts w:cs="Arial"/>
                <w:szCs w:val="18"/>
              </w:rPr>
            </w:pPr>
            <w:r>
              <w:rPr>
                <w:rFonts w:cs="Arial"/>
                <w:szCs w:val="18"/>
              </w:rPr>
              <w:t>2170</w:t>
            </w:r>
          </w:p>
        </w:tc>
        <w:tc>
          <w:tcPr>
            <w:tcW w:w="1134" w:type="dxa"/>
          </w:tcPr>
          <w:p>
            <w:pPr>
              <w:pStyle w:val="105"/>
              <w:rPr>
                <w:rFonts w:cs="Arial"/>
                <w:szCs w:val="18"/>
              </w:rPr>
            </w:pPr>
            <w:r>
              <w:rPr>
                <w:rFonts w:cs="Arial"/>
              </w:rPr>
              <w:t>229076</w:t>
            </w:r>
          </w:p>
        </w:tc>
        <w:tc>
          <w:tcPr>
            <w:tcW w:w="1701" w:type="dxa"/>
          </w:tcPr>
          <w:p>
            <w:pPr>
              <w:pStyle w:val="105"/>
              <w:rPr>
                <w:rFonts w:cs="Arial"/>
                <w:szCs w:val="18"/>
              </w:rPr>
            </w:pPr>
            <w:r>
              <w:rPr>
                <w:rFonts w:cs="Arial"/>
              </w:rPr>
              <w:t>229076</w:t>
            </w:r>
            <w:r>
              <w:rPr>
                <w:rFonts w:cs="Arial"/>
                <w:szCs w:val="18"/>
              </w:rPr>
              <w:t xml:space="preserve"> –&lt;1&gt;- </w:t>
            </w:r>
            <w:r>
              <w:rPr>
                <w:rFonts w:cs="Arial"/>
              </w:rPr>
              <w:t>229375</w:t>
            </w:r>
          </w:p>
        </w:tc>
        <w:tc>
          <w:tcPr>
            <w:tcW w:w="1134" w:type="dxa"/>
          </w:tcPr>
          <w:p>
            <w:pPr>
              <w:pStyle w:val="105"/>
              <w:rPr>
                <w:rFonts w:cs="Arial"/>
                <w:szCs w:val="18"/>
              </w:rPr>
            </w:pPr>
            <w:r>
              <w:rPr>
                <w:rFonts w:cs="Arial"/>
                <w:szCs w:val="18"/>
              </w:rPr>
              <w:t>1980</w:t>
            </w:r>
          </w:p>
        </w:tc>
        <w:tc>
          <w:tcPr>
            <w:tcW w:w="850" w:type="dxa"/>
          </w:tcPr>
          <w:p>
            <w:pPr>
              <w:pStyle w:val="105"/>
              <w:rPr>
                <w:rFonts w:cs="Arial"/>
                <w:szCs w:val="18"/>
              </w:rPr>
            </w:pPr>
            <w:r>
              <w:rPr>
                <w:rFonts w:cs="Arial"/>
              </w:rPr>
              <w:t>261844</w:t>
            </w:r>
          </w:p>
        </w:tc>
        <w:tc>
          <w:tcPr>
            <w:tcW w:w="1556" w:type="dxa"/>
          </w:tcPr>
          <w:p>
            <w:pPr>
              <w:pStyle w:val="105"/>
              <w:rPr>
                <w:szCs w:val="18"/>
              </w:rPr>
            </w:pPr>
            <w:r>
              <w:t>261844</w:t>
            </w:r>
            <w:r>
              <w:rPr>
                <w:szCs w:val="18"/>
              </w:rPr>
              <w:t xml:space="preserve"> –&lt;1&gt;- </w:t>
            </w:r>
            <w:r>
              <w:t>262143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67" w:type="dxa"/>
          </w:tcPr>
          <w:p>
            <w:pPr>
              <w:pStyle w:val="105"/>
              <w:rPr>
                <w:rFonts w:cs="Arial"/>
                <w:szCs w:val="18"/>
              </w:rPr>
            </w:pPr>
            <w:r>
              <w:rPr>
                <w:rFonts w:cs="Arial"/>
                <w:szCs w:val="18"/>
              </w:rPr>
              <w:t>255</w:t>
            </w:r>
          </w:p>
        </w:tc>
        <w:tc>
          <w:tcPr>
            <w:tcW w:w="1055" w:type="dxa"/>
          </w:tcPr>
          <w:p>
            <w:pPr>
              <w:pStyle w:val="105"/>
              <w:rPr>
                <w:rFonts w:cs="Arial"/>
                <w:szCs w:val="18"/>
              </w:rPr>
            </w:pPr>
            <w:r>
              <w:rPr>
                <w:rFonts w:cs="Arial"/>
                <w:szCs w:val="18"/>
              </w:rPr>
              <w:t>100</w:t>
            </w:r>
          </w:p>
        </w:tc>
        <w:tc>
          <w:tcPr>
            <w:tcW w:w="1134" w:type="dxa"/>
          </w:tcPr>
          <w:p>
            <w:pPr>
              <w:pStyle w:val="105"/>
              <w:rPr>
                <w:rFonts w:cs="Arial"/>
                <w:szCs w:val="18"/>
              </w:rPr>
            </w:pPr>
            <w:r>
              <w:rPr>
                <w:rFonts w:cs="Arial"/>
                <w:szCs w:val="18"/>
              </w:rPr>
              <w:t>1525</w:t>
            </w:r>
          </w:p>
        </w:tc>
        <w:tc>
          <w:tcPr>
            <w:tcW w:w="1134" w:type="dxa"/>
          </w:tcPr>
          <w:p>
            <w:pPr>
              <w:pStyle w:val="105"/>
              <w:rPr>
                <w:rFonts w:cs="Arial"/>
                <w:szCs w:val="18"/>
              </w:rPr>
            </w:pPr>
            <w:r>
              <w:rPr>
                <w:rFonts w:cs="Arial"/>
              </w:rPr>
              <w:t>228736</w:t>
            </w:r>
          </w:p>
        </w:tc>
        <w:tc>
          <w:tcPr>
            <w:tcW w:w="1701" w:type="dxa"/>
          </w:tcPr>
          <w:p>
            <w:pPr>
              <w:pStyle w:val="105"/>
              <w:rPr>
                <w:rFonts w:cs="Arial"/>
                <w:szCs w:val="18"/>
              </w:rPr>
            </w:pPr>
            <w:r>
              <w:rPr>
                <w:rFonts w:cs="Arial"/>
              </w:rPr>
              <w:t>228736</w:t>
            </w:r>
            <w:r>
              <w:rPr>
                <w:rFonts w:cs="Arial"/>
                <w:szCs w:val="18"/>
              </w:rPr>
              <w:t xml:space="preserve"> –&lt;1&gt;- </w:t>
            </w:r>
            <w:r>
              <w:rPr>
                <w:rFonts w:cs="Arial"/>
              </w:rPr>
              <w:t>229075</w:t>
            </w:r>
          </w:p>
        </w:tc>
        <w:tc>
          <w:tcPr>
            <w:tcW w:w="1134" w:type="dxa"/>
          </w:tcPr>
          <w:p>
            <w:pPr>
              <w:pStyle w:val="105"/>
              <w:rPr>
                <w:rFonts w:cs="Arial"/>
                <w:szCs w:val="18"/>
              </w:rPr>
            </w:pPr>
            <w:r>
              <w:rPr>
                <w:rFonts w:cs="Arial"/>
                <w:szCs w:val="18"/>
              </w:rPr>
              <w:t>1626.5</w:t>
            </w:r>
          </w:p>
        </w:tc>
        <w:tc>
          <w:tcPr>
            <w:tcW w:w="850" w:type="dxa"/>
          </w:tcPr>
          <w:p>
            <w:pPr>
              <w:pStyle w:val="105"/>
              <w:rPr>
                <w:rFonts w:cs="Arial"/>
                <w:szCs w:val="18"/>
              </w:rPr>
            </w:pPr>
            <w:r>
              <w:rPr>
                <w:rFonts w:cs="Arial"/>
              </w:rPr>
              <w:t>261504</w:t>
            </w:r>
          </w:p>
        </w:tc>
        <w:tc>
          <w:tcPr>
            <w:tcW w:w="1556" w:type="dxa"/>
          </w:tcPr>
          <w:p>
            <w:pPr>
              <w:pStyle w:val="105"/>
              <w:rPr>
                <w:rFonts w:cs="Arial"/>
                <w:szCs w:val="18"/>
              </w:rPr>
            </w:pPr>
            <w:r>
              <w:rPr>
                <w:rFonts w:cs="Arial"/>
              </w:rPr>
              <w:t>261504</w:t>
            </w:r>
            <w:r>
              <w:rPr>
                <w:rFonts w:cs="Arial"/>
                <w:szCs w:val="18"/>
              </w:rPr>
              <w:t xml:space="preserve"> –&lt;1&gt;- </w:t>
            </w:r>
            <w:r>
              <w:rPr>
                <w:rFonts w:cs="Arial"/>
              </w:rPr>
              <w:t>261843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8"/>
          </w:tcPr>
          <w:p>
            <w:pPr>
              <w:pStyle w:val="118"/>
              <w:rPr>
                <w:rFonts w:cs="Arial"/>
              </w:rPr>
            </w:pPr>
            <w:r>
              <w:rPr>
                <w:rFonts w:cs="Arial"/>
              </w:rPr>
              <w:t xml:space="preserve">NOTE 1: </w:t>
            </w:r>
            <w:r>
              <w:rPr>
                <w:rFonts w:cs="Arial"/>
              </w:rPr>
              <w:tab/>
            </w:r>
            <w:r>
              <w:rPr>
                <w:rFonts w:cs="Arial"/>
              </w:rPr>
              <w:t>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MHz.</w:t>
            </w:r>
          </w:p>
        </w:tc>
      </w:tr>
    </w:tbl>
    <w:p/>
    <w:p>
      <w:pPr>
        <w:pStyle w:val="5"/>
      </w:pPr>
      <w:bookmarkStart w:id="187" w:name="_Toc23634"/>
      <w:bookmarkStart w:id="188" w:name="_Toc120570016"/>
      <w:bookmarkStart w:id="189" w:name="_Toc7653"/>
      <w:bookmarkStart w:id="190" w:name="_Toc111062022"/>
      <w:bookmarkStart w:id="191" w:name="_Toc121162808"/>
      <w:bookmarkStart w:id="192" w:name="_Toc368026210"/>
      <w:bookmarkStart w:id="193" w:name="_Toc28473"/>
      <w:r>
        <w:t>5.4A.3</w:t>
      </w:r>
      <w:r>
        <w:tab/>
      </w:r>
      <w:r>
        <w:t>TX–RX frequency separation</w:t>
      </w:r>
      <w:bookmarkEnd w:id="187"/>
      <w:bookmarkEnd w:id="188"/>
      <w:bookmarkEnd w:id="189"/>
      <w:bookmarkEnd w:id="190"/>
      <w:bookmarkEnd w:id="191"/>
      <w:bookmarkEnd w:id="192"/>
      <w:bookmarkEnd w:id="193"/>
    </w:p>
    <w:p>
      <w:r>
        <w:t>The default E-UTRA TX channel (carrier centre frequency) to RX channel (carrier centre frequency) separation is specified in Table 5.4A.3-1 for the TX and RX channel bandwidth defined in Table 5.3A.1-1.</w:t>
      </w:r>
    </w:p>
    <w:p>
      <w:pPr>
        <w:pStyle w:val="113"/>
      </w:pPr>
      <w:r>
        <w:t>Table 5.4A.3-1: Default UE TX-RX frequency separation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17"/>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817" w:type="dxa"/>
          </w:tcPr>
          <w:p>
            <w:pPr>
              <w:pStyle w:val="104"/>
              <w:rPr>
                <w:rFonts w:cs="Arial"/>
              </w:rPr>
            </w:pPr>
            <w:r>
              <w:rPr>
                <w:rFonts w:cs="Arial"/>
              </w:rPr>
              <w:t>E-UTRA Operating Band</w:t>
            </w:r>
          </w:p>
        </w:tc>
        <w:tc>
          <w:tcPr>
            <w:tcW w:w="2693" w:type="dxa"/>
          </w:tcPr>
          <w:p>
            <w:pPr>
              <w:pStyle w:val="104"/>
              <w:rPr>
                <w:rFonts w:cs="Arial"/>
              </w:rPr>
            </w:pPr>
            <w:r>
              <w:rPr>
                <w:rFonts w:cs="Arial"/>
              </w:rPr>
              <w:t xml:space="preserve">TX </w:t>
            </w:r>
            <w:r>
              <w:rPr>
                <w:rFonts w:cs="v5.0.0"/>
              </w:rPr>
              <w:t>–</w:t>
            </w:r>
            <w:r>
              <w:rPr>
                <w:rFonts w:cs="Arial"/>
              </w:rPr>
              <w:t xml:space="preserve"> RX </w:t>
            </w:r>
            <w:r>
              <w:rPr>
                <w:rFonts w:cs="Arial"/>
              </w:rPr>
              <w:br w:type="textWrapping"/>
            </w:r>
            <w:r>
              <w:rPr>
                <w:rFonts w:cs="Arial"/>
              </w:rPr>
              <w:t>carrier centre frequency</w:t>
            </w:r>
            <w:r>
              <w:rPr>
                <w:rFonts w:cs="Arial"/>
              </w:rPr>
              <w:br w:type="textWrapping"/>
            </w:r>
            <w:r>
              <w:rPr>
                <w:rFonts w:cs="Arial"/>
              </w:rPr>
              <w:t>separation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256</w:t>
            </w:r>
          </w:p>
        </w:tc>
        <w:tc>
          <w:tcPr>
            <w:tcW w:w="2693" w:type="dxa"/>
          </w:tcPr>
          <w:p>
            <w:pPr>
              <w:pStyle w:val="105"/>
              <w:rPr>
                <w:rFonts w:cs="Arial"/>
              </w:rPr>
            </w:pPr>
            <w:r>
              <w:rPr>
                <w:rFonts w:cs="Arial"/>
              </w:rPr>
              <w:t>190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17" w:type="dxa"/>
          </w:tcPr>
          <w:p>
            <w:pPr>
              <w:pStyle w:val="105"/>
              <w:rPr>
                <w:rFonts w:cs="Arial"/>
              </w:rPr>
            </w:pPr>
            <w:r>
              <w:rPr>
                <w:rFonts w:cs="Arial"/>
              </w:rPr>
              <w:t>255</w:t>
            </w:r>
          </w:p>
        </w:tc>
        <w:tc>
          <w:tcPr>
            <w:tcW w:w="2693" w:type="dxa"/>
          </w:tcPr>
          <w:p>
            <w:pPr>
              <w:pStyle w:val="105"/>
              <w:rPr>
                <w:rFonts w:cs="Arial"/>
              </w:rPr>
            </w:pPr>
            <w:r>
              <w:rPr>
                <w:rFonts w:cs="Arial"/>
              </w:rPr>
              <w:t>-101.5 MHz</w:t>
            </w:r>
          </w:p>
        </w:tc>
      </w:tr>
    </w:tbl>
    <w:p/>
    <w:p>
      <w:pPr>
        <w:pStyle w:val="4"/>
      </w:pPr>
      <w:bookmarkStart w:id="194" w:name="_Toc31042"/>
      <w:bookmarkStart w:id="195" w:name="_Toc31551"/>
      <w:bookmarkStart w:id="196" w:name="_Toc121162809"/>
      <w:bookmarkStart w:id="197" w:name="_Toc120570017"/>
      <w:bookmarkStart w:id="198" w:name="_Toc26630"/>
      <w:r>
        <w:t>5.4B</w:t>
      </w:r>
      <w:r>
        <w:tab/>
      </w:r>
      <w:r>
        <w:t>Channel arrangement for category NB1 and NB2</w:t>
      </w:r>
      <w:bookmarkEnd w:id="194"/>
      <w:bookmarkEnd w:id="195"/>
      <w:bookmarkEnd w:id="196"/>
      <w:bookmarkEnd w:id="197"/>
      <w:bookmarkEnd w:id="198"/>
    </w:p>
    <w:p>
      <w:pPr>
        <w:pStyle w:val="5"/>
      </w:pPr>
      <w:bookmarkStart w:id="199" w:name="_Toc10173"/>
      <w:bookmarkStart w:id="200" w:name="_Toc120570018"/>
      <w:bookmarkStart w:id="201" w:name="_Toc121162810"/>
      <w:bookmarkStart w:id="202" w:name="_Toc18832"/>
      <w:bookmarkStart w:id="203" w:name="_Toc5841"/>
      <w:r>
        <w:t>5.4B.1</w:t>
      </w:r>
      <w:r>
        <w:tab/>
      </w:r>
      <w:r>
        <w:t>Channel spacing</w:t>
      </w:r>
      <w:bookmarkEnd w:id="199"/>
      <w:bookmarkEnd w:id="200"/>
      <w:bookmarkEnd w:id="201"/>
      <w:bookmarkEnd w:id="202"/>
      <w:bookmarkEnd w:id="203"/>
    </w:p>
    <w:p>
      <w:r>
        <w:t>Nominal channel spacing for UE category NB1 and NB2 in stand-alone mode is 200 kHz.</w:t>
      </w:r>
    </w:p>
    <w:p>
      <w:pPr>
        <w:pStyle w:val="5"/>
      </w:pPr>
      <w:bookmarkStart w:id="204" w:name="_Toc1120"/>
      <w:bookmarkStart w:id="205" w:name="_Toc10208"/>
      <w:bookmarkStart w:id="206" w:name="_Toc23697"/>
      <w:bookmarkStart w:id="207" w:name="_Toc121162811"/>
      <w:bookmarkStart w:id="208" w:name="_Toc120570019"/>
      <w:r>
        <w:t>5.4B.2</w:t>
      </w:r>
      <w:r>
        <w:tab/>
      </w:r>
      <w:r>
        <w:t>Channel raster, carrier frequency and EARFCN</w:t>
      </w:r>
      <w:bookmarkEnd w:id="204"/>
      <w:bookmarkEnd w:id="205"/>
      <w:bookmarkEnd w:id="206"/>
      <w:bookmarkEnd w:id="207"/>
      <w:bookmarkEnd w:id="208"/>
    </w:p>
    <w:p>
      <w:pPr>
        <w:rPr>
          <w:rFonts w:eastAsia="宋体"/>
        </w:rPr>
      </w:pPr>
      <w:r>
        <w:rPr>
          <w:rFonts w:eastAsia="宋体"/>
        </w:rPr>
        <w:t xml:space="preserve">The channel raster of UE category </w:t>
      </w:r>
      <w:r>
        <w:t xml:space="preserve">NB1/NB2 </w:t>
      </w:r>
      <w:r>
        <w:rPr>
          <w:rFonts w:eastAsia="宋体"/>
        </w:rPr>
        <w:t>shall be as defined in clause 5.4A.2, and the channel raster per-frequency band shall be as defined in table 5.4A.2-1.</w:t>
      </w:r>
    </w:p>
    <w:p>
      <w:pPr>
        <w:rPr>
          <w:rFonts w:eastAsia="宋体"/>
          <w:lang w:val="en-US"/>
        </w:rPr>
      </w:pPr>
      <w:r>
        <w:rPr>
          <w:rFonts w:eastAsia="宋体"/>
        </w:rPr>
        <w:t>T</w:t>
      </w:r>
      <w:r>
        <w:t>he carrier frequency</w:t>
      </w:r>
      <w:r>
        <w:rPr>
          <w:rFonts w:eastAsia="宋体"/>
        </w:rPr>
        <w:t xml:space="preserve"> of UE category </w:t>
      </w:r>
      <w:r>
        <w:t>NB1/NB2</w:t>
      </w:r>
      <w:r>
        <w:rPr>
          <w:rFonts w:eastAsia="宋体"/>
        </w:rPr>
        <w:t xml:space="preserve"> </w:t>
      </w:r>
      <w:r>
        <w:t xml:space="preserve">in </w:t>
      </w:r>
      <w:r>
        <w:rPr>
          <w:rFonts w:eastAsia="宋体"/>
        </w:rPr>
        <w:t xml:space="preserve">the </w:t>
      </w:r>
      <w:r>
        <w:t>downlink is designated by the E-UTRA Absolute Radio Frequency Channel Number (EARFCN) as defined in Table 5.4</w:t>
      </w:r>
      <w:r>
        <w:rPr>
          <w:lang w:eastAsia="zh-TW"/>
        </w:rPr>
        <w:t>A</w:t>
      </w:r>
      <w:r>
        <w:t>.2-1, and the Offset of category NB1/NB2 Channel Number to EARFCN in the range of {-10, -9, -8, -7, -6, -5, -4, -3, -2, -1, -0.5, 0, 1, 2, 3, 4, 5, 6, 7, 8, 9} for FDD. The relation between EARFCN</w:t>
      </w:r>
      <w:r>
        <w:rPr>
          <w:rFonts w:eastAsia="宋体"/>
        </w:rPr>
        <w:t xml:space="preserve">, Offset of category </w:t>
      </w:r>
      <w:r>
        <w:t>NB1/NB2</w:t>
      </w:r>
      <w:r>
        <w:rPr>
          <w:rFonts w:eastAsia="宋体"/>
        </w:rPr>
        <w:t xml:space="preserve"> Channel Number to EARFCN</w:t>
      </w:r>
      <w:r>
        <w:t xml:space="preserve"> and the carrier frequency in MHz for the downlink is given by the following equation, where F</w:t>
      </w:r>
      <w:r>
        <w:rPr>
          <w:vertAlign w:val="subscript"/>
        </w:rPr>
        <w:t>DL</w:t>
      </w:r>
      <w:r>
        <w:t xml:space="preserve"> </w:t>
      </w:r>
      <w:r>
        <w:rPr>
          <w:rFonts w:eastAsia="宋体"/>
        </w:rPr>
        <w:t xml:space="preserve">is the downlink carrier frequency of </w:t>
      </w:r>
      <w:r>
        <w:t>category NB1/NB2</w:t>
      </w:r>
      <w:r>
        <w:rPr>
          <w:rFonts w:eastAsia="宋体"/>
        </w:rPr>
        <w:t xml:space="preserve">, </w:t>
      </w:r>
      <w:r>
        <w:t>F</w:t>
      </w:r>
      <w:r>
        <w:rPr>
          <w:vertAlign w:val="subscript"/>
        </w:rPr>
        <w:t>DL_low</w:t>
      </w:r>
      <w:r>
        <w:t xml:space="preserve"> and N</w:t>
      </w:r>
      <w:r>
        <w:rPr>
          <w:vertAlign w:val="subscript"/>
        </w:rPr>
        <w:t>Offs-DL</w:t>
      </w:r>
      <w:r>
        <w:t xml:space="preserve"> are given in table 5.4</w:t>
      </w:r>
      <w:r>
        <w:rPr>
          <w:lang w:eastAsia="zh-TW"/>
        </w:rPr>
        <w:t>A</w:t>
      </w:r>
      <w:r>
        <w:t>.2-1</w:t>
      </w:r>
      <w:r>
        <w:rPr>
          <w:rFonts w:eastAsia="宋体"/>
        </w:rPr>
        <w:t xml:space="preserve">, </w:t>
      </w:r>
      <w:r>
        <w:t>N</w:t>
      </w:r>
      <w:r>
        <w:rPr>
          <w:vertAlign w:val="subscript"/>
        </w:rPr>
        <w:t>DL</w:t>
      </w:r>
      <w:r>
        <w:t xml:space="preserve"> is the downlink EARFCN</w:t>
      </w:r>
      <w:r>
        <w:rPr>
          <w:rFonts w:eastAsia="宋体"/>
        </w:rPr>
        <w:t>, M</w:t>
      </w:r>
      <w:r>
        <w:rPr>
          <w:vertAlign w:val="subscript"/>
        </w:rPr>
        <w:t>DL</w:t>
      </w:r>
      <w:r>
        <w:rPr>
          <w:rFonts w:eastAsia="宋体"/>
          <w:vertAlign w:val="subscript"/>
        </w:rPr>
        <w:t xml:space="preserve"> </w:t>
      </w:r>
      <w:r>
        <w:rPr>
          <w:rFonts w:eastAsia="宋体"/>
        </w:rPr>
        <w:t xml:space="preserve">is the Offset of category </w:t>
      </w:r>
      <w:r>
        <w:t>NB1/NB2</w:t>
      </w:r>
      <w:r>
        <w:rPr>
          <w:rFonts w:eastAsia="宋体"/>
        </w:rPr>
        <w:t xml:space="preserve"> Channel Number to downlink EARFCN.</w:t>
      </w:r>
    </w:p>
    <w:p>
      <w:pPr>
        <w:pStyle w:val="95"/>
        <w:spacing w:after="240"/>
        <w:jc w:val="center"/>
        <w:rPr>
          <w:rFonts w:eastAsia="宋体"/>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宋体"/>
        </w:rPr>
        <w:t xml:space="preserve"> + 0.0025*(2M</w:t>
      </w:r>
      <w:r>
        <w:rPr>
          <w:rFonts w:eastAsia="宋体"/>
          <w:vertAlign w:val="subscript"/>
        </w:rPr>
        <w:t>DL</w:t>
      </w:r>
      <w:r>
        <w:rPr>
          <w:rFonts w:eastAsia="宋体"/>
        </w:rPr>
        <w:t>)</w:t>
      </w:r>
    </w:p>
    <w:p>
      <w:pPr>
        <w:rPr>
          <w:rFonts w:eastAsia="宋体"/>
        </w:rPr>
      </w:pPr>
      <w:r>
        <w:t xml:space="preserve">The carrier frequency </w:t>
      </w:r>
      <w:r>
        <w:rPr>
          <w:rFonts w:eastAsia="宋体"/>
        </w:rPr>
        <w:t xml:space="preserve">of UE category </w:t>
      </w:r>
      <w:r>
        <w:t>NB1/NB2</w:t>
      </w:r>
      <w:r>
        <w:rPr>
          <w:rFonts w:eastAsia="宋体"/>
        </w:rPr>
        <w:t xml:space="preserve"> </w:t>
      </w:r>
      <w:r>
        <w:t xml:space="preserve">in </w:t>
      </w:r>
      <w:r>
        <w:rPr>
          <w:rFonts w:eastAsia="宋体"/>
        </w:rPr>
        <w:t>the uplink</w:t>
      </w:r>
      <w:r>
        <w:t xml:space="preserve"> is designated by the E-UTRA Absolute Radio Frequency Channel Number (EARFCN) as defined in Table 5.4</w:t>
      </w:r>
      <w:r>
        <w:rPr>
          <w:lang w:eastAsia="zh-TW"/>
        </w:rPr>
        <w:t>A</w:t>
      </w:r>
      <w:r>
        <w:t>.2-1, and the Offset of category NB1/NB2 Channel Number to EARFCN in the range of {-10, -9, -8, -7, -6, -5, -4, -3, -2, -1, 0, 1, 2, 3, 4, 5, 6, 7, 8, 9} for FDD. The relation between EARFCN</w:t>
      </w:r>
      <w:r>
        <w:rPr>
          <w:rFonts w:eastAsia="宋体"/>
        </w:rPr>
        <w:t xml:space="preserve">, Offset of </w:t>
      </w:r>
      <w:r>
        <w:t>category NB1/NB2</w:t>
      </w:r>
      <w:r>
        <w:rPr>
          <w:rFonts w:eastAsia="宋体"/>
        </w:rPr>
        <w:t xml:space="preserve"> Channel Number</w:t>
      </w:r>
      <w:r>
        <w:t xml:space="preserve"> </w:t>
      </w:r>
      <w:r>
        <w:rPr>
          <w:rFonts w:eastAsia="宋体"/>
        </w:rPr>
        <w:t xml:space="preserve">to EARFCN </w:t>
      </w:r>
      <w:r>
        <w:t xml:space="preserve">and the carrier frequency in MHz for the </w:t>
      </w:r>
      <w:r>
        <w:rPr>
          <w:rFonts w:eastAsia="宋体"/>
        </w:rPr>
        <w:t>uplink</w:t>
      </w:r>
      <w:r>
        <w:t xml:space="preserve"> is given by the following equation, where F</w:t>
      </w:r>
      <w:r>
        <w:rPr>
          <w:rFonts w:eastAsia="宋体"/>
          <w:vertAlign w:val="subscript"/>
        </w:rPr>
        <w:t>U</w:t>
      </w:r>
      <w:r>
        <w:rPr>
          <w:vertAlign w:val="subscript"/>
        </w:rPr>
        <w:t>L</w:t>
      </w:r>
      <w:r>
        <w:t xml:space="preserve"> </w:t>
      </w:r>
      <w:r>
        <w:rPr>
          <w:rFonts w:eastAsia="宋体"/>
        </w:rPr>
        <w:t xml:space="preserve">is the uplink carrier frequency of category </w:t>
      </w:r>
      <w:r>
        <w:t>NB1/NB2</w:t>
      </w:r>
      <w:r>
        <w:rPr>
          <w:rFonts w:eastAsia="宋体"/>
        </w:rPr>
        <w:t xml:space="preserve">, </w:t>
      </w:r>
      <w:r>
        <w:t>F</w:t>
      </w:r>
      <w:r>
        <w:rPr>
          <w:rFonts w:eastAsia="宋体"/>
          <w:vertAlign w:val="subscript"/>
        </w:rPr>
        <w:t>U</w:t>
      </w:r>
      <w:r>
        <w:rPr>
          <w:vertAlign w:val="subscript"/>
        </w:rPr>
        <w:t>L_low</w:t>
      </w:r>
      <w:r>
        <w:t xml:space="preserve"> and N</w:t>
      </w:r>
      <w:r>
        <w:rPr>
          <w:vertAlign w:val="subscript"/>
        </w:rPr>
        <w:t>Offs-</w:t>
      </w:r>
      <w:r>
        <w:rPr>
          <w:rFonts w:eastAsia="宋体"/>
          <w:vertAlign w:val="subscript"/>
        </w:rPr>
        <w:t>U</w:t>
      </w:r>
      <w:r>
        <w:rPr>
          <w:vertAlign w:val="subscript"/>
        </w:rPr>
        <w:t>L</w:t>
      </w:r>
      <w:r>
        <w:t xml:space="preserve"> are given in table 5.4</w:t>
      </w:r>
      <w:r>
        <w:rPr>
          <w:lang w:eastAsia="zh-TW"/>
        </w:rPr>
        <w:t>A</w:t>
      </w:r>
      <w:r>
        <w:t>.2-1</w:t>
      </w:r>
      <w:r>
        <w:rPr>
          <w:rFonts w:eastAsia="宋体"/>
        </w:rPr>
        <w:t xml:space="preserve">, </w:t>
      </w:r>
      <w:r>
        <w:t>N</w:t>
      </w:r>
      <w:r>
        <w:rPr>
          <w:rFonts w:eastAsia="宋体"/>
          <w:vertAlign w:val="subscript"/>
        </w:rPr>
        <w:t>U</w:t>
      </w:r>
      <w:r>
        <w:rPr>
          <w:vertAlign w:val="subscript"/>
        </w:rPr>
        <w:t>L</w:t>
      </w:r>
      <w:r>
        <w:t xml:space="preserve"> is the </w:t>
      </w:r>
      <w:r>
        <w:rPr>
          <w:rFonts w:eastAsia="宋体"/>
        </w:rPr>
        <w:t>uplink</w:t>
      </w:r>
      <w:r>
        <w:t xml:space="preserve"> EARFCN</w:t>
      </w:r>
      <w:r>
        <w:rPr>
          <w:rFonts w:eastAsia="宋体"/>
        </w:rPr>
        <w:t>, M</w:t>
      </w:r>
      <w:r>
        <w:rPr>
          <w:rFonts w:eastAsia="宋体"/>
          <w:vertAlign w:val="subscript"/>
        </w:rPr>
        <w:t>U</w:t>
      </w:r>
      <w:r>
        <w:rPr>
          <w:vertAlign w:val="subscript"/>
        </w:rPr>
        <w:t>L</w:t>
      </w:r>
      <w:r>
        <w:rPr>
          <w:rFonts w:eastAsia="宋体"/>
          <w:vertAlign w:val="subscript"/>
        </w:rPr>
        <w:t xml:space="preserve"> </w:t>
      </w:r>
      <w:r>
        <w:rPr>
          <w:rFonts w:eastAsia="宋体"/>
        </w:rPr>
        <w:t xml:space="preserve">is the Offset of </w:t>
      </w:r>
      <w:r>
        <w:t>category NB1/NB2</w:t>
      </w:r>
      <w:r>
        <w:rPr>
          <w:rFonts w:eastAsia="宋体"/>
        </w:rPr>
        <w:t xml:space="preserve"> Channel Number to uplink EARFCN.</w:t>
      </w:r>
    </w:p>
    <w:p>
      <w:pPr>
        <w:pStyle w:val="95"/>
        <w:spacing w:after="240"/>
        <w:jc w:val="center"/>
        <w:rPr>
          <w:rFonts w:eastAsia="宋体"/>
        </w:rPr>
      </w:pPr>
      <w:r>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w:t>
      </w:r>
      <w:r>
        <w:rPr>
          <w:rFonts w:eastAsia="宋体"/>
        </w:rPr>
        <w:t xml:space="preserve"> + 0.0025*(2M</w:t>
      </w:r>
      <w:r>
        <w:rPr>
          <w:rFonts w:eastAsia="宋体"/>
          <w:vertAlign w:val="subscript"/>
        </w:rPr>
        <w:t>UL</w:t>
      </w:r>
      <w:r>
        <w:rPr>
          <w:rFonts w:eastAsia="宋体"/>
        </w:rPr>
        <w:t>)</w:t>
      </w:r>
    </w:p>
    <w:p>
      <w:pPr>
        <w:pStyle w:val="100"/>
      </w:pPr>
      <w:r>
        <w:t>NOTE 1:</w:t>
      </w:r>
      <w:r>
        <w:tab/>
      </w:r>
      <w:r>
        <w:t>Guard-band operation and in-band operation for NB-IoT are not supported in this version of the specification.</w:t>
      </w:r>
    </w:p>
    <w:p>
      <w:pPr>
        <w:pStyle w:val="100"/>
      </w:pPr>
      <w:r>
        <w:rPr>
          <w:rFonts w:cs="v5.0.0"/>
        </w:rPr>
        <w:t>NOTE 2:</w:t>
      </w:r>
      <w:r>
        <w:rPr>
          <w:rFonts w:cs="v5.0.0"/>
        </w:rPr>
        <w:tab/>
      </w:r>
      <w:r>
        <w:rPr>
          <w:rFonts w:cs="v5.0.0"/>
        </w:rPr>
        <w:t>F</w:t>
      </w:r>
      <w:r>
        <w:rPr>
          <w:lang w:eastAsia="zh-CN"/>
        </w:rPr>
        <w:t>or the carrier including NPSS/NSSS for stand-alone operation, M</w:t>
      </w:r>
      <w:r>
        <w:rPr>
          <w:sz w:val="15"/>
          <w:szCs w:val="15"/>
          <w:lang w:eastAsia="zh-CN"/>
        </w:rPr>
        <w:t>DL</w:t>
      </w:r>
      <w:r>
        <w:rPr>
          <w:lang w:eastAsia="zh-CN"/>
        </w:rPr>
        <w:t xml:space="preserve"> = </w:t>
      </w:r>
      <w:r>
        <w:rPr>
          <w:lang w:val="en-US" w:eastAsia="zh-CN"/>
        </w:rPr>
        <w:t>0</w:t>
      </w:r>
      <w:r>
        <w:rPr>
          <w:lang w:eastAsia="zh-CN"/>
        </w:rPr>
        <w:t>.</w:t>
      </w:r>
    </w:p>
    <w:p>
      <w:pPr>
        <w:pStyle w:val="5"/>
      </w:pPr>
      <w:bookmarkStart w:id="209" w:name="_Toc121162812"/>
      <w:bookmarkStart w:id="210" w:name="_Toc3666"/>
      <w:bookmarkStart w:id="211" w:name="_Toc120570020"/>
      <w:bookmarkStart w:id="212" w:name="_Toc27231"/>
      <w:bookmarkStart w:id="213" w:name="_Toc3438"/>
      <w:r>
        <w:t>5.4B.3</w:t>
      </w:r>
      <w:r>
        <w:tab/>
      </w:r>
      <w:r>
        <w:t>TX–RX frequency separation</w:t>
      </w:r>
      <w:bookmarkEnd w:id="209"/>
      <w:bookmarkEnd w:id="210"/>
      <w:bookmarkEnd w:id="211"/>
      <w:bookmarkEnd w:id="212"/>
      <w:bookmarkEnd w:id="213"/>
      <w:r>
        <w:t xml:space="preserve"> </w:t>
      </w:r>
    </w:p>
    <w:p>
      <w:pPr>
        <w:rPr>
          <w:color w:val="2F5597" w:themeColor="accent1" w:themeShade="BF"/>
          <w:lang w:eastAsia="zh-TW"/>
        </w:rPr>
      </w:pPr>
      <w:r>
        <w:t xml:space="preserve">For UE category NB1/NB2 operation in stand-alone mode, the default TX-RX frequency separation shall be as specified in </w:t>
      </w:r>
      <w:r>
        <w:rPr>
          <w:rFonts w:hint="eastAsia"/>
          <w:lang w:eastAsia="zh-CN"/>
        </w:rPr>
        <w:t>Table</w:t>
      </w:r>
      <w:r>
        <w:t xml:space="preserve"> 5.4A.3-1 for the NB-IoT TX and RX channel bandwidth defined in Table 5.3B-1.</w:t>
      </w:r>
    </w:p>
    <w:p>
      <w:pPr>
        <w:pStyle w:val="3"/>
      </w:pPr>
      <w:bookmarkStart w:id="214" w:name="_Toc111062025"/>
      <w:bookmarkStart w:id="215" w:name="_Toc368026212"/>
      <w:bookmarkStart w:id="216" w:name="_Toc20677"/>
      <w:bookmarkStart w:id="217" w:name="_Toc32344"/>
      <w:bookmarkStart w:id="218" w:name="_Toc121162813"/>
      <w:bookmarkStart w:id="219" w:name="_Toc120570021"/>
      <w:bookmarkStart w:id="220" w:name="_Toc25459"/>
      <w:r>
        <w:t>6</w:t>
      </w:r>
      <w:r>
        <w:tab/>
      </w:r>
      <w:r>
        <w:t>Transmitter characteristics</w:t>
      </w:r>
      <w:bookmarkEnd w:id="214"/>
      <w:bookmarkEnd w:id="215"/>
      <w:bookmarkEnd w:id="216"/>
      <w:bookmarkEnd w:id="217"/>
      <w:bookmarkEnd w:id="218"/>
      <w:bookmarkEnd w:id="219"/>
      <w:bookmarkEnd w:id="220"/>
    </w:p>
    <w:p>
      <w:pPr>
        <w:pStyle w:val="4"/>
      </w:pPr>
      <w:bookmarkStart w:id="221" w:name="_Toc121162814"/>
      <w:bookmarkStart w:id="222" w:name="_Toc12328"/>
      <w:bookmarkStart w:id="223" w:name="_Toc120570022"/>
      <w:bookmarkStart w:id="224" w:name="_Toc111062026"/>
      <w:bookmarkStart w:id="225" w:name="_Toc27631"/>
      <w:bookmarkStart w:id="226" w:name="_Toc31848"/>
      <w:bookmarkStart w:id="227" w:name="_Toc368026213"/>
      <w:r>
        <w:t>6.1</w:t>
      </w:r>
      <w:r>
        <w:tab/>
      </w:r>
      <w:r>
        <w:t>General</w:t>
      </w:r>
      <w:bookmarkEnd w:id="221"/>
      <w:bookmarkEnd w:id="222"/>
      <w:bookmarkEnd w:id="223"/>
      <w:bookmarkEnd w:id="224"/>
      <w:bookmarkEnd w:id="225"/>
      <w:bookmarkEnd w:id="226"/>
      <w:bookmarkEnd w:id="227"/>
    </w:p>
    <w:p>
      <w:r>
        <w:t>Unless otherwise stated, the transmitter characteristics are specified at the antenna connector of the UE with a single transmit antenna. For UE with integral antenna only, a reference antenna with a gain of 0 dBi is assumed.</w:t>
      </w:r>
    </w:p>
    <w:p>
      <w:pPr>
        <w:rPr>
          <w:rFonts w:eastAsia="宋体"/>
          <w:lang w:eastAsia="zh-CN"/>
        </w:rPr>
      </w:pPr>
      <w:r>
        <w:rPr>
          <w:rFonts w:eastAsia="宋体"/>
          <w:lang w:eastAsia="zh-CN"/>
        </w:rPr>
        <w:t>All requirements in this section are applicable to devices supporting GSO and/or NGSO satellites.</w:t>
      </w:r>
    </w:p>
    <w:p>
      <w:r>
        <w:t xml:space="preserve">All </w:t>
      </w:r>
      <w:r>
        <w:rPr>
          <w:rFonts w:hint="eastAsia" w:eastAsia="宋体"/>
          <w:lang w:eastAsia="zh-CN"/>
        </w:rPr>
        <w:t>requirements</w:t>
      </w:r>
      <w:r>
        <w:t xml:space="preserve"> in this section, other than frequency error in clauses 6.4A.1 and 6.4B.1, </w:t>
      </w:r>
      <w:r>
        <w:rPr>
          <w:snapToGrid w:val="0"/>
        </w:rPr>
        <w:t xml:space="preserve">shall be verified </w:t>
      </w:r>
      <w:r>
        <w:t>when Doppler conditions are set to zero and delay conditions are set to constant for all types of satellites.</w:t>
      </w:r>
      <w:r>
        <w:rPr>
          <w:rFonts w:hint="eastAsia" w:eastAsia="宋体"/>
          <w:lang w:val="en-US" w:eastAsia="zh-CN"/>
        </w:rPr>
        <w:t xml:space="preserve"> </w:t>
      </w:r>
      <w:r>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pPr>
        <w:rPr>
          <w:rFonts w:cs="v5.0.0"/>
          <w:color w:val="000000" w:themeColor="text1"/>
          <w14:textFill>
            <w14:solidFill>
              <w14:schemeClr w14:val="tx1"/>
            </w14:solidFill>
          </w14:textFill>
        </w:rPr>
      </w:pPr>
      <w:r>
        <w:t>For testing of category NB1 in all operation bands, standalone is used as default operation mode unless otherwise stated by the test case.</w:t>
      </w:r>
    </w:p>
    <w:p>
      <w:pPr>
        <w:pStyle w:val="4"/>
      </w:pPr>
      <w:bookmarkStart w:id="228" w:name="_Toc111062027"/>
      <w:bookmarkStart w:id="229" w:name="_Toc368026214"/>
      <w:bookmarkStart w:id="230" w:name="_Toc9666"/>
      <w:bookmarkStart w:id="231" w:name="_Toc28867"/>
      <w:bookmarkStart w:id="232" w:name="_Toc17782"/>
      <w:bookmarkStart w:id="233" w:name="_Toc121162815"/>
      <w:bookmarkStart w:id="234" w:name="_Toc120570023"/>
      <w:r>
        <w:t>6.2</w:t>
      </w:r>
      <w:r>
        <w:tab/>
      </w:r>
      <w:r>
        <w:t>Transmit power</w:t>
      </w:r>
      <w:bookmarkEnd w:id="228"/>
      <w:bookmarkEnd w:id="229"/>
      <w:bookmarkEnd w:id="230"/>
      <w:bookmarkEnd w:id="231"/>
      <w:bookmarkEnd w:id="232"/>
      <w:bookmarkEnd w:id="233"/>
      <w:bookmarkEnd w:id="234"/>
    </w:p>
    <w:p>
      <w:pPr>
        <w:pStyle w:val="4"/>
      </w:pPr>
      <w:bookmarkStart w:id="235" w:name="_Toc7190"/>
      <w:bookmarkStart w:id="236" w:name="_Toc13096"/>
      <w:bookmarkStart w:id="237" w:name="_Toc15250"/>
      <w:bookmarkStart w:id="238" w:name="_Toc121162816"/>
      <w:bookmarkStart w:id="239" w:name="_Toc120570024"/>
      <w:r>
        <w:t>6.2A</w:t>
      </w:r>
      <w:r>
        <w:tab/>
      </w:r>
      <w:r>
        <w:t>Transmit power for category M1</w:t>
      </w:r>
      <w:bookmarkEnd w:id="235"/>
      <w:bookmarkEnd w:id="236"/>
      <w:bookmarkEnd w:id="237"/>
      <w:bookmarkEnd w:id="238"/>
      <w:bookmarkEnd w:id="239"/>
    </w:p>
    <w:p>
      <w:pPr>
        <w:pStyle w:val="5"/>
      </w:pPr>
      <w:bookmarkStart w:id="240" w:name="_Toc111062028"/>
      <w:bookmarkStart w:id="241" w:name="_Toc368026216"/>
      <w:bookmarkStart w:id="242" w:name="_Toc121162817"/>
      <w:bookmarkStart w:id="243" w:name="_Toc459"/>
      <w:bookmarkStart w:id="244" w:name="_Toc120570025"/>
      <w:bookmarkStart w:id="245" w:name="_Toc31815"/>
      <w:bookmarkStart w:id="246" w:name="_Toc13299"/>
      <w:r>
        <w:t>6.2A.1</w:t>
      </w:r>
      <w:r>
        <w:tab/>
      </w:r>
      <w:r>
        <w:rPr>
          <w:lang w:eastAsia="zh-CN"/>
        </w:rPr>
        <w:t xml:space="preserve">UE </w:t>
      </w:r>
      <w:r>
        <w:t>maximum output power</w:t>
      </w:r>
      <w:bookmarkEnd w:id="240"/>
      <w:bookmarkEnd w:id="241"/>
      <w:r>
        <w:t xml:space="preserve"> for category M1</w:t>
      </w:r>
      <w:bookmarkEnd w:id="242"/>
      <w:bookmarkEnd w:id="243"/>
      <w:bookmarkEnd w:id="244"/>
      <w:bookmarkEnd w:id="245"/>
      <w:bookmarkEnd w:id="246"/>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conditions and call setup procedure to support satellite access are TBD</w:t>
      </w:r>
    </w:p>
    <w:p>
      <w:pPr>
        <w:pStyle w:val="112"/>
        <w:rPr>
          <w:rFonts w:eastAsiaTheme="minorEastAsia"/>
        </w:rPr>
      </w:pPr>
    </w:p>
    <w:p>
      <w:pPr>
        <w:pStyle w:val="9"/>
      </w:pPr>
      <w:r>
        <w:t>6.2A.1.1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6.2A.1.2</w:t>
      </w:r>
      <w:r>
        <w:tab/>
      </w:r>
      <w:r>
        <w:t>Test applicability</w:t>
      </w:r>
    </w:p>
    <w:p>
      <w:r>
        <w:t>This test case applies to all types of E-UTRA UE release 17 and forward of UE category M1 that support satellite access operation.</w:t>
      </w:r>
    </w:p>
    <w:p>
      <w:pPr>
        <w:pStyle w:val="9"/>
      </w:pPr>
      <w:r>
        <w:t>6.2A.1.3</w:t>
      </w:r>
      <w:r>
        <w:tab/>
      </w:r>
      <w:r>
        <w:t>Minimum conformance requirements</w:t>
      </w:r>
    </w:p>
    <w:p>
      <w:r>
        <w:rPr>
          <w:rFonts w:cs="v5.0.0"/>
        </w:rPr>
        <w:t xml:space="preserve">The following UE Power Classes define the maximum output power for </w:t>
      </w:r>
      <w:r>
        <w:t>any transmission bandwidth within the channel bandwidth unless otherwise stated</w:t>
      </w:r>
      <w:r>
        <w:rPr>
          <w:rFonts w:cs="v5.0.0"/>
        </w:rPr>
        <w:t xml:space="preserve">. </w:t>
      </w:r>
      <w:r>
        <w:t>The period of measurement shall be at least one sub frame (1ms).</w:t>
      </w:r>
    </w:p>
    <w:p>
      <w:pPr>
        <w:pStyle w:val="113"/>
      </w:pPr>
      <w:bookmarkStart w:id="247" w:name="_Hlk68731558"/>
      <w:r>
        <w:t>Table 6.2A.1-1</w:t>
      </w:r>
      <w:bookmarkEnd w:id="247"/>
      <w:r>
        <w:t>: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gridCol w:w="1008"/>
        <w:gridCol w:w="19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rFonts w:cs="Arial"/>
              </w:rPr>
            </w:pPr>
            <w:r>
              <w:rPr>
                <w:rFonts w:cs="Arial"/>
              </w:rPr>
              <w:t>EUTRA band</w:t>
            </w:r>
          </w:p>
        </w:tc>
        <w:tc>
          <w:tcPr>
            <w:tcW w:w="1008" w:type="dxa"/>
          </w:tcPr>
          <w:p>
            <w:pPr>
              <w:pStyle w:val="104"/>
              <w:rPr>
                <w:rFonts w:cs="Arial"/>
              </w:rPr>
            </w:pPr>
            <w:r>
              <w:rPr>
                <w:rFonts w:cs="Arial"/>
              </w:rPr>
              <w:t>Class 2</w:t>
            </w:r>
          </w:p>
          <w:p>
            <w:pPr>
              <w:pStyle w:val="104"/>
              <w:rPr>
                <w:rFonts w:cs="Arial"/>
              </w:rPr>
            </w:pPr>
            <w:r>
              <w:rPr>
                <w:rFonts w:cs="Arial"/>
              </w:rPr>
              <w:t>(dBm)</w:t>
            </w:r>
          </w:p>
        </w:tc>
        <w:tc>
          <w:tcPr>
            <w:tcW w:w="1067" w:type="dxa"/>
          </w:tcPr>
          <w:p>
            <w:pPr>
              <w:pStyle w:val="104"/>
              <w:rPr>
                <w:rFonts w:cs="Arial"/>
              </w:rPr>
            </w:pPr>
            <w:r>
              <w:rPr>
                <w:rFonts w:cs="Arial"/>
              </w:rPr>
              <w:t>Tolerance</w:t>
            </w:r>
          </w:p>
          <w:p>
            <w:pPr>
              <w:pStyle w:val="104"/>
              <w:rPr>
                <w:rFonts w:cs="Arial"/>
              </w:rPr>
            </w:pPr>
            <w:r>
              <w:rPr>
                <w:rFonts w:cs="Arial"/>
              </w:rPr>
              <w:t>(dB)</w:t>
            </w:r>
          </w:p>
        </w:tc>
        <w:tc>
          <w:tcPr>
            <w:tcW w:w="1008"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1008" w:type="dxa"/>
          </w:tcPr>
          <w:p>
            <w:pPr>
              <w:pStyle w:val="104"/>
              <w:rPr>
                <w:rFonts w:cs="Arial"/>
              </w:rPr>
            </w:pPr>
            <w:r>
              <w:rPr>
                <w:rFonts w:cs="Arial"/>
              </w:rPr>
              <w:t>Class 5 (dBm)</w:t>
            </w:r>
          </w:p>
        </w:tc>
        <w:tc>
          <w:tcPr>
            <w:tcW w:w="1994"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cs="Arial"/>
                <w:lang w:eastAsia="zh-TW"/>
              </w:rPr>
              <w:t>256</w:t>
            </w:r>
          </w:p>
        </w:tc>
        <w:tc>
          <w:tcPr>
            <w:tcW w:w="1008" w:type="dxa"/>
          </w:tcPr>
          <w:p>
            <w:pPr>
              <w:pStyle w:val="105"/>
              <w:rPr>
                <w:rFonts w:cs="Arial"/>
              </w:rPr>
            </w:pPr>
          </w:p>
        </w:tc>
        <w:tc>
          <w:tcPr>
            <w:tcW w:w="1067" w:type="dxa"/>
          </w:tcPr>
          <w:p>
            <w:pPr>
              <w:pStyle w:val="105"/>
              <w:rPr>
                <w:rFonts w:cs="Arial"/>
              </w:rPr>
            </w:pPr>
          </w:p>
        </w:tc>
        <w:tc>
          <w:tcPr>
            <w:tcW w:w="1008" w:type="dxa"/>
          </w:tcPr>
          <w:p>
            <w:pPr>
              <w:pStyle w:val="105"/>
              <w:rPr>
                <w:rFonts w:cs="Arial"/>
              </w:rPr>
            </w:pPr>
            <w:r>
              <w:rPr>
                <w:rFonts w:cs="Arial"/>
              </w:rPr>
              <w:t>23</w:t>
            </w:r>
          </w:p>
        </w:tc>
        <w:tc>
          <w:tcPr>
            <w:tcW w:w="1067" w:type="dxa"/>
          </w:tcPr>
          <w:p>
            <w:pPr>
              <w:pStyle w:val="105"/>
              <w:rPr>
                <w:rFonts w:cs="Arial"/>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994"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tcBorders>
              <w:top w:val="single" w:color="auto" w:sz="4" w:space="0"/>
              <w:left w:val="single" w:color="auto" w:sz="4" w:space="0"/>
              <w:bottom w:val="single" w:color="auto" w:sz="4" w:space="0"/>
              <w:right w:val="single" w:color="auto" w:sz="4" w:space="0"/>
            </w:tcBorders>
            <w:vAlign w:val="center"/>
          </w:tcPr>
          <w:p>
            <w:pPr>
              <w:pStyle w:val="105"/>
              <w:ind w:firstLine="180" w:firstLineChars="100"/>
              <w:jc w:val="left"/>
              <w:rPr>
                <w:rFonts w:cs="Arial"/>
                <w:lang w:eastAsia="zh-TW"/>
              </w:rPr>
            </w:pPr>
            <w:r>
              <w:rPr>
                <w:rFonts w:cs="Arial"/>
                <w:lang w:eastAsia="zh-TW"/>
              </w:rPr>
              <w:t>255</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w:t>
            </w:r>
          </w:p>
        </w:tc>
        <w:tc>
          <w:tcPr>
            <w:tcW w:w="1008" w:type="dxa"/>
            <w:tcBorders>
              <w:top w:val="single" w:color="auto" w:sz="4" w:space="0"/>
              <w:left w:val="single" w:color="auto" w:sz="4" w:space="0"/>
              <w:bottom w:val="single" w:color="auto" w:sz="4" w:space="0"/>
              <w:right w:val="single" w:color="auto" w:sz="4" w:space="0"/>
            </w:tcBorders>
          </w:tcPr>
          <w:p>
            <w:pPr>
              <w:pStyle w:val="105"/>
              <w:rPr>
                <w:rFonts w:cs="Arial"/>
                <w:lang w:eastAsia="zh-TW"/>
              </w:rPr>
            </w:pPr>
            <w:r>
              <w:rPr>
                <w:rFonts w:hint="eastAsia" w:cs="Arial"/>
                <w:lang w:eastAsia="zh-TW"/>
              </w:rPr>
              <w:t>2</w:t>
            </w:r>
            <w:r>
              <w:rPr>
                <w:rFonts w:cs="Arial"/>
                <w:lang w:eastAsia="zh-TW"/>
              </w:rPr>
              <w:t>0</w:t>
            </w:r>
          </w:p>
        </w:tc>
        <w:tc>
          <w:tcPr>
            <w:tcW w:w="1994" w:type="dxa"/>
            <w:tcBorders>
              <w:top w:val="single" w:color="auto" w:sz="4" w:space="0"/>
              <w:left w:val="single" w:color="auto" w:sz="4" w:space="0"/>
              <w:bottom w:val="single" w:color="auto" w:sz="4" w:space="0"/>
            </w:tcBorders>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75" w:type="dxa"/>
            <w:gridSpan w:val="7"/>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r>
        <w:t>The normative reference for this requirement is TS 36.102 [11] clause 6.2.A.</w:t>
      </w:r>
    </w:p>
    <w:p>
      <w:pPr>
        <w:pStyle w:val="9"/>
      </w:pPr>
      <w:r>
        <w:t>6.2A.1.4</w:t>
      </w:r>
      <w:r>
        <w:tab/>
      </w:r>
      <w:r>
        <w:t>Test description</w:t>
      </w:r>
    </w:p>
    <w:p>
      <w:pPr>
        <w:pStyle w:val="9"/>
        <w:rPr>
          <w:sz w:val="22"/>
        </w:rPr>
      </w:pPr>
      <w:r>
        <w:t>6.2A.1.4.1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operating bands for satellite access that specified in sub-clause 5.2A. All of these configurations shall be tested with applicable test parameters for each channel bandwidth, and are shown in table 6.2A.1.4.1-1. The details of the uplink reference measurement channels (RMCs) are specified in TS 36.521-1[14] Annexe A.2. Configurations of PDSCH and MPDCCH before measurement are specified in TS 36.521-1[14] Annex C.2.</w:t>
      </w:r>
    </w:p>
    <w:p>
      <w:pPr>
        <w:pStyle w:val="113"/>
        <w:rPr>
          <w:lang w:eastAsia="zh-CN"/>
        </w:rPr>
      </w:pPr>
      <w:r>
        <w:t>Table 6.2A.1.4.1-1: Test Configuration T</w:t>
      </w:r>
      <w:r>
        <w:rPr>
          <w:lang w:eastAsia="zh-CN"/>
        </w:rPr>
        <w:t>able</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24"/>
        <w:gridCol w:w="1403"/>
        <w:gridCol w:w="1881"/>
        <w:gridCol w:w="988"/>
        <w:gridCol w:w="24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5"/>
            <w:shd w:val="clear" w:color="auto" w:fill="auto"/>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Environment as specified in TS 36.508 [12] subclause 4.1</w:t>
            </w:r>
          </w:p>
        </w:tc>
        <w:tc>
          <w:tcPr>
            <w:tcW w:w="5295" w:type="dxa"/>
            <w:gridSpan w:val="3"/>
            <w:shd w:val="clear" w:color="auto" w:fill="auto"/>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Frequencies as specified in TS 36.508 [12] subclause 4.3.1</w:t>
            </w:r>
          </w:p>
        </w:tc>
        <w:tc>
          <w:tcPr>
            <w:tcW w:w="5295" w:type="dxa"/>
            <w:gridSpan w:val="3"/>
            <w:shd w:val="clear" w:color="auto" w:fill="auto"/>
          </w:tcPr>
          <w:p>
            <w:pPr>
              <w:pStyle w:val="103"/>
              <w:rPr>
                <w:rFonts w:eastAsia="Calibri"/>
              </w:rPr>
            </w:pPr>
            <w:r>
              <w:rPr>
                <w:rFonts w:eastAsia="Calibri"/>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Channel Bandwidths as specified in TS 36.508 [12] subclause 4.3.1</w:t>
            </w:r>
          </w:p>
        </w:tc>
        <w:tc>
          <w:tcPr>
            <w:tcW w:w="5295" w:type="dxa"/>
            <w:gridSpan w:val="3"/>
            <w:shd w:val="clear" w:color="auto" w:fill="auto"/>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5"/>
            <w:shd w:val="clear" w:color="auto" w:fill="auto"/>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tcBorders>
              <w:bottom w:val="single" w:color="auto" w:sz="4" w:space="0"/>
            </w:tcBorders>
            <w:shd w:val="clear" w:color="auto" w:fill="auto"/>
          </w:tcPr>
          <w:p>
            <w:pPr>
              <w:pStyle w:val="105"/>
            </w:pPr>
          </w:p>
        </w:tc>
        <w:tc>
          <w:tcPr>
            <w:tcW w:w="3284" w:type="dxa"/>
            <w:gridSpan w:val="2"/>
            <w:tcBorders>
              <w:bottom w:val="single" w:color="auto" w:sz="4" w:space="0"/>
            </w:tcBorders>
            <w:shd w:val="clear" w:color="auto" w:fill="auto"/>
          </w:tcPr>
          <w:p>
            <w:pPr>
              <w:pStyle w:val="104"/>
              <w:rPr>
                <w:rFonts w:eastAsia="Calibri"/>
              </w:rPr>
            </w:pPr>
            <w:r>
              <w:rPr>
                <w:rFonts w:eastAsia="Calibri"/>
              </w:rPr>
              <w:t>Downlink Configuration</w:t>
            </w:r>
          </w:p>
        </w:tc>
        <w:tc>
          <w:tcPr>
            <w:tcW w:w="3414" w:type="dxa"/>
            <w:gridSpan w:val="2"/>
            <w:shd w:val="clear" w:color="auto" w:fill="auto"/>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tcBorders>
              <w:bottom w:val="nil"/>
            </w:tcBorders>
            <w:shd w:val="clear" w:color="auto" w:fill="auto"/>
          </w:tcPr>
          <w:p>
            <w:pPr>
              <w:pStyle w:val="104"/>
              <w:rPr>
                <w:rFonts w:eastAsia="Calibri"/>
              </w:rPr>
            </w:pPr>
            <w:r>
              <w:rPr>
                <w:rFonts w:eastAsia="Calibri"/>
              </w:rPr>
              <w:t>Ch BW</w:t>
            </w:r>
          </w:p>
        </w:tc>
        <w:tc>
          <w:tcPr>
            <w:tcW w:w="3284" w:type="dxa"/>
            <w:gridSpan w:val="2"/>
            <w:tcBorders>
              <w:bottom w:val="nil"/>
            </w:tcBorders>
            <w:shd w:val="clear" w:color="auto" w:fill="auto"/>
          </w:tcPr>
          <w:p>
            <w:pPr>
              <w:pStyle w:val="105"/>
              <w:rPr>
                <w:rFonts w:eastAsia="Calibri"/>
              </w:rPr>
            </w:pPr>
            <w:r>
              <w:rPr>
                <w:rFonts w:eastAsia="Calibri"/>
              </w:rPr>
              <w:t>N/A for Max UE output power testing</w:t>
            </w:r>
          </w:p>
        </w:tc>
        <w:tc>
          <w:tcPr>
            <w:tcW w:w="988" w:type="dxa"/>
            <w:tcBorders>
              <w:bottom w:val="nil"/>
            </w:tcBorders>
            <w:shd w:val="clear" w:color="auto" w:fill="auto"/>
          </w:tcPr>
          <w:p>
            <w:pPr>
              <w:pStyle w:val="104"/>
              <w:rPr>
                <w:rFonts w:eastAsia="Calibri"/>
              </w:rPr>
            </w:pPr>
            <w:r>
              <w:rPr>
                <w:rFonts w:eastAsia="Calibri"/>
              </w:rPr>
              <w:t>Mod'n</w:t>
            </w:r>
          </w:p>
        </w:tc>
        <w:tc>
          <w:tcPr>
            <w:tcW w:w="2426" w:type="dxa"/>
            <w:shd w:val="clear" w:color="auto" w:fill="auto"/>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tcBorders>
              <w:top w:val="nil"/>
            </w:tcBorders>
            <w:shd w:val="clear" w:color="auto" w:fill="auto"/>
          </w:tcPr>
          <w:p>
            <w:pPr>
              <w:pStyle w:val="104"/>
              <w:rPr>
                <w:rFonts w:eastAsia="Calibri"/>
              </w:rPr>
            </w:pPr>
          </w:p>
        </w:tc>
        <w:tc>
          <w:tcPr>
            <w:tcW w:w="3284" w:type="dxa"/>
            <w:gridSpan w:val="2"/>
            <w:tcBorders>
              <w:top w:val="nil"/>
              <w:bottom w:val="nil"/>
            </w:tcBorders>
            <w:shd w:val="clear" w:color="auto" w:fill="auto"/>
          </w:tcPr>
          <w:p>
            <w:pPr>
              <w:pStyle w:val="105"/>
              <w:rPr>
                <w:rFonts w:eastAsia="Calibri"/>
              </w:rPr>
            </w:pPr>
          </w:p>
        </w:tc>
        <w:tc>
          <w:tcPr>
            <w:tcW w:w="988" w:type="dxa"/>
            <w:tcBorders>
              <w:top w:val="nil"/>
            </w:tcBorders>
            <w:shd w:val="clear" w:color="auto" w:fill="auto"/>
          </w:tcPr>
          <w:p>
            <w:pPr>
              <w:pStyle w:val="104"/>
              <w:rPr>
                <w:rFonts w:eastAsia="Calibri"/>
              </w:rPr>
            </w:pPr>
          </w:p>
        </w:tc>
        <w:tc>
          <w:tcPr>
            <w:tcW w:w="2426" w:type="dxa"/>
            <w:shd w:val="clear" w:color="auto" w:fill="auto"/>
          </w:tcPr>
          <w:p>
            <w:pPr>
              <w:pStyle w:val="104"/>
              <w:rPr>
                <w:rFonts w:eastAsia="Calibri"/>
              </w:rPr>
            </w:pPr>
            <w:r>
              <w:rPr>
                <w:rFonts w:eastAsia="Calibri"/>
              </w:rP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shd w:val="clear" w:color="auto" w:fill="auto"/>
          </w:tcPr>
          <w:p>
            <w:pPr>
              <w:pStyle w:val="105"/>
              <w:rPr>
                <w:rFonts w:eastAsia="Calibri"/>
              </w:rPr>
            </w:pPr>
            <w:r>
              <w:rPr>
                <w:rFonts w:eastAsia="Calibri"/>
              </w:rPr>
              <w:t>1.4MHz</w:t>
            </w:r>
          </w:p>
        </w:tc>
        <w:tc>
          <w:tcPr>
            <w:tcW w:w="3284" w:type="dxa"/>
            <w:gridSpan w:val="2"/>
            <w:tcBorders>
              <w:top w:val="nil"/>
              <w:bottom w:val="nil"/>
            </w:tcBorders>
            <w:shd w:val="clear" w:color="auto" w:fill="auto"/>
          </w:tcPr>
          <w:p>
            <w:pPr>
              <w:pStyle w:val="105"/>
              <w:rPr>
                <w:rFonts w:eastAsia="Calibri"/>
              </w:rPr>
            </w:pPr>
          </w:p>
        </w:tc>
        <w:tc>
          <w:tcPr>
            <w:tcW w:w="988" w:type="dxa"/>
            <w:shd w:val="clear" w:color="auto" w:fill="auto"/>
          </w:tcPr>
          <w:p>
            <w:pPr>
              <w:pStyle w:val="105"/>
              <w:rPr>
                <w:rFonts w:eastAsia="Calibri"/>
              </w:rPr>
            </w:pPr>
            <w:r>
              <w:rPr>
                <w:rFonts w:eastAsia="Calibri"/>
              </w:rPr>
              <w:t>QPSK</w:t>
            </w:r>
          </w:p>
        </w:tc>
        <w:tc>
          <w:tcPr>
            <w:tcW w:w="2426" w:type="dxa"/>
            <w:shd w:val="clear" w:color="auto" w:fill="auto"/>
          </w:tcPr>
          <w:p>
            <w:pPr>
              <w:pStyle w:val="105"/>
              <w:rPr>
                <w:rFonts w:eastAsia="Calibri"/>
              </w:rPr>
            </w:pPr>
            <w:r>
              <w:rPr>
                <w:rFonts w:eastAsia="Calibri"/>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924" w:type="dxa"/>
            <w:shd w:val="clear" w:color="auto" w:fill="auto"/>
          </w:tcPr>
          <w:p>
            <w:pPr>
              <w:pStyle w:val="105"/>
              <w:rPr>
                <w:rFonts w:eastAsia="Calibri"/>
              </w:rPr>
            </w:pPr>
            <w:r>
              <w:rPr>
                <w:rFonts w:eastAsia="Calibri"/>
              </w:rPr>
              <w:t>1.4MHz</w:t>
            </w:r>
          </w:p>
        </w:tc>
        <w:tc>
          <w:tcPr>
            <w:tcW w:w="3284" w:type="dxa"/>
            <w:gridSpan w:val="2"/>
            <w:tcBorders>
              <w:top w:val="nil"/>
              <w:bottom w:val="nil"/>
            </w:tcBorders>
            <w:shd w:val="clear" w:color="auto" w:fill="auto"/>
          </w:tcPr>
          <w:p>
            <w:pPr>
              <w:pStyle w:val="105"/>
              <w:rPr>
                <w:rFonts w:eastAsia="Calibri"/>
              </w:rPr>
            </w:pPr>
          </w:p>
        </w:tc>
        <w:tc>
          <w:tcPr>
            <w:tcW w:w="988" w:type="dxa"/>
            <w:shd w:val="clear" w:color="auto" w:fill="auto"/>
          </w:tcPr>
          <w:p>
            <w:pPr>
              <w:pStyle w:val="105"/>
              <w:rPr>
                <w:rFonts w:eastAsia="Calibri"/>
              </w:rPr>
            </w:pPr>
            <w:r>
              <w:rPr>
                <w:rFonts w:eastAsia="Calibri"/>
              </w:rPr>
              <w:t>QPSK</w:t>
            </w:r>
          </w:p>
        </w:tc>
        <w:tc>
          <w:tcPr>
            <w:tcW w:w="2426" w:type="dxa"/>
            <w:shd w:val="clear" w:color="auto" w:fill="auto"/>
          </w:tcPr>
          <w:p>
            <w:pPr>
              <w:pStyle w:val="105"/>
              <w:rPr>
                <w:rFonts w:eastAsia="Calibri"/>
              </w:rPr>
            </w:pPr>
            <w:r>
              <w:rPr>
                <w:rFonts w:hint="eastAsia" w:eastAsia="Calibri"/>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5"/>
            <w:shd w:val="clear" w:color="auto" w:fill="auto"/>
          </w:tcPr>
          <w:p>
            <w:pPr>
              <w:pStyle w:val="118"/>
              <w:rPr>
                <w:rFonts w:eastAsia="Calibri"/>
              </w:rPr>
            </w:pPr>
            <w:r>
              <w:rPr>
                <w:rFonts w:eastAsia="Calibri"/>
              </w:rPr>
              <w:t>NOTE 1:</w:t>
            </w:r>
            <w:r>
              <w:rPr>
                <w:rFonts w:eastAsia="Calibri"/>
              </w:rPr>
              <w:tab/>
            </w:r>
            <w:r>
              <w:rPr>
                <w:rFonts w:eastAsia="Calibri"/>
              </w:rPr>
              <w:t>Test Channel Bandwidth is checked separately for each E-UTRA satellite access band, the applicable channel bandwidths are specified in Table 5.3A-1.</w:t>
            </w:r>
          </w:p>
          <w:p>
            <w:pPr>
              <w:pStyle w:val="118"/>
              <w:rPr>
                <w:rFonts w:eastAsia="Calibri" w:cs="Arial"/>
                <w:szCs w:val="18"/>
              </w:rPr>
            </w:pPr>
            <w:r>
              <w:rPr>
                <w:rFonts w:eastAsia="Calibri"/>
              </w:rPr>
              <w:t>NOTE 2:</w:t>
            </w:r>
            <w:r>
              <w:rPr>
                <w:rFonts w:eastAsia="Calibri"/>
              </w:rPr>
              <w:tab/>
            </w:r>
            <w:r>
              <w:rPr>
                <w:rFonts w:eastAsia="Calibri" w:cs="Arial"/>
                <w:szCs w:val="18"/>
              </w:rPr>
              <w:t xml:space="preserve">The 1 RB allocation shall be tested at RB#0 with narrowband index 0 for low and mid range, RB #5 with max narrowband index for high range test frequency. </w:t>
            </w:r>
          </w:p>
          <w:p>
            <w:pPr>
              <w:pStyle w:val="118"/>
              <w:rPr>
                <w:rFonts w:eastAsia="Calibri"/>
              </w:rPr>
            </w:pPr>
            <w:r>
              <w:rPr>
                <w:rFonts w:eastAsia="Calibri"/>
              </w:rPr>
              <w:t>NOTE 3:</w:t>
            </w:r>
            <w:r>
              <w:rPr>
                <w:rFonts w:eastAsia="Calibri"/>
              </w:rPr>
              <w:tab/>
            </w:r>
            <w:r>
              <w:rPr>
                <w:rFonts w:eastAsia="Calibri" w:cs="Arial"/>
                <w:szCs w:val="18"/>
              </w:rPr>
              <w:t>The RBstart of non-1RB allocation shall be RB #0 with narrowband index 0 for low and mid range, RB# (6 - RB allocation) with max narrowband index for high range test frequency.</w:t>
            </w:r>
          </w:p>
        </w:tc>
      </w:tr>
    </w:tbl>
    <w:p>
      <w:pPr>
        <w:rPr>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7.</w:t>
      </w:r>
      <w:r>
        <w:rPr>
          <w:rFonts w:hint="eastAsia" w:eastAsia="Malgun Gothic"/>
          <w:lang w:eastAsia="en-GB"/>
        </w:rPr>
        <w:tab/>
      </w:r>
      <w:r>
        <w:rPr>
          <w:rFonts w:hint="eastAsia" w:eastAsia="Malgun Gothic"/>
          <w:lang w:eastAsia="en-GB"/>
        </w:rPr>
        <w:t>Test equipment shall emulate Zero Doppler conditions in service link and Common TA delay according to SIB31 configuration in TS 36.508 [12].</w:t>
      </w:r>
    </w:p>
    <w:p>
      <w:pPr>
        <w:pStyle w:val="111"/>
        <w:numPr>
          <w:ilvl w:val="0"/>
          <w:numId w:val="11"/>
        </w:numPr>
        <w:overflowPunct w:val="0"/>
        <w:autoSpaceDE w:val="0"/>
        <w:autoSpaceDN w:val="0"/>
        <w:adjustRightInd w:val="0"/>
        <w:contextualSpacing w:val="0"/>
        <w:textAlignment w:val="baseline"/>
        <w:rPr>
          <w:rFonts w:eastAsia="Malgun Gothic"/>
          <w:lang w:eastAsia="en-GB"/>
        </w:rPr>
      </w:pPr>
      <w:r>
        <w:rPr>
          <w:rFonts w:eastAsia="Malgun Gothic"/>
          <w:lang w:eastAsia="en-GB"/>
        </w:rPr>
        <w:t>Ensure the UE is in State 3A-RF-CE according to TS 36.508 [12] clause 5.2A.2AA. Message contents are defined in clause 6.2A.4.3.</w:t>
      </w:r>
    </w:p>
    <w:p>
      <w:pPr>
        <w:pStyle w:val="9"/>
        <w:rPr>
          <w:sz w:val="22"/>
        </w:rPr>
      </w:pPr>
      <w:r>
        <w:t>6.2A.1.4.2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6.2A.1.4.3</w:t>
      </w:r>
      <w:r>
        <w:tab/>
      </w:r>
      <w:r>
        <w:rPr>
          <w:snapToGrid w:val="0"/>
        </w:rPr>
        <w:t>Message contents</w:t>
      </w:r>
    </w:p>
    <w:p>
      <w:r>
        <w:t>Message contents are according to TS 36.508 [12] subclause 4.6.</w:t>
      </w:r>
    </w:p>
    <w:p>
      <w:pPr>
        <w:pStyle w:val="9"/>
      </w:pPr>
      <w:r>
        <w:t>6.2A.1.5</w:t>
      </w:r>
      <w:r>
        <w:tab/>
      </w:r>
      <w:r>
        <w:t>Test requirements</w:t>
      </w:r>
    </w:p>
    <w:p>
      <w:r>
        <w:t>The maximum output power derived in step 3 shall be within the range prescribed by the nominal maximum output power and tolerance in Table 6.2A.5-1.</w:t>
      </w:r>
    </w:p>
    <w:p>
      <w:pPr>
        <w:pStyle w:val="113"/>
      </w:pPr>
      <w:r>
        <w:t>Table 6.2A.1.5-1: UE Power Class test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4"/>
        <w:gridCol w:w="794"/>
        <w:gridCol w:w="1067"/>
        <w:gridCol w:w="795"/>
        <w:gridCol w:w="1067"/>
        <w:gridCol w:w="795"/>
        <w:gridCol w:w="1067"/>
        <w:gridCol w:w="1040"/>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4"/>
              <w:rPr>
                <w:rFonts w:cs="Arial"/>
              </w:rPr>
            </w:pPr>
            <w:r>
              <w:rPr>
                <w:rFonts w:cs="Arial"/>
              </w:rPr>
              <w:t>EUTRA band</w:t>
            </w:r>
          </w:p>
        </w:tc>
        <w:tc>
          <w:tcPr>
            <w:tcW w:w="794" w:type="dxa"/>
          </w:tcPr>
          <w:p>
            <w:pPr>
              <w:pStyle w:val="104"/>
              <w:rPr>
                <w:rFonts w:cs="Arial"/>
              </w:rPr>
            </w:pPr>
            <w:r>
              <w:rPr>
                <w:rFonts w:cs="Arial"/>
              </w:rPr>
              <w:t>Class 2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3 (dBm)</w:t>
            </w:r>
          </w:p>
        </w:tc>
        <w:tc>
          <w:tcPr>
            <w:tcW w:w="1067" w:type="dxa"/>
          </w:tcPr>
          <w:p>
            <w:pPr>
              <w:pStyle w:val="104"/>
              <w:rPr>
                <w:rFonts w:cs="Arial"/>
              </w:rPr>
            </w:pPr>
            <w:r>
              <w:rPr>
                <w:rFonts w:cs="Arial"/>
              </w:rPr>
              <w:t>Tolerance (dB)</w:t>
            </w:r>
          </w:p>
        </w:tc>
        <w:tc>
          <w:tcPr>
            <w:tcW w:w="795" w:type="dxa"/>
          </w:tcPr>
          <w:p>
            <w:pPr>
              <w:pStyle w:val="104"/>
              <w:rPr>
                <w:rFonts w:cs="Arial"/>
              </w:rPr>
            </w:pPr>
            <w:r>
              <w:rPr>
                <w:rFonts w:cs="Arial"/>
              </w:rPr>
              <w:t>Class 5 (dBm)</w:t>
            </w:r>
          </w:p>
        </w:tc>
        <w:tc>
          <w:tcPr>
            <w:tcW w:w="1067" w:type="dxa"/>
          </w:tcPr>
          <w:p>
            <w:pPr>
              <w:pStyle w:val="104"/>
              <w:rPr>
                <w:rFonts w:cs="Arial"/>
              </w:rPr>
            </w:pPr>
            <w:r>
              <w:rPr>
                <w:rFonts w:cs="Arial"/>
              </w:rPr>
              <w:t>Tolerance (dB)</w:t>
            </w:r>
          </w:p>
        </w:tc>
        <w:tc>
          <w:tcPr>
            <w:tcW w:w="1040" w:type="dxa"/>
          </w:tcPr>
          <w:p>
            <w:pPr>
              <w:pStyle w:val="104"/>
              <w:rPr>
                <w:rFonts w:cs="Arial"/>
              </w:rPr>
            </w:pPr>
            <w:r>
              <w:rPr>
                <w:rFonts w:cs="Arial"/>
              </w:rPr>
              <w:t>Class 6 (dBm)</w:t>
            </w:r>
          </w:p>
        </w:tc>
        <w:tc>
          <w:tcPr>
            <w:tcW w:w="1067" w:type="dxa"/>
          </w:tcPr>
          <w:p>
            <w:pPr>
              <w:pStyle w:val="104"/>
              <w:rPr>
                <w:rFonts w:cs="Arial"/>
              </w:rPr>
            </w:pPr>
            <w:r>
              <w:rPr>
                <w:rFonts w:cs="Arial"/>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vAlign w:val="center"/>
          </w:tcPr>
          <w:p>
            <w:pPr>
              <w:pStyle w:val="105"/>
              <w:rPr>
                <w:rFonts w:cs="Arial"/>
              </w:rPr>
            </w:pPr>
            <w:r>
              <w:rPr>
                <w:rFonts w:hint="eastAsia" w:cs="Arial"/>
              </w:rPr>
              <w:t>2</w:t>
            </w:r>
            <w:r>
              <w:rPr>
                <w:rFonts w:cs="Arial"/>
              </w:rPr>
              <w:t>56</w:t>
            </w:r>
          </w:p>
        </w:tc>
        <w:tc>
          <w:tcPr>
            <w:tcW w:w="794" w:type="dxa"/>
          </w:tcPr>
          <w:p>
            <w:pPr>
              <w:pStyle w:val="105"/>
              <w:rPr>
                <w:rFonts w:cs="Arial"/>
              </w:rPr>
            </w:pPr>
          </w:p>
        </w:tc>
        <w:tc>
          <w:tcPr>
            <w:tcW w:w="1067" w:type="dxa"/>
          </w:tcPr>
          <w:p>
            <w:pPr>
              <w:pStyle w:val="105"/>
              <w:rPr>
                <w:rFonts w:cs="Arial"/>
              </w:rPr>
            </w:pPr>
          </w:p>
        </w:tc>
        <w:tc>
          <w:tcPr>
            <w:tcW w:w="795" w:type="dxa"/>
          </w:tcPr>
          <w:p>
            <w:pPr>
              <w:pStyle w:val="105"/>
              <w:rPr>
                <w:rFonts w:cs="Arial"/>
              </w:rPr>
            </w:pPr>
            <w:r>
              <w:rPr>
                <w:rFonts w:cs="Arial"/>
              </w:rPr>
              <w:t>23</w:t>
            </w:r>
          </w:p>
        </w:tc>
        <w:tc>
          <w:tcPr>
            <w:tcW w:w="1067" w:type="dxa"/>
          </w:tcPr>
          <w:p>
            <w:pPr>
              <w:pStyle w:val="105"/>
              <w:rPr>
                <w:rFonts w:cs="Arial"/>
              </w:rPr>
            </w:pPr>
            <w:r>
              <w:rPr>
                <w:rFonts w:cs="Arial"/>
              </w:rPr>
              <w:t>±2.7</w:t>
            </w:r>
          </w:p>
        </w:tc>
        <w:tc>
          <w:tcPr>
            <w:tcW w:w="795" w:type="dxa"/>
          </w:tcPr>
          <w:p>
            <w:pPr>
              <w:pStyle w:val="105"/>
              <w:rPr>
                <w:rFonts w:cs="Arial"/>
              </w:rPr>
            </w:pPr>
            <w:r>
              <w:rPr>
                <w:rFonts w:cs="Arial"/>
              </w:rPr>
              <w:t>20</w:t>
            </w:r>
          </w:p>
        </w:tc>
        <w:tc>
          <w:tcPr>
            <w:tcW w:w="1067" w:type="dxa"/>
          </w:tcPr>
          <w:p>
            <w:pPr>
              <w:pStyle w:val="105"/>
              <w:rPr>
                <w:rFonts w:cs="Arial"/>
              </w:rPr>
            </w:pPr>
            <w:r>
              <w:rPr>
                <w:rFonts w:cs="Arial"/>
              </w:rPr>
              <w:t>±2.7</w:t>
            </w:r>
          </w:p>
        </w:tc>
        <w:tc>
          <w:tcPr>
            <w:tcW w:w="1040" w:type="dxa"/>
          </w:tcPr>
          <w:p>
            <w:pPr>
              <w:pStyle w:val="105"/>
              <w:rPr>
                <w:rFonts w:cs="Arial"/>
              </w:rPr>
            </w:pPr>
          </w:p>
        </w:tc>
        <w:tc>
          <w:tcPr>
            <w:tcW w:w="1067"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255</w:t>
            </w:r>
          </w:p>
        </w:tc>
        <w:tc>
          <w:tcPr>
            <w:tcW w:w="794"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23</w:t>
            </w:r>
          </w:p>
        </w:tc>
        <w:tc>
          <w:tcPr>
            <w:tcW w:w="1067"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±2.7</w:t>
            </w:r>
          </w:p>
        </w:tc>
        <w:tc>
          <w:tcPr>
            <w:tcW w:w="795"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w:t>
            </w:r>
          </w:p>
        </w:tc>
        <w:tc>
          <w:tcPr>
            <w:tcW w:w="1067" w:type="dxa"/>
            <w:tcBorders>
              <w:top w:val="single" w:color="auto" w:sz="4" w:space="0"/>
              <w:left w:val="single" w:color="auto" w:sz="4" w:space="0"/>
              <w:bottom w:val="single" w:color="auto" w:sz="4" w:space="0"/>
            </w:tcBorders>
          </w:tcPr>
          <w:p>
            <w:pPr>
              <w:pStyle w:val="105"/>
              <w:rPr>
                <w:rFonts w:cs="Arial"/>
              </w:rPr>
            </w:pPr>
            <w:r>
              <w:rPr>
                <w:rFonts w:cs="Arial"/>
              </w:rPr>
              <w:t>±2.7</w:t>
            </w:r>
          </w:p>
        </w:tc>
        <w:tc>
          <w:tcPr>
            <w:tcW w:w="1040" w:type="dxa"/>
            <w:tcBorders>
              <w:top w:val="single" w:color="auto" w:sz="4" w:space="0"/>
              <w:left w:val="single" w:color="auto" w:sz="4" w:space="0"/>
              <w:bottom w:val="single" w:color="auto" w:sz="4" w:space="0"/>
            </w:tcBorders>
          </w:tcPr>
          <w:p>
            <w:pPr>
              <w:pStyle w:val="105"/>
              <w:rPr>
                <w:rFonts w:cs="Arial"/>
              </w:rPr>
            </w:pPr>
          </w:p>
        </w:tc>
        <w:tc>
          <w:tcPr>
            <w:tcW w:w="1067" w:type="dxa"/>
            <w:tcBorders>
              <w:top w:val="single" w:color="auto" w:sz="4" w:space="0"/>
              <w:left w:val="single" w:color="auto" w:sz="4" w:space="0"/>
              <w:bottom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46" w:type="dxa"/>
            <w:gridSpan w:val="9"/>
            <w:tcBorders>
              <w:top w:val="single" w:color="auto" w:sz="4" w:space="0"/>
              <w:left w:val="single" w:color="auto" w:sz="4" w:space="0"/>
              <w:bottom w:val="single" w:color="auto" w:sz="4" w:space="0"/>
            </w:tcBorders>
            <w:vAlign w:val="center"/>
          </w:tcPr>
          <w:p>
            <w:pPr>
              <w:pStyle w:val="118"/>
              <w:rPr>
                <w:rFonts w:cs="Arial"/>
              </w:rPr>
            </w:pPr>
            <w:r>
              <w:rPr>
                <w:rFonts w:cs="Arial"/>
              </w:rPr>
              <w:t>NOTE 1:</w:t>
            </w:r>
            <w:r>
              <w:rPr>
                <w:rFonts w:cs="Arial"/>
              </w:rPr>
              <w:tab/>
            </w:r>
            <w:r>
              <w:rPr>
                <w:rFonts w:cs="Arial"/>
              </w:rPr>
              <w:t>P</w:t>
            </w:r>
            <w:r>
              <w:rPr>
                <w:rFonts w:cs="Arial"/>
                <w:vertAlign w:val="subscript"/>
              </w:rPr>
              <w:t>PowerClass</w:t>
            </w:r>
            <w:r>
              <w:rPr>
                <w:rFonts w:cs="Arial"/>
              </w:rPr>
              <w:t xml:space="preserve"> is the maximum UE power specified without taking into account the tolerance.</w:t>
            </w:r>
          </w:p>
        </w:tc>
      </w:tr>
    </w:tbl>
    <w:p/>
    <w:p>
      <w:pPr>
        <w:pStyle w:val="5"/>
        <w:rPr>
          <w:lang w:eastAsia="zh-CN"/>
        </w:rPr>
      </w:pPr>
      <w:bookmarkStart w:id="248" w:name="_Toc19552"/>
      <w:bookmarkStart w:id="249" w:name="_Toc10022"/>
      <w:bookmarkStart w:id="250" w:name="_Toc121162818"/>
      <w:bookmarkStart w:id="251" w:name="_Toc21685"/>
      <w:bookmarkStart w:id="252" w:name="_Toc111062032"/>
      <w:bookmarkStart w:id="253" w:name="_Toc108616986"/>
      <w:bookmarkStart w:id="254" w:name="_Toc120570026"/>
      <w:r>
        <w:t>6.2A.2</w:t>
      </w:r>
      <w:r>
        <w:rPr>
          <w:lang w:eastAsia="zh-CN"/>
        </w:rPr>
        <w:tab/>
      </w:r>
      <w:r>
        <w:t>UE m</w:t>
      </w:r>
      <w:r>
        <w:rPr>
          <w:lang w:eastAsia="zh-CN"/>
        </w:rPr>
        <w:t xml:space="preserve">aximum output power reduction </w:t>
      </w:r>
      <w:r>
        <w:t xml:space="preserve">for </w:t>
      </w:r>
      <w:r>
        <w:rPr>
          <w:lang w:eastAsia="zh-CN"/>
        </w:rPr>
        <w:t>category M1</w:t>
      </w:r>
      <w:bookmarkEnd w:id="248"/>
      <w:bookmarkEnd w:id="249"/>
      <w:bookmarkEnd w:id="250"/>
      <w:bookmarkEnd w:id="251"/>
      <w:bookmarkEnd w:id="252"/>
      <w:bookmarkEnd w:id="253"/>
      <w:bookmarkEnd w:id="254"/>
    </w:p>
    <w:p>
      <w:pPr>
        <w:pStyle w:val="112"/>
      </w:pPr>
      <w:bookmarkStart w:id="255" w:name="_Toc111062033"/>
      <w:r>
        <w:t>Editor’s Note: This clause is incomplete. The following aspects are either missing or not yet determined:</w:t>
      </w:r>
    </w:p>
    <w:p>
      <w:pPr>
        <w:pStyle w:val="112"/>
      </w:pPr>
      <w:r>
        <w:t>- Addition to applicability spec is pending</w:t>
      </w:r>
    </w:p>
    <w:p>
      <w:pPr>
        <w:pStyle w:val="112"/>
      </w:pPr>
      <w:r>
        <w:t>- Initial conditions and call setup procedure to support satellite access are TBD</w:t>
      </w:r>
    </w:p>
    <w:p>
      <w:pPr>
        <w:pStyle w:val="112"/>
      </w:pPr>
    </w:p>
    <w:p>
      <w:pPr>
        <w:pStyle w:val="9"/>
      </w:pPr>
      <w:r>
        <w:t>6.2A.2.1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6.2A.2.2</w:t>
      </w:r>
      <w:r>
        <w:tab/>
      </w:r>
      <w:r>
        <w:t>Test applicability</w:t>
      </w:r>
    </w:p>
    <w:p>
      <w:r>
        <w:t>The requirements of this test apply in test case 6.5A.3.4 Adjacent Channel Leakage Power Ratio for UE category M1 to all types of E-UTRA UE release 17 and forward of UE category M1 that support satellite access operation.</w:t>
      </w:r>
    </w:p>
    <w:p>
      <w:pPr>
        <w:pStyle w:val="9"/>
      </w:pPr>
      <w:r>
        <w:t>6.2A.2.3</w:t>
      </w:r>
      <w:r>
        <w:tab/>
      </w:r>
      <w:r>
        <w:t>Minimum conformance requirements</w:t>
      </w:r>
    </w:p>
    <w:p>
      <w:r>
        <w:t>For UE Power Class 3 and 5 the allowed Maximum Power Reduction (MPR) for the maximum output power due to higher order modulation and transmit bandwidth configuration (resource blocks) is specified in Table 6.2</w:t>
      </w:r>
      <w:r>
        <w:rPr>
          <w:lang w:eastAsia="ja-JP"/>
        </w:rPr>
        <w:t>A.2.3</w:t>
      </w:r>
      <w:r>
        <w:t>-1.</w:t>
      </w:r>
    </w:p>
    <w:p>
      <w:pPr>
        <w:rPr>
          <w:snapToGrid w:val="0"/>
        </w:rPr>
      </w:pPr>
      <w:r>
        <w:rPr>
          <w:snapToGrid w:val="0"/>
        </w:rPr>
        <w:t>For subPRB allocation of category M1 UE of Power Class 3, there is no MPR applies.</w:t>
      </w:r>
    </w:p>
    <w:p>
      <w:pPr>
        <w:pStyle w:val="113"/>
      </w:pPr>
      <w:r>
        <w:t>Table 6.2A</w:t>
      </w:r>
      <w:r>
        <w:rPr>
          <w:lang w:val="en-US"/>
        </w:rPr>
        <w:t>.2.3</w:t>
      </w:r>
      <w:r>
        <w:t>-1: Maximum Power Reduction (MPR) for Power Class 3 and 5</w:t>
      </w:r>
    </w:p>
    <w:tbl>
      <w:tblPr>
        <w:tblStyle w:val="89"/>
        <w:tblW w:w="7978"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871"/>
        <w:gridCol w:w="2810"/>
        <w:gridCol w:w="22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4" w:hRule="atLeast"/>
        </w:trPr>
        <w:tc>
          <w:tcPr>
            <w:tcW w:w="2871" w:type="dxa"/>
            <w:vMerge w:val="restart"/>
            <w:tcMar>
              <w:top w:w="0" w:type="dxa"/>
              <w:left w:w="108" w:type="dxa"/>
              <w:bottom w:w="0" w:type="dxa"/>
              <w:right w:w="108" w:type="dxa"/>
            </w:tcMar>
          </w:tcPr>
          <w:p>
            <w:pPr>
              <w:pStyle w:val="104"/>
              <w:rPr>
                <w:rFonts w:cs="Arial"/>
              </w:rPr>
            </w:pPr>
            <w:r>
              <w:rPr>
                <w:rFonts w:cs="Arial"/>
              </w:rPr>
              <w:t>Modulation</w:t>
            </w:r>
          </w:p>
        </w:tc>
        <w:tc>
          <w:tcPr>
            <w:tcW w:w="2810" w:type="dxa"/>
            <w:tcMar>
              <w:top w:w="0" w:type="dxa"/>
              <w:left w:w="108" w:type="dxa"/>
              <w:bottom w:w="0" w:type="dxa"/>
              <w:right w:w="108" w:type="dxa"/>
            </w:tcMar>
          </w:tcPr>
          <w:p>
            <w:pPr>
              <w:pStyle w:val="104"/>
              <w:rPr>
                <w:rFonts w:cs="Arial"/>
              </w:rPr>
            </w:pPr>
            <w:r>
              <w:rPr>
                <w:rFonts w:cs="Arial"/>
                <w:lang w:val="de-DE"/>
              </w:rPr>
              <w:t>Channel bandwidth / Transmission bandwidth (N</w:t>
            </w:r>
            <w:r>
              <w:rPr>
                <w:rFonts w:cs="Arial"/>
                <w:vertAlign w:val="subscript"/>
                <w:lang w:val="de-DE"/>
              </w:rPr>
              <w:t>RB</w:t>
            </w:r>
            <w:r>
              <w:rPr>
                <w:rFonts w:cs="Arial"/>
                <w:lang w:val="de-DE"/>
              </w:rPr>
              <w:t>)</w:t>
            </w:r>
          </w:p>
        </w:tc>
        <w:tc>
          <w:tcPr>
            <w:tcW w:w="2297" w:type="dxa"/>
            <w:vMerge w:val="restart"/>
          </w:tcPr>
          <w:p>
            <w:pPr>
              <w:pStyle w:val="104"/>
              <w:rPr>
                <w:rFonts w:cs="Arial"/>
              </w:rPr>
            </w:pPr>
            <w:r>
              <w:rPr>
                <w:rFonts w:cs="Arial"/>
              </w:rPr>
              <w:t>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 w:hRule="atLeast"/>
        </w:trPr>
        <w:tc>
          <w:tcPr>
            <w:tcW w:w="0" w:type="auto"/>
            <w:vMerge w:val="continue"/>
            <w:vAlign w:val="center"/>
          </w:tcPr>
          <w:p>
            <w:pPr>
              <w:rPr>
                <w:rFonts w:cs="Arial"/>
                <w:b/>
                <w:bCs/>
              </w:rPr>
            </w:pPr>
          </w:p>
        </w:tc>
        <w:tc>
          <w:tcPr>
            <w:tcW w:w="2810" w:type="dxa"/>
            <w:tcMar>
              <w:top w:w="0" w:type="dxa"/>
              <w:left w:w="108" w:type="dxa"/>
              <w:bottom w:w="0" w:type="dxa"/>
              <w:right w:w="108" w:type="dxa"/>
            </w:tcMar>
          </w:tcPr>
          <w:p>
            <w:pPr>
              <w:pStyle w:val="104"/>
              <w:rPr>
                <w:rFonts w:cs="Arial"/>
              </w:rPr>
            </w:pPr>
            <w:r>
              <w:rPr>
                <w:rFonts w:cs="Arial"/>
              </w:rPr>
              <w:t>1.4 MHz</w:t>
            </w:r>
          </w:p>
        </w:tc>
        <w:tc>
          <w:tcPr>
            <w:tcW w:w="0" w:type="auto"/>
            <w:vMerge w:val="continue"/>
            <w:vAlign w:val="center"/>
          </w:tcPr>
          <w:p>
            <w:pPr>
              <w:rPr>
                <w:rFonts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5" w:hRule="atLeast"/>
        </w:trPr>
        <w:tc>
          <w:tcPr>
            <w:tcW w:w="2871" w:type="dxa"/>
            <w:tcMar>
              <w:top w:w="0" w:type="dxa"/>
              <w:left w:w="108" w:type="dxa"/>
              <w:bottom w:w="0" w:type="dxa"/>
              <w:right w:w="108" w:type="dxa"/>
            </w:tcMar>
          </w:tcPr>
          <w:p>
            <w:pPr>
              <w:pStyle w:val="105"/>
              <w:rPr>
                <w:rFonts w:cs="Arial"/>
              </w:rPr>
            </w:pPr>
            <w:r>
              <w:rPr>
                <w:rFonts w:cs="Arial"/>
              </w:rPr>
              <w:t>QPSK</w:t>
            </w:r>
          </w:p>
        </w:tc>
        <w:tc>
          <w:tcPr>
            <w:tcW w:w="2810" w:type="dxa"/>
            <w:tcMar>
              <w:top w:w="0" w:type="dxa"/>
              <w:left w:w="108" w:type="dxa"/>
              <w:bottom w:w="0" w:type="dxa"/>
              <w:right w:w="108" w:type="dxa"/>
            </w:tcMar>
          </w:tcPr>
          <w:p>
            <w:pPr>
              <w:pStyle w:val="105"/>
              <w:rPr>
                <w:rFonts w:cs="Arial"/>
              </w:rPr>
            </w:pPr>
            <w:r>
              <w:rPr>
                <w:rFonts w:cs="Arial"/>
              </w:rPr>
              <w:t>&gt; 2</w:t>
            </w:r>
          </w:p>
        </w:tc>
        <w:tc>
          <w:tcPr>
            <w:tcW w:w="2297" w:type="dxa"/>
            <w:tcMar>
              <w:top w:w="0" w:type="dxa"/>
              <w:left w:w="108" w:type="dxa"/>
              <w:bottom w:w="0" w:type="dxa"/>
              <w:right w:w="108" w:type="dxa"/>
            </w:tcMar>
          </w:tcPr>
          <w:p>
            <w:pPr>
              <w:pStyle w:val="105"/>
              <w:rPr>
                <w:rFonts w:cs="Arial"/>
              </w:rPr>
            </w:pPr>
            <w:r>
              <w:rPr>
                <w:rFonts w:cs="Arial"/>
              </w:rPr>
              <w: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0" w:hRule="atLeast"/>
        </w:trPr>
        <w:tc>
          <w:tcPr>
            <w:tcW w:w="2871" w:type="dxa"/>
            <w:tcMar>
              <w:top w:w="0" w:type="dxa"/>
              <w:left w:w="108" w:type="dxa"/>
              <w:bottom w:w="0" w:type="dxa"/>
              <w:right w:w="108" w:type="dxa"/>
            </w:tcMar>
          </w:tcPr>
          <w:p>
            <w:pPr>
              <w:pStyle w:val="105"/>
              <w:rPr>
                <w:rFonts w:cs="Arial"/>
              </w:rPr>
            </w:pPr>
            <w:r>
              <w:rPr>
                <w:rFonts w:cs="Arial"/>
              </w:rPr>
              <w:t>QPSK</w:t>
            </w:r>
          </w:p>
        </w:tc>
        <w:tc>
          <w:tcPr>
            <w:tcW w:w="2810" w:type="dxa"/>
            <w:tcMar>
              <w:top w:w="0" w:type="dxa"/>
              <w:left w:w="108" w:type="dxa"/>
              <w:bottom w:w="0" w:type="dxa"/>
              <w:right w:w="108" w:type="dxa"/>
            </w:tcMar>
          </w:tcPr>
          <w:p>
            <w:pPr>
              <w:pStyle w:val="105"/>
              <w:rPr>
                <w:rFonts w:cs="Arial"/>
              </w:rPr>
            </w:pPr>
            <w:r>
              <w:rPr>
                <w:rFonts w:cs="Arial"/>
              </w:rPr>
              <w:t>&gt; 5</w:t>
            </w:r>
          </w:p>
        </w:tc>
        <w:tc>
          <w:tcPr>
            <w:tcW w:w="2297" w:type="dxa"/>
            <w:tcMar>
              <w:top w:w="0" w:type="dxa"/>
              <w:left w:w="108" w:type="dxa"/>
              <w:bottom w:w="0" w:type="dxa"/>
              <w:right w:w="108" w:type="dxa"/>
            </w:tcMar>
          </w:tcPr>
          <w:p>
            <w:pPr>
              <w:pStyle w:val="105"/>
              <w:rPr>
                <w:rFonts w:cs="Arial"/>
              </w:rPr>
            </w:pPr>
            <w:r>
              <w:rPr>
                <w:rFonts w:cs="Arial"/>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5" w:hRule="atLeast"/>
        </w:trPr>
        <w:tc>
          <w:tcPr>
            <w:tcW w:w="7978" w:type="dxa"/>
            <w:gridSpan w:val="3"/>
            <w:tcMar>
              <w:top w:w="0" w:type="dxa"/>
              <w:left w:w="108" w:type="dxa"/>
              <w:bottom w:w="0" w:type="dxa"/>
              <w:right w:w="108" w:type="dxa"/>
            </w:tcMar>
          </w:tcPr>
          <w:p>
            <w:pPr>
              <w:pStyle w:val="118"/>
              <w:rPr>
                <w:rFonts w:cs="Arial"/>
              </w:rPr>
            </w:pPr>
            <w:r>
              <w:t>NOTE:</w:t>
            </w:r>
            <w:r>
              <w:rPr>
                <w:lang w:eastAsia="zh-CN"/>
              </w:rPr>
              <w:tab/>
            </w:r>
            <w:r>
              <w:t xml:space="preserve">MPR only applicable for </w:t>
            </w:r>
            <w:r>
              <w:rPr>
                <w:lang w:val="de-DE"/>
              </w:rPr>
              <w:t>N</w:t>
            </w:r>
            <w:r>
              <w:rPr>
                <w:vertAlign w:val="subscript"/>
                <w:lang w:val="de-DE"/>
              </w:rPr>
              <w:t xml:space="preserve">RB </w:t>
            </w:r>
            <w:r>
              <w:rPr>
                <w:lang w:val="de-DE"/>
              </w:rPr>
              <w:t>≥ 1</w:t>
            </w:r>
          </w:p>
        </w:tc>
      </w:tr>
    </w:tbl>
    <w:p/>
    <w:p>
      <w:r>
        <w:t>For PRACH, PUCCH and SRS transmissions, the allowed MPR is according to that specified for PUSCH QPSK modulation for the corresponding transmission bandwidth.</w:t>
      </w:r>
    </w:p>
    <w:p>
      <w:pPr>
        <w:jc w:val="both"/>
      </w:pPr>
      <w:r>
        <w:t>For each subframe, the MPR is evaluated per slot and given by the maximum value taken over the transmission(s) within the slot; the maximum MPR over the two slots is then applied for the entire subframe.</w:t>
      </w:r>
    </w:p>
    <w:p>
      <w:r>
        <w:t>For the UE maximum output power modified by MPR, the power limits specified in subclause 6.2</w:t>
      </w:r>
      <w:r>
        <w:rPr>
          <w:lang w:eastAsia="ja-JP"/>
        </w:rPr>
        <w:t>A.4</w:t>
      </w:r>
      <w:r>
        <w:t xml:space="preserve"> apply.</w:t>
      </w:r>
    </w:p>
    <w:p>
      <w:pPr>
        <w:rPr>
          <w:lang w:eastAsia="zh-CN"/>
        </w:rPr>
      </w:pPr>
      <w:r>
        <w:t>The normative reference for this requirement is TS 36.102 [11] clause 6.2.A.</w:t>
      </w:r>
    </w:p>
    <w:p>
      <w:pPr>
        <w:pStyle w:val="9"/>
      </w:pPr>
      <w:r>
        <w:t>6.2A.2.4</w:t>
      </w:r>
      <w:r>
        <w:tab/>
      </w:r>
      <w:r>
        <w:t>Test description</w:t>
      </w:r>
    </w:p>
    <w:p>
      <w:pPr>
        <w:pStyle w:val="9"/>
      </w:pPr>
      <w:r>
        <w:t>6.2A.2.4.1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5.2E. All of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pPr>
        <w:pStyle w:val="113"/>
        <w:rPr>
          <w:lang w:eastAsia="zh-CN"/>
        </w:rPr>
      </w:pPr>
      <w:r>
        <w:t>Table 6.2A.2.4.1-1: Test Configuration T</w:t>
      </w:r>
      <w:r>
        <w:rPr>
          <w:lang w:eastAsia="zh-CN"/>
        </w:rPr>
        <w:t>able</w:t>
      </w:r>
    </w:p>
    <w:tbl>
      <w:tblPr>
        <w:tblStyle w:val="8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t>Test Environment as specified in</w:t>
            </w:r>
          </w:p>
          <w:p>
            <w:pPr>
              <w:pStyle w:val="103"/>
            </w:pPr>
            <w:r>
              <w:t>TS 36.508 [12] subclause 4.1</w:t>
            </w:r>
          </w:p>
        </w:tc>
        <w:tc>
          <w:tcPr>
            <w:tcW w:w="4474"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474"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474"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shd w:val="clear" w:color="auto" w:fill="auto"/>
            <w:vAlign w:val="center"/>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tcBorders>
              <w:bottom w:val="single" w:color="auto" w:sz="4" w:space="0"/>
            </w:tcBorders>
            <w:shd w:val="clear" w:color="auto" w:fill="auto"/>
            <w:vAlign w:val="center"/>
          </w:tcPr>
          <w:p>
            <w:pPr>
              <w:pStyle w:val="104"/>
            </w:pPr>
          </w:p>
        </w:tc>
        <w:tc>
          <w:tcPr>
            <w:tcW w:w="1134" w:type="dxa"/>
            <w:tcBorders>
              <w:bottom w:val="single" w:color="auto" w:sz="4" w:space="0"/>
            </w:tcBorders>
            <w:shd w:val="clear" w:color="auto" w:fill="auto"/>
            <w:vAlign w:val="center"/>
          </w:tcPr>
          <w:p>
            <w:pPr>
              <w:pStyle w:val="104"/>
            </w:pPr>
          </w:p>
        </w:tc>
        <w:tc>
          <w:tcPr>
            <w:tcW w:w="2734" w:type="dxa"/>
            <w:tcBorders>
              <w:bottom w:val="single" w:color="auto" w:sz="4" w:space="0"/>
            </w:tcBorders>
            <w:shd w:val="clear" w:color="auto" w:fill="auto"/>
            <w:vAlign w:val="center"/>
          </w:tcPr>
          <w:p>
            <w:pPr>
              <w:pStyle w:val="104"/>
            </w:pPr>
            <w:r>
              <w:t>Downlink Configuration</w:t>
            </w:r>
          </w:p>
        </w:tc>
        <w:tc>
          <w:tcPr>
            <w:tcW w:w="4474"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tcBorders>
              <w:bottom w:val="nil"/>
            </w:tcBorders>
            <w:shd w:val="clear" w:color="auto" w:fill="auto"/>
            <w:vAlign w:val="center"/>
          </w:tcPr>
          <w:p>
            <w:pPr>
              <w:pStyle w:val="104"/>
            </w:pPr>
            <w:r>
              <w:t>Configuration ID</w:t>
            </w:r>
          </w:p>
        </w:tc>
        <w:tc>
          <w:tcPr>
            <w:tcW w:w="1134" w:type="dxa"/>
            <w:tcBorders>
              <w:bottom w:val="nil"/>
            </w:tcBorders>
            <w:shd w:val="clear" w:color="auto" w:fill="auto"/>
            <w:vAlign w:val="center"/>
          </w:tcPr>
          <w:p>
            <w:pPr>
              <w:pStyle w:val="104"/>
            </w:pPr>
            <w:r>
              <w:t>Ch BW</w:t>
            </w:r>
          </w:p>
        </w:tc>
        <w:tc>
          <w:tcPr>
            <w:tcW w:w="2734" w:type="dxa"/>
            <w:tcBorders>
              <w:bottom w:val="nil"/>
            </w:tcBorders>
            <w:shd w:val="clear" w:color="auto" w:fill="auto"/>
            <w:vAlign w:val="center"/>
          </w:tcPr>
          <w:p>
            <w:pPr>
              <w:pStyle w:val="105"/>
            </w:pPr>
            <w:r>
              <w:t>N/A for Maximum Power Reduction (MPR) test case</w:t>
            </w:r>
          </w:p>
        </w:tc>
        <w:tc>
          <w:tcPr>
            <w:tcW w:w="1304" w:type="dxa"/>
            <w:tcBorders>
              <w:bottom w:val="nil"/>
            </w:tcBorders>
            <w:shd w:val="clear" w:color="auto" w:fill="auto"/>
            <w:vAlign w:val="center"/>
          </w:tcPr>
          <w:p>
            <w:pPr>
              <w:pStyle w:val="104"/>
            </w:pPr>
            <w:r>
              <w:t>Mod'n</w:t>
            </w:r>
          </w:p>
        </w:tc>
        <w:tc>
          <w:tcPr>
            <w:tcW w:w="3170" w:type="dxa"/>
            <w:shd w:val="clear" w:color="auto" w:fill="auto"/>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tcBorders>
              <w:top w:val="nil"/>
            </w:tcBorders>
            <w:shd w:val="clear" w:color="auto" w:fill="auto"/>
            <w:vAlign w:val="center"/>
          </w:tcPr>
          <w:p>
            <w:pPr>
              <w:pStyle w:val="104"/>
            </w:pPr>
          </w:p>
        </w:tc>
        <w:tc>
          <w:tcPr>
            <w:tcW w:w="1134" w:type="dxa"/>
            <w:tcBorders>
              <w:top w:val="nil"/>
            </w:tcBorders>
            <w:shd w:val="clear" w:color="auto" w:fill="auto"/>
            <w:vAlign w:val="center"/>
          </w:tcPr>
          <w:p>
            <w:pPr>
              <w:pStyle w:val="104"/>
            </w:pPr>
          </w:p>
        </w:tc>
        <w:tc>
          <w:tcPr>
            <w:tcW w:w="2734" w:type="dxa"/>
            <w:tcBorders>
              <w:top w:val="nil"/>
              <w:bottom w:val="nil"/>
            </w:tcBorders>
            <w:shd w:val="clear" w:color="auto" w:fill="auto"/>
            <w:vAlign w:val="center"/>
          </w:tcPr>
          <w:p>
            <w:pPr>
              <w:pStyle w:val="105"/>
            </w:pPr>
          </w:p>
        </w:tc>
        <w:tc>
          <w:tcPr>
            <w:tcW w:w="1304" w:type="dxa"/>
            <w:tcBorders>
              <w:top w:val="nil"/>
            </w:tcBorders>
            <w:shd w:val="clear" w:color="auto" w:fill="auto"/>
            <w:vAlign w:val="center"/>
          </w:tcPr>
          <w:p>
            <w:pPr>
              <w:pStyle w:val="104"/>
            </w:pPr>
          </w:p>
        </w:tc>
        <w:tc>
          <w:tcPr>
            <w:tcW w:w="3170" w:type="dxa"/>
            <w:shd w:val="clear" w:color="auto" w:fill="auto"/>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tcBorders>
              <w:top w:val="nil"/>
              <w:bottom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tcBorders>
              <w:top w:val="nil"/>
              <w:bottom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trPr>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tcBorders>
              <w:top w:val="nil"/>
            </w:tcBorders>
            <w:shd w:val="clear" w:color="auto" w:fill="auto"/>
            <w:vAlign w:val="center"/>
          </w:tcPr>
          <w:p>
            <w:pPr>
              <w:pStyle w:val="105"/>
            </w:pPr>
          </w:p>
        </w:tc>
        <w:tc>
          <w:tcPr>
            <w:tcW w:w="1304" w:type="dxa"/>
            <w:shd w:val="clear" w:color="auto" w:fill="auto"/>
            <w:vAlign w:val="center"/>
          </w:tcPr>
          <w:p>
            <w:pPr>
              <w:pStyle w:val="105"/>
            </w:pPr>
            <w:r>
              <w:rPr>
                <w:rFonts w:hint="eastAsia"/>
              </w:rPr>
              <w:t>QPSK</w:t>
            </w:r>
          </w:p>
        </w:tc>
        <w:tc>
          <w:tcPr>
            <w:tcW w:w="3170" w:type="dxa"/>
            <w:shd w:val="clear" w:color="auto" w:fill="auto"/>
            <w:vAlign w:val="center"/>
          </w:tcPr>
          <w:p>
            <w:pPr>
              <w:pStyle w:val="105"/>
            </w:pPr>
            <w:r>
              <w:rPr>
                <w:rFonts w:hint="eastAsia"/>
              </w:rPr>
              <w:t>6</w:t>
            </w:r>
          </w:p>
        </w:tc>
      </w:tr>
    </w:tbl>
    <w:p/>
    <w:p>
      <w:pPr>
        <w:pStyle w:val="113"/>
        <w:rPr>
          <w:lang w:eastAsia="zh-CN"/>
        </w:rPr>
      </w:pPr>
      <w:r>
        <w:t>Table 6.2A.2.4.1-2: Test Configuration T</w:t>
      </w:r>
      <w:r>
        <w:rPr>
          <w:lang w:eastAsia="zh-CN"/>
        </w:rPr>
        <w:t>able, subPRB allocation</w:t>
      </w:r>
    </w:p>
    <w:tbl>
      <w:tblPr>
        <w:tblStyle w:val="89"/>
        <w:tblW w:w="0" w:type="auto"/>
        <w:tblInd w:w="-8" w:type="dxa"/>
        <w:tblLayout w:type="fixed"/>
        <w:tblCellMar>
          <w:top w:w="0" w:type="dxa"/>
          <w:left w:w="70" w:type="dxa"/>
          <w:bottom w:w="0" w:type="dxa"/>
          <w:right w:w="70" w:type="dxa"/>
        </w:tblCellMar>
      </w:tblPr>
      <w:tblGrid>
        <w:gridCol w:w="1212"/>
        <w:gridCol w:w="1134"/>
        <w:gridCol w:w="2734"/>
        <w:gridCol w:w="1304"/>
        <w:gridCol w:w="1585"/>
        <w:gridCol w:w="1585"/>
      </w:tblGrid>
      <w:tr>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Initial Conditions</w:t>
            </w:r>
          </w:p>
        </w:tc>
      </w:tr>
      <w:tr>
        <w:tblPrEx>
          <w:tblCellMar>
            <w:top w:w="0" w:type="dxa"/>
            <w:left w:w="70" w:type="dxa"/>
            <w:bottom w:w="0" w:type="dxa"/>
            <w:right w:w="70" w:type="dxa"/>
          </w:tblCellMar>
        </w:tblPrEx>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 as specified in</w:t>
            </w:r>
          </w:p>
          <w:p>
            <w:pPr>
              <w:pStyle w:val="103"/>
            </w:pPr>
            <w:r>
              <w:t>TS 36.508 [12] subclause 4.1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Normal</w:t>
            </w:r>
          </w:p>
        </w:tc>
      </w:tr>
      <w:tr>
        <w:tblPrEx>
          <w:tblCellMar>
            <w:top w:w="0" w:type="dxa"/>
            <w:left w:w="70" w:type="dxa"/>
            <w:bottom w:w="0" w:type="dxa"/>
            <w:right w:w="70" w:type="dxa"/>
          </w:tblCellMar>
        </w:tblPrEx>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 as specified in</w:t>
            </w:r>
          </w:p>
          <w:p>
            <w:pPr>
              <w:pStyle w:val="103"/>
            </w:pPr>
            <w:r>
              <w:t>TS 36.508 [12] subclause 4.3.1</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lang w:val="en-US"/>
              </w:rPr>
              <w:t>1.4</w:t>
            </w:r>
            <w:r>
              <w:t>MHz</w:t>
            </w:r>
          </w:p>
        </w:tc>
      </w:tr>
      <w:tr>
        <w:tblPrEx>
          <w:tblCellMar>
            <w:top w:w="0" w:type="dxa"/>
            <w:left w:w="70" w:type="dxa"/>
            <w:bottom w:w="0" w:type="dxa"/>
            <w:right w:w="70" w:type="dxa"/>
          </w:tblCellMar>
        </w:tblPrEx>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 and Narrowband positions</w:t>
            </w:r>
          </w:p>
        </w:tc>
      </w:tr>
      <w:tr>
        <w:tblPrEx>
          <w:tblCellMar>
            <w:top w:w="0" w:type="dxa"/>
            <w:left w:w="70" w:type="dxa"/>
            <w:bottom w:w="0" w:type="dxa"/>
            <w:right w:w="70" w:type="dxa"/>
          </w:tblCellMar>
        </w:tblPrEx>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4474"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c>
          <w:tcPr>
            <w:tcW w:w="1212" w:type="dxa"/>
            <w:tcBorders>
              <w:top w:val="single" w:color="auto" w:sz="4" w:space="0"/>
              <w:left w:val="single" w:color="auto" w:sz="4" w:space="0"/>
              <w:right w:val="single" w:color="auto" w:sz="4" w:space="0"/>
            </w:tcBorders>
            <w:shd w:val="clear" w:color="auto" w:fill="auto"/>
            <w:vAlign w:val="center"/>
          </w:tcPr>
          <w:p>
            <w:pPr>
              <w:pStyle w:val="104"/>
            </w:pPr>
            <w:r>
              <w:t>Configuration ID</w:t>
            </w:r>
          </w:p>
        </w:tc>
        <w:tc>
          <w:tcPr>
            <w:tcW w:w="1134" w:type="dxa"/>
            <w:tcBorders>
              <w:top w:val="single" w:color="auto" w:sz="4" w:space="0"/>
              <w:left w:val="single" w:color="auto" w:sz="4" w:space="0"/>
              <w:right w:val="single" w:color="auto" w:sz="4" w:space="0"/>
            </w:tcBorders>
            <w:shd w:val="clear" w:color="auto" w:fill="auto"/>
            <w:vAlign w:val="center"/>
          </w:tcPr>
          <w:p>
            <w:pPr>
              <w:pStyle w:val="104"/>
            </w:pPr>
            <w:r>
              <w:t>Ch BW</w:t>
            </w:r>
          </w:p>
        </w:tc>
        <w:tc>
          <w:tcPr>
            <w:tcW w:w="2734" w:type="dxa"/>
            <w:tcBorders>
              <w:top w:val="single" w:color="auto" w:sz="4" w:space="0"/>
              <w:left w:val="single" w:color="auto" w:sz="4" w:space="0"/>
              <w:right w:val="single" w:color="auto" w:sz="4" w:space="0"/>
            </w:tcBorders>
            <w:shd w:val="clear" w:color="auto" w:fill="auto"/>
            <w:vAlign w:val="center"/>
          </w:tcPr>
          <w:p>
            <w:pPr>
              <w:pStyle w:val="105"/>
            </w:pPr>
            <w:r>
              <w:t>N/A for Maximum Power Reduction (MPR) test case</w:t>
            </w:r>
          </w:p>
        </w:tc>
        <w:tc>
          <w:tcPr>
            <w:tcW w:w="1304" w:type="dxa"/>
            <w:tcBorders>
              <w:top w:val="single" w:color="auto" w:sz="4" w:space="0"/>
              <w:left w:val="single" w:color="auto" w:sz="4" w:space="0"/>
              <w:right w:val="single" w:color="auto" w:sz="4" w:space="0"/>
            </w:tcBorders>
            <w:shd w:val="clear" w:color="auto" w:fill="auto"/>
            <w:vAlign w:val="center"/>
          </w:tcPr>
          <w:p>
            <w:pPr>
              <w:pStyle w:val="104"/>
            </w:pPr>
            <w:r>
              <w:t>Mod'n</w:t>
            </w:r>
          </w:p>
        </w:tc>
        <w:tc>
          <w:tcPr>
            <w:tcW w:w="317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RB allocation</w:t>
            </w:r>
          </w:p>
        </w:tc>
      </w:tr>
      <w:tr>
        <w:tblPrEx>
          <w:tblCellMar>
            <w:top w:w="0" w:type="dxa"/>
            <w:left w:w="70" w:type="dxa"/>
            <w:bottom w:w="0" w:type="dxa"/>
            <w:right w:w="70" w:type="dxa"/>
          </w:tblCellMar>
        </w:tblPrEx>
        <w:tc>
          <w:tcPr>
            <w:tcW w:w="1212" w:type="dxa"/>
            <w:tcBorders>
              <w:left w:val="single" w:color="auto" w:sz="4" w:space="0"/>
              <w:bottom w:val="single" w:color="auto" w:sz="4" w:space="0"/>
              <w:right w:val="single" w:color="auto" w:sz="4" w:space="0"/>
            </w:tcBorders>
            <w:shd w:val="clear" w:color="auto" w:fill="auto"/>
            <w:vAlign w:val="center"/>
          </w:tcPr>
          <w:p>
            <w:pPr>
              <w:pStyle w:val="105"/>
            </w:pPr>
          </w:p>
        </w:tc>
        <w:tc>
          <w:tcPr>
            <w:tcW w:w="1134" w:type="dxa"/>
            <w:tcBorders>
              <w:left w:val="single" w:color="auto" w:sz="4" w:space="0"/>
              <w:bottom w:val="single" w:color="auto" w:sz="4" w:space="0"/>
              <w:right w:val="single" w:color="auto" w:sz="4" w:space="0"/>
            </w:tcBorders>
            <w:shd w:val="clear" w:color="auto" w:fill="auto"/>
            <w:vAlign w:val="center"/>
          </w:tcPr>
          <w:p>
            <w:pPr>
              <w:pStyle w:val="105"/>
            </w:pP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left w:val="single" w:color="auto" w:sz="4" w:space="0"/>
              <w:bottom w:val="single" w:color="auto" w:sz="4" w:space="0"/>
              <w:right w:val="single" w:color="auto" w:sz="4" w:space="0"/>
            </w:tcBorders>
            <w:shd w:val="clear" w:color="auto" w:fill="auto"/>
            <w:vAlign w:val="center"/>
          </w:tcPr>
          <w:p>
            <w:pPr>
              <w:pStyle w:val="105"/>
            </w:pP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FDD and HD-FDD</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Narrowband index (Note 1)</w:t>
            </w:r>
          </w:p>
        </w:tc>
      </w:tr>
      <w:tr>
        <w:tblPrEx>
          <w:tblCellMar>
            <w:top w:w="0" w:type="dxa"/>
            <w:left w:w="70" w:type="dxa"/>
            <w:bottom w:w="0" w:type="dxa"/>
            <w:right w:w="70" w:type="dxa"/>
          </w:tblCellMar>
        </w:tblPrEx>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 range, Mid range</w:t>
            </w:r>
          </w:p>
        </w:tc>
      </w:tr>
      <w:tr>
        <w:tblPrEx>
          <w:tblCellMar>
            <w:top w:w="0" w:type="dxa"/>
            <w:left w:w="70" w:type="dxa"/>
            <w:bottom w:w="0" w:type="dxa"/>
            <w:right w:w="70" w:type="dxa"/>
          </w:tblCellMar>
        </w:tblPrEx>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r>
      <w:tr>
        <w:tblPrEx>
          <w:tblCellMar>
            <w:top w:w="0" w:type="dxa"/>
            <w:left w:w="70" w:type="dxa"/>
            <w:bottom w:w="0" w:type="dxa"/>
            <w:right w:w="70" w:type="dxa"/>
          </w:tblCellMar>
        </w:tblPrEx>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rPr>
                <w:lang w:eastAsia="zh-CN"/>
              </w:rPr>
              <w:t>High range</w:t>
            </w:r>
          </w:p>
        </w:tc>
      </w:tr>
      <w:tr>
        <w:tblPrEx>
          <w:tblCellMar>
            <w:top w:w="0" w:type="dxa"/>
            <w:left w:w="70" w:type="dxa"/>
            <w:bottom w:w="0" w:type="dxa"/>
            <w:right w:w="70" w:type="dxa"/>
          </w:tblCellMar>
        </w:tblPrEx>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1585"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c>
          <w:tcPr>
            <w:tcW w:w="1585"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r>
      <w:tr>
        <w:tblPrEx>
          <w:tblCellMar>
            <w:top w:w="0" w:type="dxa"/>
            <w:left w:w="70" w:type="dxa"/>
            <w:bottom w:w="0" w:type="dxa"/>
            <w:right w:w="70" w:type="dxa"/>
          </w:tblCellMar>
        </w:tblPrEx>
        <w:tc>
          <w:tcPr>
            <w:tcW w:w="955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18"/>
              <w:rPr>
                <w:szCs w:val="18"/>
              </w:rPr>
            </w:pPr>
            <w:r>
              <w:rPr>
                <w:szCs w:val="18"/>
              </w:rPr>
              <w:t>NOTE 1:</w:t>
            </w:r>
            <w:r>
              <w:tab/>
            </w:r>
            <w:r>
              <w:rPr>
                <w:szCs w:val="18"/>
              </w:rPr>
              <w:t>Denotes the lowest narrowband index in the channel bandwidth where the wideband shall be placed. The allocation is contiguous, starting from the lowest narrowband index. Narrowband, Narrowband index and Wideband are defined in TS 36.211 [3], 5.2.7.</w:t>
            </w:r>
          </w:p>
          <w:p>
            <w:pPr>
              <w:pStyle w:val="118"/>
            </w:pPr>
            <w:r>
              <w:t>N</w:t>
            </w:r>
            <w:r>
              <w:rPr>
                <w:szCs w:val="18"/>
              </w:rPr>
              <w:t>OTE</w:t>
            </w:r>
            <w:r>
              <w:t xml:space="preserve"> 2:</w:t>
            </w:r>
            <w:r>
              <w:tab/>
            </w:r>
            <w:r>
              <w:t>Test Channel Bandwidths are checked separately for each E-UTRA band, the applicable channel bandwidths are specified in Table 5.4.2.1-1.</w:t>
            </w:r>
          </w:p>
          <w:p>
            <w:pPr>
              <w:pStyle w:val="118"/>
            </w:pPr>
            <w:r>
              <w:rPr>
                <w:lang w:eastAsia="sv-SE"/>
              </w:rPr>
              <w:t>N</w:t>
            </w:r>
            <w:r>
              <w:rPr>
                <w:szCs w:val="18"/>
              </w:rPr>
              <w:t>OTE</w:t>
            </w:r>
            <w:r>
              <w:rPr>
                <w:lang w:eastAsia="sv-SE"/>
              </w:rPr>
              <w:t xml:space="preserve"> 3:</w:t>
            </w:r>
            <w:r>
              <w:rPr>
                <w:lang w:eastAsia="sv-SE"/>
              </w:rPr>
              <w:tab/>
            </w:r>
            <w:r>
              <w:rPr>
                <w:lang w:eastAsia="sv-SE"/>
              </w:rPr>
              <w:t>The SC</w:t>
            </w:r>
            <w:r>
              <w:rPr>
                <w:vertAlign w:val="subscript"/>
                <w:lang w:eastAsia="sv-SE"/>
              </w:rPr>
              <w:t>start</w:t>
            </w:r>
            <w:r>
              <w:rPr>
                <w:lang w:eastAsia="sv-SE"/>
              </w:rPr>
              <w:t xml:space="preserve"> shall be SC#0 and SC# (72 – RB allocation) of the narrowband, when RB allocation is defined as #SCs</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4.13 is provided to the UE through AT commands or any other preconfigured means. </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7.</w:t>
      </w:r>
      <w:r>
        <w:rPr>
          <w:rFonts w:hint="eastAsia" w:eastAsia="Malgun Gothic"/>
          <w:lang w:eastAsia="en-GB"/>
        </w:rPr>
        <w:tab/>
      </w:r>
      <w:r>
        <w:rPr>
          <w:rFonts w:hint="eastAsia" w:eastAsia="Malgun Gothic"/>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8.</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6.2A.4.3.</w:t>
      </w:r>
    </w:p>
    <w:p>
      <w:pPr>
        <w:pStyle w:val="111"/>
        <w:overflowPunct w:val="0"/>
        <w:autoSpaceDE w:val="0"/>
        <w:autoSpaceDN w:val="0"/>
        <w:adjustRightInd w:val="0"/>
        <w:contextualSpacing w:val="0"/>
        <w:textAlignment w:val="baseline"/>
        <w:rPr>
          <w:rFonts w:eastAsia="Malgun Gothic"/>
          <w:lang w:eastAsia="en-GB"/>
        </w:rPr>
      </w:pPr>
      <w:r>
        <w:rPr>
          <w:rFonts w:hint="default" w:eastAsia="Malgun Gothic"/>
          <w:lang w:val="en-US" w:eastAsia="en-GB"/>
        </w:rPr>
        <w:t>9.</w:t>
      </w:r>
      <w:r>
        <w:rPr>
          <w:rFonts w:hint="default" w:eastAsia="Malgun Gothic"/>
          <w:lang w:val="en-US" w:eastAsia="en-GB"/>
        </w:rPr>
        <w:tab/>
      </w:r>
      <w:r>
        <w:rPr>
          <w:rFonts w:eastAsia="Malgun Gothic"/>
          <w:lang w:eastAsia="en-GB"/>
        </w:rPr>
        <w:t>For UE supporting subPRB allocation, repeat step 1-6 with UL RMC according to Table 6.2A.2.4.1-2</w:t>
      </w:r>
    </w:p>
    <w:p>
      <w:pPr>
        <w:pStyle w:val="9"/>
      </w:pPr>
      <w:r>
        <w:t>6.2A.2.4.2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Table 6.2A.4.1-1.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every uplink scheduling information to the UE; allow at least 200ms for the UE to reach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of one sub-frame (1ms). For HD-FDD slots with transient periods and Half-duplex guard subframe are not under test.</w:t>
      </w:r>
    </w:p>
    <w:p>
      <w:pPr>
        <w:pStyle w:val="9"/>
      </w:pPr>
      <w:r>
        <w:t>6.2A.2.4.3</w:t>
      </w:r>
      <w:r>
        <w:tab/>
      </w:r>
      <w:r>
        <w:rPr>
          <w:snapToGrid w:val="0"/>
        </w:rPr>
        <w:t>Message contents</w:t>
      </w:r>
    </w:p>
    <w:p>
      <w:r>
        <w:t>Message contents are according to TS 36.508 [12] subclause 4.6 with the condition CEModeA.</w:t>
      </w:r>
    </w:p>
    <w:p>
      <w:pPr>
        <w:pStyle w:val="9"/>
      </w:pPr>
      <w:r>
        <w:t>6.2A.2.4.4</w:t>
      </w:r>
      <w:r>
        <w:tab/>
      </w:r>
      <w:r>
        <w:t>Test requirements</w:t>
      </w:r>
    </w:p>
    <w:p>
      <w:r>
        <w:t xml:space="preserve">The maximum output power, derived in step </w:t>
      </w:r>
      <w:r>
        <w:rPr>
          <w:lang w:eastAsia="ja-JP"/>
        </w:rPr>
        <w:t>3</w:t>
      </w:r>
      <w:r>
        <w:t xml:space="preserve"> shall be within the range prescribed by the nominal maximum output power and tolerance in Table 6.2A.2.4.4-1</w:t>
      </w:r>
    </w:p>
    <w:p>
      <w:pPr>
        <w:pStyle w:val="113"/>
      </w:pPr>
      <w:r>
        <w:t>Table 6.2A.2.4.4-1: UE Power Class 3 and 5 test requirements</w:t>
      </w:r>
    </w:p>
    <w:tbl>
      <w:tblPr>
        <w:tblStyle w:val="89"/>
        <w:tblW w:w="10276" w:type="dxa"/>
        <w:tblInd w:w="0" w:type="dxa"/>
        <w:tblLayout w:type="fixed"/>
        <w:tblCellMar>
          <w:top w:w="0" w:type="dxa"/>
          <w:left w:w="70" w:type="dxa"/>
          <w:bottom w:w="0" w:type="dxa"/>
          <w:right w:w="70" w:type="dxa"/>
        </w:tblCellMar>
      </w:tblPr>
      <w:tblGrid>
        <w:gridCol w:w="964"/>
        <w:gridCol w:w="917"/>
        <w:gridCol w:w="918"/>
        <w:gridCol w:w="1132"/>
        <w:gridCol w:w="890"/>
        <w:gridCol w:w="892"/>
        <w:gridCol w:w="944"/>
        <w:gridCol w:w="943"/>
        <w:gridCol w:w="1134"/>
        <w:gridCol w:w="851"/>
        <w:gridCol w:w="691"/>
      </w:tblGrid>
      <w:tr>
        <w:tblPrEx>
          <w:tblCellMar>
            <w:top w:w="0" w:type="dxa"/>
            <w:left w:w="70" w:type="dxa"/>
            <w:bottom w:w="0" w:type="dxa"/>
            <w:right w:w="70" w:type="dxa"/>
          </w:tblCellMar>
        </w:tblPrEx>
        <w:trPr>
          <w:trHeight w:val="20" w:hRule="atLeast"/>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
          <w:p>
            <w:pPr>
              <w:pStyle w:val="104"/>
            </w:pPr>
            <w:r>
              <w:t>Power class 3</w:t>
            </w:r>
          </w:p>
        </w:tc>
        <w:tc>
          <w:tcPr>
            <w:tcW w:w="4563" w:type="dxa"/>
            <w:gridSpan w:val="5"/>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7" w:type="dxa"/>
            <w:tcBorders>
              <w:top w:val="single" w:color="auto" w:sz="4" w:space="0"/>
              <w:left w:val="single" w:color="auto" w:sz="4" w:space="0"/>
              <w:bottom w:val="single" w:color="auto" w:sz="4" w:space="0"/>
              <w:right w:val="single" w:color="auto" w:sz="4" w:space="0"/>
            </w:tcBorders>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44" w:type="dxa"/>
            <w:tcBorders>
              <w:top w:val="single" w:color="auto" w:sz="4" w:space="0"/>
              <w:left w:val="single" w:color="auto" w:sz="4" w:space="0"/>
              <w:bottom w:val="single" w:color="auto" w:sz="4" w:space="0"/>
              <w:right w:val="single" w:color="auto" w:sz="4" w:space="0"/>
            </w:tcBorders>
          </w:tcPr>
          <w:p>
            <w:pPr>
              <w:pStyle w:val="104"/>
            </w:pPr>
            <w:r>
              <w:t>MPR (dB)</w:t>
            </w:r>
          </w:p>
        </w:tc>
        <w:tc>
          <w:tcPr>
            <w:tcW w:w="943"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691"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1</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944" w:type="dxa"/>
            <w:tcBorders>
              <w:top w:val="single" w:color="auto" w:sz="4" w:space="0"/>
              <w:left w:val="single" w:color="auto" w:sz="4" w:space="0"/>
              <w:bottom w:val="single" w:color="auto" w:sz="4" w:space="0"/>
              <w:right w:val="single" w:color="auto" w:sz="4" w:space="0"/>
            </w:tcBorders>
          </w:tcPr>
          <w:p>
            <w:pPr>
              <w:pStyle w:val="105"/>
            </w:pPr>
            <w:r>
              <w:t>0</w:t>
            </w:r>
          </w:p>
        </w:tc>
        <w:tc>
          <w:tcPr>
            <w:tcW w:w="943" w:type="dxa"/>
            <w:tcBorders>
              <w:top w:val="single" w:color="auto" w:sz="4" w:space="0"/>
              <w:left w:val="single" w:color="auto" w:sz="4" w:space="0"/>
              <w:bottom w:val="single" w:color="auto" w:sz="4" w:space="0"/>
              <w:right w:val="single" w:color="auto" w:sz="4" w:space="0"/>
            </w:tcBorders>
          </w:tcPr>
          <w:p>
            <w:pPr>
              <w:pStyle w:val="105"/>
            </w:pPr>
            <w:r>
              <w:t>20</w:t>
            </w:r>
          </w:p>
        </w:tc>
        <w:tc>
          <w:tcPr>
            <w:tcW w:w="1134" w:type="dxa"/>
            <w:tcBorders>
              <w:top w:val="single" w:color="auto" w:sz="4" w:space="0"/>
              <w:left w:val="single" w:color="auto" w:sz="4" w:space="0"/>
              <w:bottom w:val="single" w:color="auto" w:sz="4" w:space="0"/>
              <w:right w:val="single" w:color="auto" w:sz="4" w:space="0"/>
            </w:tcBorders>
          </w:tcPr>
          <w:p>
            <w:pPr>
              <w:pStyle w:val="105"/>
            </w:pPr>
            <w:r>
              <w:t>2.0</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917" w:type="dxa"/>
            <w:tcBorders>
              <w:top w:val="single" w:color="auto" w:sz="4" w:space="0"/>
              <w:left w:val="single" w:color="auto" w:sz="4" w:space="0"/>
              <w:bottom w:val="single" w:color="auto" w:sz="4" w:space="0"/>
              <w:right w:val="single" w:color="auto" w:sz="4" w:space="0"/>
            </w:tcBorders>
          </w:tcPr>
          <w:p>
            <w:pPr>
              <w:pStyle w:val="105"/>
            </w:pPr>
            <w:r>
              <w:t>1</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944" w:type="dxa"/>
            <w:tcBorders>
              <w:top w:val="single" w:color="auto" w:sz="4" w:space="0"/>
              <w:left w:val="single" w:color="auto" w:sz="4" w:space="0"/>
              <w:bottom w:val="single" w:color="auto" w:sz="4" w:space="0"/>
              <w:right w:val="single" w:color="auto" w:sz="4" w:space="0"/>
            </w:tcBorders>
          </w:tcPr>
          <w:p>
            <w:pPr>
              <w:pStyle w:val="105"/>
            </w:pPr>
            <w:r>
              <w:t>1</w:t>
            </w:r>
          </w:p>
        </w:tc>
        <w:tc>
          <w:tcPr>
            <w:tcW w:w="943" w:type="dxa"/>
            <w:tcBorders>
              <w:top w:val="single" w:color="auto" w:sz="4" w:space="0"/>
              <w:left w:val="single" w:color="auto" w:sz="4" w:space="0"/>
              <w:bottom w:val="single" w:color="auto" w:sz="4" w:space="0"/>
              <w:right w:val="single" w:color="auto" w:sz="4" w:space="0"/>
            </w:tcBorders>
          </w:tcPr>
          <w:p>
            <w:pPr>
              <w:pStyle w:val="105"/>
            </w:pPr>
            <w:r>
              <w:t>19</w:t>
            </w:r>
          </w:p>
        </w:tc>
        <w:tc>
          <w:tcPr>
            <w:tcW w:w="1134" w:type="dxa"/>
            <w:tcBorders>
              <w:top w:val="single" w:color="auto" w:sz="4" w:space="0"/>
              <w:left w:val="single" w:color="auto" w:sz="4" w:space="0"/>
              <w:bottom w:val="single" w:color="auto" w:sz="4" w:space="0"/>
              <w:right w:val="single" w:color="auto" w:sz="4" w:space="0"/>
            </w:tcBorders>
          </w:tcPr>
          <w:p>
            <w:pPr>
              <w:pStyle w:val="105"/>
            </w:pPr>
            <w:r>
              <w:t>3.5</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3</w:t>
            </w:r>
          </w:p>
        </w:tc>
        <w:tc>
          <w:tcPr>
            <w:tcW w:w="917" w:type="dxa"/>
            <w:tcBorders>
              <w:top w:val="single" w:color="auto" w:sz="4" w:space="0"/>
              <w:left w:val="single" w:color="auto" w:sz="4" w:space="0"/>
              <w:bottom w:val="single" w:color="auto" w:sz="4" w:space="0"/>
              <w:right w:val="single" w:color="auto" w:sz="4" w:space="0"/>
            </w:tcBorders>
          </w:tcPr>
          <w:p>
            <w:pPr>
              <w:pStyle w:val="105"/>
            </w:pPr>
            <w:r>
              <w:t>2</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944" w:type="dxa"/>
            <w:tcBorders>
              <w:top w:val="single" w:color="auto" w:sz="4" w:space="0"/>
              <w:left w:val="single" w:color="auto" w:sz="4" w:space="0"/>
              <w:bottom w:val="single" w:color="auto" w:sz="4" w:space="0"/>
              <w:right w:val="single" w:color="auto" w:sz="4" w:space="0"/>
            </w:tcBorders>
          </w:tcPr>
          <w:p>
            <w:pPr>
              <w:pStyle w:val="105"/>
            </w:pPr>
            <w:r>
              <w:t>2</w:t>
            </w:r>
          </w:p>
        </w:tc>
        <w:tc>
          <w:tcPr>
            <w:tcW w:w="943" w:type="dxa"/>
            <w:tcBorders>
              <w:top w:val="single" w:color="auto" w:sz="4" w:space="0"/>
              <w:left w:val="single" w:color="auto" w:sz="4" w:space="0"/>
              <w:bottom w:val="single" w:color="auto" w:sz="4" w:space="0"/>
              <w:right w:val="single" w:color="auto" w:sz="4" w:space="0"/>
            </w:tcBorders>
          </w:tcPr>
          <w:p>
            <w:pPr>
              <w:pStyle w:val="105"/>
            </w:pPr>
            <w:r>
              <w:t>18</w:t>
            </w:r>
          </w:p>
        </w:tc>
        <w:tc>
          <w:tcPr>
            <w:tcW w:w="1134" w:type="dxa"/>
            <w:tcBorders>
              <w:top w:val="single" w:color="auto" w:sz="4" w:space="0"/>
              <w:left w:val="single" w:color="auto" w:sz="4" w:space="0"/>
              <w:bottom w:val="single" w:color="auto" w:sz="4" w:space="0"/>
              <w:right w:val="single" w:color="auto" w:sz="4" w:space="0"/>
            </w:tcBorders>
          </w:tcPr>
          <w:p>
            <w:pPr>
              <w:pStyle w:val="105"/>
            </w:pPr>
            <w:r>
              <w:t>4.0</w:t>
            </w:r>
          </w:p>
        </w:tc>
        <w:tc>
          <w:tcPr>
            <w:tcW w:w="851" w:type="dxa"/>
            <w:tcBorders>
              <w:top w:val="single" w:color="auto" w:sz="4" w:space="0"/>
              <w:left w:val="single" w:color="auto" w:sz="4" w:space="0"/>
              <w:bottom w:val="single" w:color="auto" w:sz="4" w:space="0"/>
              <w:right w:val="single" w:color="auto" w:sz="4" w:space="0"/>
            </w:tcBorders>
          </w:tcPr>
          <w:p>
            <w:pPr>
              <w:pStyle w:val="105"/>
            </w:pPr>
            <w:r>
              <w:t>22.7</w:t>
            </w:r>
          </w:p>
        </w:tc>
        <w:tc>
          <w:tcPr>
            <w:tcW w:w="691"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trHeight w:val="20" w:hRule="atLeast"/>
        </w:trPr>
        <w:tc>
          <w:tcPr>
            <w:tcW w:w="10276" w:type="dxa"/>
            <w:gridSpan w:val="11"/>
            <w:tcBorders>
              <w:top w:val="single" w:color="auto" w:sz="4" w:space="0"/>
              <w:left w:val="single" w:color="auto" w:sz="4"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r>
              <w:rPr>
                <w:rFonts w:hint="eastAsia"/>
              </w:rPr>
              <w:t>.</w:t>
            </w:r>
          </w:p>
        </w:tc>
      </w:tr>
    </w:tbl>
    <w:p/>
    <w:p>
      <w:pPr>
        <w:pStyle w:val="113"/>
      </w:pPr>
      <w:r>
        <w:t>Table 6.2A.2.4.4-1a: UE Power Class 3 test requirements for bands, subPRB allocation</w:t>
      </w:r>
    </w:p>
    <w:tbl>
      <w:tblPr>
        <w:tblStyle w:val="89"/>
        <w:tblW w:w="5713" w:type="dxa"/>
        <w:tblInd w:w="2077" w:type="dxa"/>
        <w:tblLayout w:type="fixed"/>
        <w:tblCellMar>
          <w:top w:w="0" w:type="dxa"/>
          <w:left w:w="70" w:type="dxa"/>
          <w:bottom w:w="0" w:type="dxa"/>
          <w:right w:w="70" w:type="dxa"/>
        </w:tblCellMar>
      </w:tblPr>
      <w:tblGrid>
        <w:gridCol w:w="964"/>
        <w:gridCol w:w="917"/>
        <w:gridCol w:w="918"/>
        <w:gridCol w:w="1132"/>
        <w:gridCol w:w="890"/>
        <w:gridCol w:w="892"/>
      </w:tblGrid>
      <w:tr>
        <w:tblPrEx>
          <w:tblCellMar>
            <w:top w:w="0" w:type="dxa"/>
            <w:left w:w="70" w:type="dxa"/>
            <w:bottom w:w="0" w:type="dxa"/>
            <w:right w:w="70" w:type="dxa"/>
          </w:tblCellMar>
        </w:tblPrEx>
        <w:trPr>
          <w:trHeight w:val="20" w:hRule="atLeast"/>
        </w:trPr>
        <w:tc>
          <w:tcPr>
            <w:tcW w:w="96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Configuration ID</w:t>
            </w:r>
          </w:p>
        </w:tc>
        <w:tc>
          <w:tcPr>
            <w:tcW w:w="4749" w:type="dxa"/>
            <w:gridSpan w:val="5"/>
            <w:tcBorders>
              <w:top w:val="single" w:color="auto" w:sz="4" w:space="0"/>
              <w:left w:val="single" w:color="auto" w:sz="4" w:space="0"/>
              <w:bottom w:val="single" w:color="auto" w:sz="4" w:space="0"/>
              <w:right w:val="single" w:color="auto" w:sz="4" w:space="0"/>
            </w:tcBorders>
          </w:tcPr>
          <w:p>
            <w:pPr>
              <w:pStyle w:val="104"/>
            </w:pPr>
            <w:r>
              <w:t>Power class 3</w:t>
            </w:r>
          </w:p>
        </w:tc>
      </w:tr>
      <w:tr>
        <w:tblPrEx>
          <w:tblCellMar>
            <w:top w:w="0" w:type="dxa"/>
            <w:left w:w="70" w:type="dxa"/>
            <w:bottom w:w="0" w:type="dxa"/>
            <w:right w:w="70" w:type="dxa"/>
          </w:tblCellMar>
        </w:tblPrEx>
        <w:trPr>
          <w:trHeight w:val="20" w:hRule="atLeast"/>
        </w:trPr>
        <w:tc>
          <w:tcPr>
            <w:tcW w:w="964"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7" w:type="dxa"/>
            <w:tcBorders>
              <w:top w:val="single" w:color="auto" w:sz="4" w:space="0"/>
              <w:left w:val="single" w:color="auto" w:sz="4" w:space="0"/>
              <w:bottom w:val="single" w:color="auto" w:sz="4" w:space="0"/>
              <w:right w:val="single" w:color="auto" w:sz="4" w:space="0"/>
            </w:tcBorders>
          </w:tcPr>
          <w:p>
            <w:pPr>
              <w:pStyle w:val="104"/>
            </w:pPr>
            <w:r>
              <w:t>MPR (dB)</w:t>
            </w:r>
          </w:p>
        </w:tc>
        <w:tc>
          <w:tcPr>
            <w:tcW w:w="91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113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1</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r>
      <w:tr>
        <w:tblPrEx>
          <w:tblCellMar>
            <w:top w:w="0" w:type="dxa"/>
            <w:left w:w="70" w:type="dxa"/>
            <w:bottom w:w="0" w:type="dxa"/>
            <w:right w:w="70" w:type="dxa"/>
          </w:tblCellMar>
        </w:tblPrEx>
        <w:trPr>
          <w:trHeight w:val="20" w:hRule="atLeast"/>
        </w:trPr>
        <w:tc>
          <w:tcPr>
            <w:tcW w:w="964"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917" w:type="dxa"/>
            <w:tcBorders>
              <w:top w:val="single" w:color="auto" w:sz="4" w:space="0"/>
              <w:left w:val="single" w:color="auto" w:sz="4" w:space="0"/>
              <w:bottom w:val="single" w:color="auto" w:sz="4" w:space="0"/>
              <w:right w:val="single" w:color="auto" w:sz="4" w:space="0"/>
            </w:tcBorders>
          </w:tcPr>
          <w:p>
            <w:pPr>
              <w:pStyle w:val="105"/>
            </w:pPr>
            <w:r>
              <w:t>0</w:t>
            </w:r>
          </w:p>
        </w:tc>
        <w:tc>
          <w:tcPr>
            <w:tcW w:w="91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1132" w:type="dxa"/>
            <w:tcBorders>
              <w:top w:val="single" w:color="auto" w:sz="4" w:space="0"/>
              <w:left w:val="single" w:color="auto" w:sz="4" w:space="0"/>
              <w:bottom w:val="single" w:color="auto" w:sz="4" w:space="0"/>
              <w:right w:val="single" w:color="auto" w:sz="4" w:space="0"/>
            </w:tcBorders>
            <w:shd w:val="clear" w:color="auto" w:fill="auto"/>
          </w:tcPr>
          <w:p>
            <w:pPr>
              <w:pStyle w:val="105"/>
            </w:pPr>
            <w:r>
              <w:t>2.0</w:t>
            </w:r>
          </w:p>
        </w:tc>
        <w:tc>
          <w:tcPr>
            <w:tcW w:w="89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92"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r>
      <w:tr>
        <w:tblPrEx>
          <w:tblCellMar>
            <w:top w:w="0" w:type="dxa"/>
            <w:left w:w="70" w:type="dxa"/>
            <w:bottom w:w="0" w:type="dxa"/>
            <w:right w:w="70" w:type="dxa"/>
          </w:tblCellMar>
        </w:tblPrEx>
        <w:trPr>
          <w:trHeight w:val="20" w:hRule="atLeast"/>
        </w:trPr>
        <w:tc>
          <w:tcPr>
            <w:tcW w:w="5713" w:type="dxa"/>
            <w:gridSpan w:val="6"/>
            <w:tcBorders>
              <w:top w:val="single" w:color="auto" w:sz="4" w:space="0"/>
              <w:left w:val="single" w:color="auto" w:sz="4" w:space="0"/>
              <w:bottom w:val="single" w:color="auto" w:sz="4" w:space="0"/>
              <w:right w:val="single" w:color="auto" w:sz="4" w:space="0"/>
            </w:tcBorders>
            <w:shd w:val="clear" w:color="auto" w:fill="auto"/>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36.102 [11]  clause 6.2A.4.</w:t>
            </w:r>
          </w:p>
        </w:tc>
      </w:tr>
    </w:tbl>
    <w:p/>
    <w:p>
      <w:pPr>
        <w:pStyle w:val="5"/>
      </w:pPr>
      <w:bookmarkStart w:id="256" w:name="_Toc120570027"/>
      <w:bookmarkStart w:id="257" w:name="_Toc121162819"/>
      <w:bookmarkStart w:id="258" w:name="_Toc4144"/>
      <w:bookmarkStart w:id="259" w:name="_Toc17731"/>
      <w:bookmarkStart w:id="260" w:name="_Toc10474"/>
      <w:r>
        <w:t>6.2A.3</w:t>
      </w:r>
      <w:r>
        <w:tab/>
      </w:r>
      <w:r>
        <w:t>UE additional maximum output power reduction for category M1 UE</w:t>
      </w:r>
      <w:bookmarkEnd w:id="256"/>
      <w:bookmarkEnd w:id="257"/>
      <w:bookmarkEnd w:id="258"/>
      <w:bookmarkEnd w:id="259"/>
      <w:bookmarkEnd w:id="260"/>
    </w:p>
    <w:p>
      <w:pPr>
        <w:pStyle w:val="112"/>
      </w:pPr>
      <w:r>
        <w:t>Editor’s Note: This clause is incomplete. The following aspects are either missing or not yet determined:</w:t>
      </w:r>
    </w:p>
    <w:p>
      <w:pPr>
        <w:pStyle w:val="112"/>
      </w:pPr>
      <w:r>
        <w:t>- Test Points analysis is TBD</w:t>
      </w:r>
    </w:p>
    <w:p>
      <w:pPr>
        <w:pStyle w:val="112"/>
      </w:pPr>
      <w:r>
        <w:t>- Addition to applicability spec is pending</w:t>
      </w:r>
    </w:p>
    <w:p>
      <w:pPr>
        <w:pStyle w:val="112"/>
      </w:pPr>
      <w:r>
        <w:t>- Test configuration is TBD</w:t>
      </w:r>
    </w:p>
    <w:p>
      <w:pPr>
        <w:pStyle w:val="112"/>
      </w:pPr>
    </w:p>
    <w:p>
      <w:pPr>
        <w:pStyle w:val="9"/>
      </w:pPr>
      <w:r>
        <w:t>6.2A.3.1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Pr>
          <w:lang w:eastAsia="ja-JP"/>
        </w:rPr>
        <w:t>A.1</w:t>
      </w:r>
      <w:r>
        <w:t>-1. Unless stated otherwise, an A-MPR of 0 dB shall be used.</w:t>
      </w:r>
    </w:p>
    <w:p>
      <w:pPr>
        <w:pStyle w:val="9"/>
      </w:pPr>
      <w:r>
        <w:t>6.2A.3.2</w:t>
      </w:r>
      <w:r>
        <w:tab/>
      </w:r>
      <w:r>
        <w:t>Test applicability</w:t>
      </w:r>
    </w:p>
    <w:p>
      <w:r>
        <w:t>The requirements of this test apply in test case 6.5</w:t>
      </w:r>
      <w:r>
        <w:rPr>
          <w:lang w:eastAsia="ja-JP"/>
        </w:rPr>
        <w:t>A.3.3</w:t>
      </w:r>
      <w:r>
        <w:t xml:space="preserve"> Additional Spectrum Emission Mask for network signalled values NS_02N and NS-24 to all types of E-UTRA UE release 17 and forward of UE category M1 that support satellite access operation.</w:t>
      </w:r>
    </w:p>
    <w:p>
      <w:r>
        <w:t>The requirements of this test apply in test case 6.5A.4.4 Additional Spurious Emissions for network signalled values NS_02N and NS_24 to all types of E-UTRA UE release 17 and forward of UE category M1 that support satellite access operation.</w:t>
      </w:r>
    </w:p>
    <w:p>
      <w:pPr>
        <w:pStyle w:val="9"/>
      </w:pPr>
      <w:r>
        <w:t>6.2A.3.3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r>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pPr>
        <w:pStyle w:val="113"/>
      </w:pPr>
      <w:r>
        <w:t>Table 6.2A.3-1: Additional Maximum Power Reduction (A-MPR) for category M1 UE</w:t>
      </w:r>
    </w:p>
    <w:tbl>
      <w:tblPr>
        <w:tblStyle w:val="89"/>
        <w:tblW w:w="7116"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09"/>
        <w:gridCol w:w="1644"/>
        <w:gridCol w:w="1446"/>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100" w:type="dxa"/>
          </w:tcPr>
          <w:p>
            <w:pPr>
              <w:pStyle w:val="104"/>
              <w:rPr>
                <w:rFonts w:cs="Arial"/>
              </w:rPr>
            </w:pPr>
            <w:r>
              <w:rPr>
                <w:rFonts w:cs="Arial"/>
              </w:rPr>
              <w:t>Network Signalling value</w:t>
            </w:r>
          </w:p>
        </w:tc>
        <w:tc>
          <w:tcPr>
            <w:tcW w:w="1509" w:type="dxa"/>
            <w:shd w:val="clear" w:color="auto" w:fill="auto"/>
          </w:tcPr>
          <w:p>
            <w:pPr>
              <w:pStyle w:val="104"/>
              <w:rPr>
                <w:rFonts w:cs="Arial"/>
              </w:rPr>
            </w:pPr>
            <w:r>
              <w:rPr>
                <w:rFonts w:cs="Arial"/>
              </w:rPr>
              <w:t>Requirements (subclause)</w:t>
            </w:r>
          </w:p>
        </w:tc>
        <w:tc>
          <w:tcPr>
            <w:tcW w:w="1644" w:type="dxa"/>
            <w:shd w:val="clear" w:color="auto" w:fill="auto"/>
          </w:tcPr>
          <w:p>
            <w:pPr>
              <w:pStyle w:val="104"/>
              <w:rPr>
                <w:rFonts w:cs="Arial"/>
              </w:rPr>
            </w:pPr>
            <w:r>
              <w:rPr>
                <w:rFonts w:cs="Arial"/>
              </w:rPr>
              <w:t>E-UTRA Band</w:t>
            </w:r>
          </w:p>
        </w:tc>
        <w:tc>
          <w:tcPr>
            <w:tcW w:w="1446" w:type="dxa"/>
            <w:shd w:val="clear" w:color="auto" w:fill="auto"/>
          </w:tcPr>
          <w:p>
            <w:pPr>
              <w:pStyle w:val="104"/>
              <w:rPr>
                <w:rFonts w:cs="Arial"/>
              </w:rPr>
            </w:pPr>
            <w:r>
              <w:rPr>
                <w:rFonts w:cs="Arial"/>
              </w:rPr>
              <w:t>Resources Blocks</w:t>
            </w:r>
            <w:r>
              <w:rPr>
                <w:rFonts w:cs="Arial"/>
                <w:lang w:eastAsia="zh-CN"/>
              </w:rPr>
              <w:t xml:space="preserve"> </w:t>
            </w:r>
            <w:r>
              <w:rPr>
                <w:rFonts w:cs="Arial"/>
              </w:rPr>
              <w:t>(</w:t>
            </w:r>
            <w:r>
              <w:rPr>
                <w:rFonts w:cs="Arial"/>
                <w:i/>
                <w:iCs/>
              </w:rPr>
              <w:t>N</w:t>
            </w:r>
            <w:r>
              <w:rPr>
                <w:rFonts w:cs="Arial"/>
                <w:vertAlign w:val="subscript"/>
              </w:rPr>
              <w:t>RB</w:t>
            </w:r>
            <w:r>
              <w:rPr>
                <w:rFonts w:cs="Arial"/>
              </w:rPr>
              <w:t>)</w:t>
            </w:r>
          </w:p>
        </w:tc>
        <w:tc>
          <w:tcPr>
            <w:tcW w:w="1417" w:type="dxa"/>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NS_01</w:t>
            </w:r>
          </w:p>
        </w:tc>
        <w:tc>
          <w:tcPr>
            <w:tcW w:w="1509" w:type="dxa"/>
            <w:shd w:val="clear" w:color="auto" w:fill="auto"/>
            <w:vAlign w:val="center"/>
          </w:tcPr>
          <w:p>
            <w:pPr>
              <w:pStyle w:val="105"/>
              <w:rPr>
                <w:rFonts w:cs="Arial"/>
              </w:rPr>
            </w:pPr>
            <w:r>
              <w:t>6.5A.4.2</w:t>
            </w:r>
          </w:p>
        </w:tc>
        <w:tc>
          <w:tcPr>
            <w:tcW w:w="1644" w:type="dxa"/>
            <w:shd w:val="clear" w:color="auto" w:fill="auto"/>
            <w:vAlign w:val="center"/>
          </w:tcPr>
          <w:p>
            <w:pPr>
              <w:pStyle w:val="105"/>
              <w:rPr>
                <w:rFonts w:cs="Arial"/>
              </w:rPr>
            </w:pPr>
            <w:r>
              <w:t>Table 5.2-1</w:t>
            </w:r>
          </w:p>
        </w:tc>
        <w:tc>
          <w:tcPr>
            <w:tcW w:w="1446" w:type="dxa"/>
            <w:shd w:val="clear" w:color="auto" w:fill="auto"/>
            <w:vAlign w:val="center"/>
          </w:tcPr>
          <w:p>
            <w:pPr>
              <w:pStyle w:val="105"/>
              <w:rPr>
                <w:rFonts w:cs="Arial"/>
              </w:rPr>
            </w:pPr>
            <w:r>
              <w:rPr>
                <w:rFonts w:cs="Arial"/>
              </w:rPr>
              <w:t>Table 5.3.1-1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NS_02N</w:t>
            </w:r>
          </w:p>
        </w:tc>
        <w:tc>
          <w:tcPr>
            <w:tcW w:w="1509" w:type="dxa"/>
            <w:vAlign w:val="center"/>
          </w:tcPr>
          <w:p>
            <w:pPr>
              <w:pStyle w:val="105"/>
              <w:rPr>
                <w:rFonts w:cs="Arial"/>
              </w:rPr>
            </w:pPr>
            <w:r>
              <w:rPr>
                <w:rFonts w:cs="Arial"/>
              </w:rPr>
              <w:t>6.5A.4.4.2</w:t>
            </w:r>
          </w:p>
        </w:tc>
        <w:tc>
          <w:tcPr>
            <w:tcW w:w="1644" w:type="dxa"/>
            <w:vAlign w:val="center"/>
          </w:tcPr>
          <w:p>
            <w:pPr>
              <w:pStyle w:val="105"/>
              <w:rPr>
                <w:rFonts w:cs="Arial"/>
              </w:rPr>
            </w:pPr>
            <w:r>
              <w:rPr>
                <w:rFonts w:cs="Arial"/>
              </w:rPr>
              <w:t>255</w:t>
            </w:r>
          </w:p>
        </w:tc>
        <w:tc>
          <w:tcPr>
            <w:tcW w:w="1446" w:type="dxa"/>
            <w:vAlign w:val="center"/>
          </w:tcPr>
          <w:p>
            <w:pPr>
              <w:pStyle w:val="105"/>
              <w:rPr>
                <w:rFonts w:cs="Arial"/>
              </w:rPr>
            </w:pPr>
            <w:r>
              <w:rPr>
                <w:rFonts w:cs="Arial"/>
              </w:rPr>
              <w:t>Table 5.3.1-1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NS_24</w:t>
            </w:r>
          </w:p>
        </w:tc>
        <w:tc>
          <w:tcPr>
            <w:tcW w:w="1509" w:type="dxa"/>
            <w:vAlign w:val="center"/>
          </w:tcPr>
          <w:p>
            <w:pPr>
              <w:pStyle w:val="105"/>
              <w:rPr>
                <w:rFonts w:cs="Arial"/>
              </w:rPr>
            </w:pPr>
            <w:r>
              <w:rPr>
                <w:rFonts w:cs="Arial"/>
              </w:rPr>
              <w:t>6.5A.4.4.3</w:t>
            </w:r>
          </w:p>
        </w:tc>
        <w:tc>
          <w:tcPr>
            <w:tcW w:w="1644" w:type="dxa"/>
            <w:vAlign w:val="center"/>
          </w:tcPr>
          <w:p>
            <w:pPr>
              <w:pStyle w:val="105"/>
              <w:rPr>
                <w:rFonts w:cs="Arial"/>
              </w:rPr>
            </w:pPr>
            <w:r>
              <w:t>256</w:t>
            </w:r>
          </w:p>
        </w:tc>
        <w:tc>
          <w:tcPr>
            <w:tcW w:w="1446" w:type="dxa"/>
            <w:vAlign w:val="center"/>
          </w:tcPr>
          <w:p>
            <w:pPr>
              <w:pStyle w:val="105"/>
            </w:pPr>
            <w:r>
              <w:rPr>
                <w:rFonts w:cs="Arial"/>
              </w:rPr>
              <w:t>Table 5.3.1-1</w:t>
            </w:r>
          </w:p>
        </w:tc>
        <w:tc>
          <w:tcPr>
            <w:tcW w:w="1417" w:type="dxa"/>
            <w:vAlign w:val="center"/>
          </w:tcPr>
          <w:p>
            <w:pPr>
              <w:pStyle w:val="105"/>
            </w:pPr>
            <w:r>
              <w:rPr>
                <w:rFonts w:cs="Arial"/>
              </w:rPr>
              <w:t>[3.5]</w:t>
            </w:r>
          </w:p>
        </w:tc>
      </w:tr>
    </w:tbl>
    <w:p/>
    <w:p>
      <w:r>
        <w:t>For subPRB allocation, the allowed A-MPR values specified below in Table 6.2A.3-2 for category M1 UE are in addition to the allowed MPR requirements specified in subclause 6.2A.2.</w:t>
      </w:r>
    </w:p>
    <w:p>
      <w:pPr>
        <w:pStyle w:val="113"/>
      </w:pPr>
      <w:r>
        <w:t>Table 6.2A.3-2: Additional Maximum Power Reduction (A-MPR) for category M1 UE for subPRB allocation</w:t>
      </w:r>
    </w:p>
    <w:tbl>
      <w:tblPr>
        <w:tblStyle w:val="89"/>
        <w:tblW w:w="6059" w:type="dxa"/>
        <w:tblInd w:w="14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10"/>
        <w:gridCol w:w="1645"/>
        <w:gridCol w:w="18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100" w:type="dxa"/>
          </w:tcPr>
          <w:p>
            <w:pPr>
              <w:pStyle w:val="104"/>
            </w:pPr>
            <w:r>
              <w:t>Network Signalling value</w:t>
            </w:r>
          </w:p>
        </w:tc>
        <w:tc>
          <w:tcPr>
            <w:tcW w:w="1510" w:type="dxa"/>
            <w:shd w:val="clear" w:color="auto" w:fill="auto"/>
          </w:tcPr>
          <w:p>
            <w:pPr>
              <w:pStyle w:val="104"/>
            </w:pPr>
            <w:r>
              <w:t>Requirements (subclause)</w:t>
            </w:r>
          </w:p>
        </w:tc>
        <w:tc>
          <w:tcPr>
            <w:tcW w:w="1645" w:type="dxa"/>
            <w:shd w:val="clear" w:color="auto" w:fill="auto"/>
          </w:tcPr>
          <w:p>
            <w:pPr>
              <w:pStyle w:val="104"/>
            </w:pPr>
            <w:r>
              <w:t>E-UTRA Band</w:t>
            </w:r>
          </w:p>
        </w:tc>
        <w:tc>
          <w:tcPr>
            <w:tcW w:w="1804" w:type="dxa"/>
          </w:tcPr>
          <w:p>
            <w:pPr>
              <w:pStyle w:val="104"/>
            </w:pPr>
            <w: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pPr>
            <w:r>
              <w:rPr>
                <w:rFonts w:cs="Arial"/>
              </w:rPr>
              <w:t>NS_01</w:t>
            </w:r>
          </w:p>
        </w:tc>
        <w:tc>
          <w:tcPr>
            <w:tcW w:w="1510" w:type="dxa"/>
            <w:shd w:val="clear" w:color="auto" w:fill="auto"/>
            <w:vAlign w:val="center"/>
          </w:tcPr>
          <w:p>
            <w:pPr>
              <w:pStyle w:val="105"/>
            </w:pPr>
            <w:r>
              <w:t>6.5A.4.2</w:t>
            </w:r>
          </w:p>
        </w:tc>
        <w:tc>
          <w:tcPr>
            <w:tcW w:w="1645" w:type="dxa"/>
            <w:shd w:val="clear" w:color="auto" w:fill="auto"/>
            <w:vAlign w:val="center"/>
          </w:tcPr>
          <w:p>
            <w:pPr>
              <w:pStyle w:val="105"/>
            </w:pPr>
            <w:r>
              <w:t>Table 5.2-1</w:t>
            </w:r>
          </w:p>
        </w:tc>
        <w:tc>
          <w:tcPr>
            <w:tcW w:w="1804"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NS_02N</w:t>
            </w:r>
          </w:p>
        </w:tc>
        <w:tc>
          <w:tcPr>
            <w:tcW w:w="1510" w:type="dxa"/>
            <w:shd w:val="clear" w:color="auto" w:fill="auto"/>
            <w:vAlign w:val="center"/>
          </w:tcPr>
          <w:p>
            <w:pPr>
              <w:pStyle w:val="105"/>
              <w:rPr>
                <w:rFonts w:cs="Arial"/>
              </w:rPr>
            </w:pPr>
            <w:r>
              <w:rPr>
                <w:rFonts w:cs="Arial"/>
              </w:rPr>
              <w:t>6.5A.4.4.2</w:t>
            </w:r>
          </w:p>
        </w:tc>
        <w:tc>
          <w:tcPr>
            <w:tcW w:w="1645" w:type="dxa"/>
            <w:shd w:val="clear" w:color="auto" w:fill="auto"/>
            <w:vAlign w:val="center"/>
          </w:tcPr>
          <w:p>
            <w:pPr>
              <w:pStyle w:val="105"/>
              <w:rPr>
                <w:rFonts w:cs="Arial"/>
              </w:rPr>
            </w:pPr>
            <w:r>
              <w:rPr>
                <w:rFonts w:cs="Arial"/>
              </w:rPr>
              <w:t>255</w:t>
            </w:r>
          </w:p>
        </w:tc>
        <w:tc>
          <w:tcPr>
            <w:tcW w:w="1804"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NS_24</w:t>
            </w:r>
          </w:p>
        </w:tc>
        <w:tc>
          <w:tcPr>
            <w:tcW w:w="1510" w:type="dxa"/>
            <w:shd w:val="clear" w:color="auto" w:fill="auto"/>
            <w:vAlign w:val="center"/>
          </w:tcPr>
          <w:p>
            <w:pPr>
              <w:pStyle w:val="105"/>
              <w:rPr>
                <w:rFonts w:cs="Arial"/>
              </w:rPr>
            </w:pPr>
            <w:r>
              <w:rPr>
                <w:rFonts w:cs="Arial"/>
              </w:rPr>
              <w:t>6.5A.4.4.3</w:t>
            </w:r>
          </w:p>
        </w:tc>
        <w:tc>
          <w:tcPr>
            <w:tcW w:w="1645" w:type="dxa"/>
            <w:shd w:val="clear" w:color="auto" w:fill="auto"/>
            <w:vAlign w:val="center"/>
          </w:tcPr>
          <w:p>
            <w:pPr>
              <w:pStyle w:val="105"/>
              <w:rPr>
                <w:rFonts w:cs="Arial"/>
              </w:rPr>
            </w:pPr>
            <w:r>
              <w:t>256</w:t>
            </w:r>
          </w:p>
        </w:tc>
        <w:tc>
          <w:tcPr>
            <w:tcW w:w="1804" w:type="dxa"/>
            <w:vAlign w:val="center"/>
          </w:tcPr>
          <w:p>
            <w:pPr>
              <w:pStyle w:val="105"/>
            </w:pPr>
            <w:r>
              <w:rPr>
                <w:rFonts w:cs="Arial"/>
              </w:rPr>
              <w:t>[3.5]</w:t>
            </w:r>
          </w:p>
        </w:tc>
      </w:tr>
    </w:tbl>
    <w:p/>
    <w:p>
      <w:pPr>
        <w:rPr>
          <w:lang w:eastAsia="zh-CN"/>
        </w:rPr>
      </w:pPr>
      <w:r>
        <w:t>The normative reference for this requirement is TS 36.102 [11] subclause 6.2A.3</w:t>
      </w:r>
    </w:p>
    <w:p>
      <w:pPr>
        <w:pStyle w:val="9"/>
      </w:pPr>
      <w:r>
        <w:t>6.2A.3.4</w:t>
      </w:r>
      <w:r>
        <w:tab/>
      </w:r>
      <w:r>
        <w:t>Test description</w:t>
      </w:r>
    </w:p>
    <w:p>
      <w:pPr>
        <w:pStyle w:val="9"/>
      </w:pPr>
      <w:r>
        <w:t>6.2A.3.4.1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sub-clause 5.2E. All of these configurations shall be tested with applicable test parameters for each channel bandwidth and are shown in Table 6.2.4EA.4.1-1 to 6.2.4EA.4.1-</w:t>
      </w:r>
      <w:r>
        <w:rPr>
          <w:lang w:eastAsia="ja-JP"/>
        </w:rPr>
        <w:t>20</w:t>
      </w:r>
      <w:r>
        <w:t>. The details of the uplink reference measurement channels (RMCs) are specified in TS36.521-1[14] Annex A.2. Configurations of PDSCH and MPDCCH before measurement are specified in TS 36.521-1[14] Annex C.2.</w:t>
      </w:r>
    </w:p>
    <w:p>
      <w:pPr>
        <w:pStyle w:val="113"/>
      </w:pPr>
      <w:r>
        <w:t>Table 6.2A.3.4.1-1: Test Configuration Table (network signalled value “NS_02N”)</w:t>
      </w:r>
    </w:p>
    <w:tbl>
      <w:tblPr>
        <w:tblStyle w:val="89"/>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426"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80" w:type="dxa"/>
            <w:gridSpan w:val="3"/>
            <w:shd w:val="clear" w:color="auto" w:fill="auto"/>
            <w:vAlign w:val="center"/>
          </w:tcPr>
          <w:p>
            <w:pPr>
              <w:pStyle w:val="103"/>
            </w:pPr>
            <w:r>
              <w:t>Test Environment as specified in</w:t>
            </w:r>
          </w:p>
          <w:p>
            <w:pPr>
              <w:pStyle w:val="103"/>
            </w:pPr>
            <w:r>
              <w:t>TS 36.508 [12] subclause 4.1</w:t>
            </w:r>
          </w:p>
        </w:tc>
        <w:tc>
          <w:tcPr>
            <w:tcW w:w="4346"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346"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346"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426" w:type="dxa"/>
            <w:gridSpan w:val="5"/>
            <w:shd w:val="clear" w:color="auto" w:fill="auto"/>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pStyle w:val="104"/>
            </w:pPr>
          </w:p>
        </w:tc>
        <w:tc>
          <w:tcPr>
            <w:tcW w:w="1134" w:type="dxa"/>
            <w:shd w:val="clear" w:color="auto" w:fill="auto"/>
            <w:vAlign w:val="center"/>
          </w:tcPr>
          <w:p>
            <w:pPr>
              <w:pStyle w:val="104"/>
            </w:pPr>
          </w:p>
        </w:tc>
        <w:tc>
          <w:tcPr>
            <w:tcW w:w="2734" w:type="dxa"/>
            <w:shd w:val="clear" w:color="auto" w:fill="auto"/>
            <w:vAlign w:val="center"/>
          </w:tcPr>
          <w:p>
            <w:pPr>
              <w:pStyle w:val="104"/>
            </w:pPr>
            <w:r>
              <w:t>Downlink Configuration</w:t>
            </w:r>
          </w:p>
        </w:tc>
        <w:tc>
          <w:tcPr>
            <w:tcW w:w="4346"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pStyle w:val="105"/>
            </w:pPr>
            <w:r>
              <w:t>Configuration ID</w:t>
            </w:r>
          </w:p>
        </w:tc>
        <w:tc>
          <w:tcPr>
            <w:tcW w:w="1134" w:type="dxa"/>
            <w:shd w:val="clear" w:color="auto" w:fill="auto"/>
            <w:vAlign w:val="center"/>
          </w:tcPr>
          <w:p>
            <w:pPr>
              <w:pStyle w:val="105"/>
            </w:pPr>
            <w:r>
              <w:t>Ch BW</w:t>
            </w:r>
          </w:p>
        </w:tc>
        <w:tc>
          <w:tcPr>
            <w:tcW w:w="2734" w:type="dxa"/>
            <w:vMerge w:val="restart"/>
            <w:shd w:val="clear" w:color="auto" w:fill="auto"/>
            <w:vAlign w:val="center"/>
          </w:tcPr>
          <w:p>
            <w:pPr>
              <w:pStyle w:val="105"/>
            </w:pPr>
            <w:r>
              <w:t>N/A</w:t>
            </w:r>
          </w:p>
        </w:tc>
        <w:tc>
          <w:tcPr>
            <w:tcW w:w="1304" w:type="dxa"/>
            <w:shd w:val="clear" w:color="auto" w:fill="auto"/>
            <w:vAlign w:val="center"/>
          </w:tcPr>
          <w:p>
            <w:pPr>
              <w:pStyle w:val="105"/>
            </w:pPr>
            <w:r>
              <w:t>Mod'n</w:t>
            </w:r>
          </w:p>
        </w:tc>
        <w:tc>
          <w:tcPr>
            <w:tcW w:w="3042" w:type="dxa"/>
            <w:shd w:val="clear" w:color="auto" w:fill="auto"/>
            <w:vAlign w:val="center"/>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wAfter w:w="0" w:type="auto"/>
          <w:trHeight w:val="230" w:hRule="atLeast"/>
        </w:trPr>
        <w:tc>
          <w:tcPr>
            <w:tcW w:w="1212" w:type="dxa"/>
            <w:vMerge w:val="restart"/>
            <w:shd w:val="clear" w:color="auto" w:fill="auto"/>
            <w:vAlign w:val="center"/>
          </w:tcPr>
          <w:p>
            <w:pPr>
              <w:pStyle w:val="105"/>
            </w:pPr>
          </w:p>
        </w:tc>
        <w:tc>
          <w:tcPr>
            <w:tcW w:w="1134" w:type="dxa"/>
            <w:vMerge w:val="restart"/>
            <w:shd w:val="clear" w:color="auto" w:fill="auto"/>
            <w:vAlign w:val="center"/>
          </w:tcPr>
          <w:p>
            <w:pPr>
              <w:pStyle w:val="105"/>
            </w:pPr>
          </w:p>
        </w:tc>
        <w:tc>
          <w:tcPr>
            <w:tcW w:w="2734" w:type="dxa"/>
            <w:vMerge w:val="continue"/>
            <w:vAlign w:val="center"/>
          </w:tcPr>
          <w:p>
            <w:pPr>
              <w:pStyle w:val="105"/>
            </w:pPr>
          </w:p>
        </w:tc>
        <w:tc>
          <w:tcPr>
            <w:tcW w:w="1304" w:type="dxa"/>
            <w:vMerge w:val="restart"/>
            <w:shd w:val="clear" w:color="auto" w:fill="auto"/>
            <w:vAlign w:val="center"/>
          </w:tcPr>
          <w:p>
            <w:pPr>
              <w:pStyle w:val="105"/>
            </w:pPr>
          </w:p>
        </w:tc>
        <w:tc>
          <w:tcPr>
            <w:tcW w:w="3042" w:type="dxa"/>
            <w:vMerge w:val="restart"/>
            <w:shd w:val="clear" w:color="auto" w:fill="auto"/>
            <w:vAlign w:val="center"/>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wAfter w:w="0" w:type="auto"/>
          <w:trHeight w:val="230" w:hRule="atLeast"/>
        </w:trPr>
        <w:tc>
          <w:tcPr>
            <w:tcW w:w="1212" w:type="dxa"/>
            <w:vMerge w:val="continue"/>
            <w:vAlign w:val="center"/>
          </w:tcPr>
          <w:p>
            <w:pPr>
              <w:pStyle w:val="105"/>
            </w:pPr>
          </w:p>
        </w:tc>
        <w:tc>
          <w:tcPr>
            <w:tcW w:w="1134" w:type="dxa"/>
            <w:vMerge w:val="continue"/>
            <w:vAlign w:val="center"/>
          </w:tcPr>
          <w:p>
            <w:pPr>
              <w:pStyle w:val="105"/>
            </w:pPr>
          </w:p>
        </w:tc>
        <w:tc>
          <w:tcPr>
            <w:tcW w:w="2734" w:type="dxa"/>
            <w:vMerge w:val="continue"/>
            <w:vAlign w:val="center"/>
          </w:tcPr>
          <w:p>
            <w:pPr>
              <w:pStyle w:val="105"/>
            </w:pPr>
          </w:p>
        </w:tc>
        <w:tc>
          <w:tcPr>
            <w:tcW w:w="1304" w:type="dxa"/>
            <w:vMerge w:val="continue"/>
            <w:vAlign w:val="center"/>
          </w:tcPr>
          <w:p>
            <w:pPr>
              <w:pStyle w:val="105"/>
            </w:pPr>
          </w:p>
        </w:tc>
        <w:tc>
          <w:tcPr>
            <w:tcW w:w="3042" w:type="dxa"/>
            <w:vMerge w:val="continue"/>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wAfter w:w="0" w:type="auto"/>
        </w:trPr>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vMerge w:val="restart"/>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wAfter w:w="0" w:type="auto"/>
        </w:trPr>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wAfter w:w="0" w:type="auto"/>
        </w:trPr>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wAfter w:w="0" w:type="auto"/>
        </w:trPr>
        <w:tc>
          <w:tcPr>
            <w:tcW w:w="1212" w:type="dxa"/>
            <w:shd w:val="clear" w:color="auto" w:fill="auto"/>
            <w:vAlign w:val="center"/>
          </w:tcPr>
          <w:p>
            <w:pPr>
              <w:pStyle w:val="105"/>
            </w:pPr>
            <w:r>
              <w:t>4</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wAfter w:w="0" w:type="auto"/>
        </w:trPr>
        <w:tc>
          <w:tcPr>
            <w:tcW w:w="1212" w:type="dxa"/>
            <w:shd w:val="clear" w:color="auto" w:fill="auto"/>
            <w:vAlign w:val="center"/>
          </w:tcPr>
          <w:p>
            <w:pPr>
              <w:pStyle w:val="105"/>
            </w:pPr>
            <w:r>
              <w:t>5</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426" w:type="dxa"/>
            <w:gridSpan w:val="5"/>
            <w:shd w:val="clear" w:color="auto" w:fill="auto"/>
            <w:vAlign w:val="center"/>
          </w:tcPr>
          <w:p>
            <w:pPr>
              <w:pStyle w:val="118"/>
              <w:rPr>
                <w:lang w:eastAsia="sv-SE"/>
              </w:rPr>
            </w:pPr>
            <w:r>
              <w:rPr>
                <w:lang w:eastAsia="sv-SE"/>
              </w:rPr>
              <w:t>Note 1:</w:t>
            </w:r>
            <w:r>
              <w:rPr>
                <w:lang w:eastAsia="sv-SE"/>
              </w:rPr>
              <w:tab/>
            </w:r>
            <w:r>
              <w:rPr>
                <w:lang w:eastAsia="sv-SE"/>
              </w:rPr>
              <w:t>The RB</w:t>
            </w:r>
            <w:r>
              <w:rPr>
                <w:vertAlign w:val="subscript"/>
                <w:lang w:eastAsia="sv-SE"/>
              </w:rPr>
              <w:t>start</w:t>
            </w:r>
            <w:r>
              <w:rPr>
                <w:lang w:eastAsia="sv-SE"/>
              </w:rPr>
              <w:t xml:space="preserve"> of partial RB allocation shall be RB#0</w:t>
            </w:r>
          </w:p>
        </w:tc>
      </w:tr>
    </w:tbl>
    <w:p/>
    <w:p/>
    <w:p/>
    <w:p/>
    <w:p>
      <w:pPr>
        <w:pStyle w:val="113"/>
      </w:pPr>
      <w:r>
        <w:t>Table 6.2A.3.4.1-1a: Test Configuration Table, subPRB allocation (network signalled value “NS_02N”)</w:t>
      </w:r>
    </w:p>
    <w:tbl>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wAfter w:w="0" w:type="auto"/>
          <w:trHeight w:val="230" w:hRule="atLeast"/>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wAfter w:w="0" w:type="auto"/>
          <w:trHeight w:val="230"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
    <w:p/>
    <w:p/>
    <w:p/>
    <w:p/>
    <w:p/>
    <w:p/>
    <w:p/>
    <w:p>
      <w:pPr>
        <w:pStyle w:val="113"/>
      </w:pPr>
      <w:r>
        <w:t>Table 6.2A.3.4.1-2: Test Configuration Table (network signalled value "NS_24")</w:t>
      </w:r>
    </w:p>
    <w:tbl>
      <w:tblPr>
        <w:tblStyle w:val="89"/>
        <w:tblpPr w:leftFromText="180" w:rightFromText="180" w:vertAnchor="text" w:tblpY="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1304"/>
        <w:gridCol w:w="3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426" w:type="dxa"/>
            <w:gridSpan w:val="5"/>
            <w:shd w:val="clear" w:color="auto" w:fill="auto"/>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t>Test Environment as specified in</w:t>
            </w:r>
          </w:p>
          <w:p>
            <w:pPr>
              <w:pStyle w:val="103"/>
            </w:pPr>
            <w:r>
              <w:t>TS 36.508 [12] subclause 4.1</w:t>
            </w:r>
          </w:p>
        </w:tc>
        <w:tc>
          <w:tcPr>
            <w:tcW w:w="4346" w:type="dxa"/>
            <w:gridSpan w:val="2"/>
            <w:shd w:val="clear" w:color="auto" w:fill="auto"/>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rPr>
                <w:bCs/>
              </w:rPr>
              <w:t>Test Frequencies as specified in</w:t>
            </w:r>
          </w:p>
          <w:p>
            <w:pPr>
              <w:pStyle w:val="103"/>
            </w:pPr>
            <w:r>
              <w:t>TS 36.508 [12] subclause 4.3.1</w:t>
            </w:r>
          </w:p>
        </w:tc>
        <w:tc>
          <w:tcPr>
            <w:tcW w:w="4346" w:type="dxa"/>
            <w:gridSpan w:val="2"/>
            <w:shd w:val="clear" w:color="auto" w:fill="auto"/>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pStyle w:val="103"/>
            </w:pPr>
            <w:r>
              <w:rPr>
                <w:bCs/>
              </w:rPr>
              <w:t>Test Channel Bandwidths as specified in</w:t>
            </w:r>
          </w:p>
          <w:p>
            <w:pPr>
              <w:pStyle w:val="103"/>
            </w:pPr>
            <w:r>
              <w:t>TS 36.508 [12] subclause 4.3.1</w:t>
            </w:r>
          </w:p>
        </w:tc>
        <w:tc>
          <w:tcPr>
            <w:tcW w:w="4346" w:type="dxa"/>
            <w:gridSpan w:val="2"/>
            <w:shd w:val="clear" w:color="auto" w:fill="auto"/>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426" w:type="dxa"/>
            <w:gridSpan w:val="5"/>
            <w:shd w:val="clear" w:color="auto" w:fill="auto"/>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pStyle w:val="104"/>
            </w:pPr>
          </w:p>
        </w:tc>
        <w:tc>
          <w:tcPr>
            <w:tcW w:w="1134" w:type="dxa"/>
            <w:shd w:val="clear" w:color="auto" w:fill="auto"/>
            <w:vAlign w:val="center"/>
          </w:tcPr>
          <w:p>
            <w:pPr>
              <w:pStyle w:val="104"/>
            </w:pPr>
          </w:p>
        </w:tc>
        <w:tc>
          <w:tcPr>
            <w:tcW w:w="2734" w:type="dxa"/>
            <w:shd w:val="clear" w:color="auto" w:fill="auto"/>
            <w:vAlign w:val="center"/>
          </w:tcPr>
          <w:p>
            <w:pPr>
              <w:pStyle w:val="104"/>
            </w:pPr>
            <w:r>
              <w:t>Downlink Configuration</w:t>
            </w:r>
          </w:p>
        </w:tc>
        <w:tc>
          <w:tcPr>
            <w:tcW w:w="4346" w:type="dxa"/>
            <w:gridSpan w:val="2"/>
            <w:shd w:val="clear" w:color="auto" w:fill="auto"/>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pStyle w:val="105"/>
            </w:pPr>
            <w:r>
              <w:t>Configuration ID</w:t>
            </w:r>
          </w:p>
        </w:tc>
        <w:tc>
          <w:tcPr>
            <w:tcW w:w="1134" w:type="dxa"/>
            <w:shd w:val="clear" w:color="auto" w:fill="auto"/>
            <w:vAlign w:val="center"/>
          </w:tcPr>
          <w:p>
            <w:pPr>
              <w:pStyle w:val="105"/>
            </w:pPr>
            <w:r>
              <w:t>Ch BW</w:t>
            </w:r>
          </w:p>
        </w:tc>
        <w:tc>
          <w:tcPr>
            <w:tcW w:w="2734" w:type="dxa"/>
            <w:vMerge w:val="restart"/>
            <w:shd w:val="clear" w:color="auto" w:fill="auto"/>
            <w:vAlign w:val="center"/>
          </w:tcPr>
          <w:p>
            <w:pPr>
              <w:pStyle w:val="105"/>
            </w:pPr>
            <w:r>
              <w:t>N/A</w:t>
            </w:r>
          </w:p>
        </w:tc>
        <w:tc>
          <w:tcPr>
            <w:tcW w:w="1304" w:type="dxa"/>
            <w:shd w:val="clear" w:color="auto" w:fill="auto"/>
            <w:vAlign w:val="center"/>
          </w:tcPr>
          <w:p>
            <w:pPr>
              <w:pStyle w:val="105"/>
            </w:pPr>
            <w:r>
              <w:t>Mod'n</w:t>
            </w:r>
          </w:p>
        </w:tc>
        <w:tc>
          <w:tcPr>
            <w:tcW w:w="3042" w:type="dxa"/>
            <w:shd w:val="clear" w:color="auto" w:fill="auto"/>
            <w:vAlign w:val="center"/>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trPr>
        <w:tc>
          <w:tcPr>
            <w:tcW w:w="1212" w:type="dxa"/>
            <w:vMerge w:val="restart"/>
            <w:shd w:val="clear" w:color="auto" w:fill="auto"/>
            <w:vAlign w:val="center"/>
          </w:tcPr>
          <w:p>
            <w:pPr>
              <w:pStyle w:val="105"/>
            </w:pPr>
          </w:p>
        </w:tc>
        <w:tc>
          <w:tcPr>
            <w:tcW w:w="1134" w:type="dxa"/>
            <w:vMerge w:val="restart"/>
            <w:shd w:val="clear" w:color="auto" w:fill="auto"/>
            <w:vAlign w:val="center"/>
          </w:tcPr>
          <w:p>
            <w:pPr>
              <w:pStyle w:val="105"/>
            </w:pPr>
          </w:p>
        </w:tc>
        <w:tc>
          <w:tcPr>
            <w:tcW w:w="2734" w:type="dxa"/>
            <w:vMerge w:val="continue"/>
            <w:vAlign w:val="center"/>
          </w:tcPr>
          <w:p>
            <w:pPr>
              <w:pStyle w:val="105"/>
            </w:pPr>
          </w:p>
        </w:tc>
        <w:tc>
          <w:tcPr>
            <w:tcW w:w="1304" w:type="dxa"/>
            <w:vMerge w:val="restart"/>
            <w:shd w:val="clear" w:color="auto" w:fill="auto"/>
            <w:vAlign w:val="center"/>
          </w:tcPr>
          <w:p>
            <w:pPr>
              <w:pStyle w:val="105"/>
            </w:pPr>
          </w:p>
        </w:tc>
        <w:tc>
          <w:tcPr>
            <w:tcW w:w="3042" w:type="dxa"/>
            <w:vMerge w:val="restart"/>
            <w:shd w:val="clear" w:color="auto" w:fill="auto"/>
            <w:vAlign w:val="center"/>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trPr>
        <w:tc>
          <w:tcPr>
            <w:tcW w:w="1212" w:type="dxa"/>
            <w:vMerge w:val="continue"/>
            <w:vAlign w:val="center"/>
          </w:tcPr>
          <w:p>
            <w:pPr>
              <w:pStyle w:val="105"/>
            </w:pPr>
          </w:p>
        </w:tc>
        <w:tc>
          <w:tcPr>
            <w:tcW w:w="1134" w:type="dxa"/>
            <w:vMerge w:val="continue"/>
            <w:vAlign w:val="center"/>
          </w:tcPr>
          <w:p>
            <w:pPr>
              <w:pStyle w:val="105"/>
            </w:pPr>
          </w:p>
        </w:tc>
        <w:tc>
          <w:tcPr>
            <w:tcW w:w="2734" w:type="dxa"/>
            <w:vMerge w:val="continue"/>
            <w:vAlign w:val="center"/>
          </w:tcPr>
          <w:p>
            <w:pPr>
              <w:pStyle w:val="105"/>
            </w:pPr>
          </w:p>
        </w:tc>
        <w:tc>
          <w:tcPr>
            <w:tcW w:w="1304" w:type="dxa"/>
            <w:vMerge w:val="continue"/>
            <w:vAlign w:val="center"/>
          </w:tcPr>
          <w:p>
            <w:pPr>
              <w:pStyle w:val="105"/>
            </w:pPr>
          </w:p>
        </w:tc>
        <w:tc>
          <w:tcPr>
            <w:tcW w:w="3042" w:type="dxa"/>
            <w:vMerge w:val="continue"/>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pStyle w:val="105"/>
            </w:pPr>
            <w:r>
              <w:t>1</w:t>
            </w:r>
          </w:p>
        </w:tc>
        <w:tc>
          <w:tcPr>
            <w:tcW w:w="1134" w:type="dxa"/>
            <w:shd w:val="clear" w:color="auto" w:fill="auto"/>
            <w:vAlign w:val="center"/>
          </w:tcPr>
          <w:p>
            <w:pPr>
              <w:pStyle w:val="105"/>
            </w:pPr>
            <w:r>
              <w:t>1.4MHz</w:t>
            </w:r>
          </w:p>
        </w:tc>
        <w:tc>
          <w:tcPr>
            <w:tcW w:w="2734" w:type="dxa"/>
            <w:vMerge w:val="restart"/>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pStyle w:val="105"/>
            </w:pPr>
            <w:r>
              <w:t>2</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pStyle w:val="105"/>
            </w:pPr>
            <w:r>
              <w:t>3</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QPSK</w:t>
            </w:r>
          </w:p>
        </w:tc>
        <w:tc>
          <w:tcPr>
            <w:tcW w:w="3042" w:type="dxa"/>
            <w:shd w:val="clear" w:color="auto" w:fill="auto"/>
            <w:vAlign w:val="center"/>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pStyle w:val="105"/>
            </w:pPr>
            <w:r>
              <w:t>4</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pStyle w:val="105"/>
            </w:pPr>
            <w:r>
              <w:t>5</w:t>
            </w:r>
          </w:p>
        </w:tc>
        <w:tc>
          <w:tcPr>
            <w:tcW w:w="1134" w:type="dxa"/>
            <w:shd w:val="clear" w:color="auto" w:fill="auto"/>
            <w:vAlign w:val="center"/>
          </w:tcPr>
          <w:p>
            <w:pPr>
              <w:pStyle w:val="105"/>
            </w:pPr>
            <w:r>
              <w:t>1.4MHz</w:t>
            </w:r>
          </w:p>
        </w:tc>
        <w:tc>
          <w:tcPr>
            <w:tcW w:w="2734" w:type="dxa"/>
            <w:vMerge w:val="continue"/>
            <w:shd w:val="clear" w:color="auto" w:fill="auto"/>
            <w:vAlign w:val="center"/>
          </w:tcPr>
          <w:p>
            <w:pPr>
              <w:pStyle w:val="105"/>
            </w:pPr>
          </w:p>
        </w:tc>
        <w:tc>
          <w:tcPr>
            <w:tcW w:w="1304" w:type="dxa"/>
            <w:shd w:val="clear" w:color="auto" w:fill="auto"/>
            <w:vAlign w:val="center"/>
          </w:tcPr>
          <w:p>
            <w:pPr>
              <w:pStyle w:val="105"/>
            </w:pPr>
            <w:r>
              <w:t>16QAM</w:t>
            </w:r>
          </w:p>
        </w:tc>
        <w:tc>
          <w:tcPr>
            <w:tcW w:w="3042" w:type="dxa"/>
            <w:shd w:val="clear" w:color="auto" w:fill="auto"/>
            <w:vAlign w:val="center"/>
          </w:tcPr>
          <w:p>
            <w:pPr>
              <w:pStyle w:val="105"/>
            </w:pPr>
            <w: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426" w:type="dxa"/>
            <w:gridSpan w:val="5"/>
            <w:shd w:val="clear" w:color="auto" w:fill="auto"/>
            <w:vAlign w:val="center"/>
          </w:tcPr>
          <w:p>
            <w:pPr>
              <w:pStyle w:val="118"/>
              <w:rPr>
                <w:lang w:eastAsia="sv-SE"/>
              </w:rPr>
            </w:pPr>
            <w:r>
              <w:rPr>
                <w:lang w:eastAsia="sv-SE"/>
              </w:rPr>
              <w:t>Note 1:</w:t>
            </w:r>
            <w:r>
              <w:rPr>
                <w:lang w:eastAsia="sv-SE"/>
              </w:rPr>
              <w:tab/>
            </w:r>
            <w:r>
              <w:rPr>
                <w:lang w:eastAsia="sv-SE"/>
              </w:rPr>
              <w:t>The RB</w:t>
            </w:r>
            <w:r>
              <w:rPr>
                <w:vertAlign w:val="subscript"/>
                <w:lang w:eastAsia="sv-SE"/>
              </w:rPr>
              <w:t>start</w:t>
            </w:r>
            <w:r>
              <w:rPr>
                <w:lang w:eastAsia="sv-SE"/>
              </w:rPr>
              <w:t xml:space="preserve"> of partial RB allocation shall be RB#0</w:t>
            </w:r>
          </w:p>
        </w:tc>
      </w:tr>
    </w:tbl>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pStyle w:val="113"/>
      </w:pPr>
      <w:r>
        <w:t>Table 6.2A.3.4.1-2a: Test Configuration Table, subPRB allocation (network signalled value "NS_24")</w:t>
      </w:r>
    </w:p>
    <w:tbl>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rPr>
          <w:lang w:eastAsia="zh-CN"/>
        </w:rPr>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6.2A.3.4.1-1 to Table 6.2A.3.4.1-2.</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 xml:space="preserve">UE location according to TS 36.508 [12] clause 4.13 is provided to the UE through AT commands or any other preconfigured means. </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7.</w:t>
      </w:r>
      <w:r>
        <w:rPr>
          <w:rFonts w:hint="eastAsia" w:eastAsia="Malgun Gothic"/>
          <w:lang w:eastAsia="en-GB"/>
        </w:rPr>
        <w:tab/>
      </w:r>
      <w:r>
        <w:rPr>
          <w:rFonts w:hint="eastAsia" w:eastAsia="Malgun Gothic"/>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8.</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6.2A.3.4.3.</w:t>
      </w:r>
    </w:p>
    <w:p>
      <w:pPr>
        <w:pStyle w:val="9"/>
      </w:pPr>
      <w:r>
        <w:t>6.2A.3.4.2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 xml:space="preserve">Send continuously uplink power control "up" commands in the uplink scheduling information to the UE until the UE transmits at </w:t>
      </w:r>
      <w:r>
        <w:t>P</w:t>
      </w:r>
      <w:r>
        <w:rPr>
          <w:vertAlign w:val="subscript"/>
        </w:rPr>
        <w:t>UMAX</w:t>
      </w:r>
      <w:r>
        <w:rPr>
          <w:rFonts w:eastAsia="Malgun Gothic"/>
          <w:lang w:eastAsia="en-GB"/>
        </w:rPr>
        <w:t xml:space="preserve"> level.</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Measure the mean power of the UE in the channel bandwidth of the radio access mode. The period of measurement shall be at least the continuous duration one sub-frame (1ms). For HD-FDD slots with transient periods and Half-duplex guard subframe are not under test.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For UE supporting subPRB allocation, repeat step 1-3 with UL RMC according to applicable Table from Table 6.2A.3.4.1-1a to Table 6.2A.3.4.1-2a.</w:t>
      </w:r>
    </w:p>
    <w:p>
      <w:pPr>
        <w:pStyle w:val="9"/>
        <w:rPr>
          <w:snapToGrid w:val="0"/>
        </w:rPr>
      </w:pPr>
      <w:r>
        <w:t>6.2A.3.4.3</w:t>
      </w:r>
      <w:r>
        <w:tab/>
      </w:r>
      <w:r>
        <w:rPr>
          <w:snapToGrid w:val="0"/>
        </w:rPr>
        <w:t>Message contents</w:t>
      </w:r>
    </w:p>
    <w:p>
      <w:r>
        <w:t>Message contents are according to TS 36.508 [12] subclause 4.6 with the condition CEModeA and with the following exceptions for each network signalled value.</w:t>
      </w:r>
    </w:p>
    <w:p>
      <w:pPr>
        <w:pStyle w:val="9"/>
      </w:pPr>
      <w:r>
        <w:t>6.2A.3.4.3.1</w:t>
      </w:r>
      <w:r>
        <w:tab/>
      </w:r>
      <w:r>
        <w:t>Message contents exceptions (network signalled value “NS_02N”)</w:t>
      </w:r>
    </w:p>
    <w:p>
      <w:pPr>
        <w:pStyle w:val="111"/>
      </w:pPr>
      <w:r>
        <w:t>1.</w:t>
      </w:r>
      <w:r>
        <w:tab/>
      </w:r>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6.2A.3.4.3.1</w:t>
      </w:r>
      <w:r>
        <w:t xml:space="preserve">-1: </w:t>
      </w:r>
      <w:r>
        <w:rPr>
          <w:i/>
        </w:rPr>
        <w:t>SystemInformationBlockType2</w:t>
      </w:r>
      <w:r>
        <w:t>: Additional spurious emissions test requirement for “NS_02N”</w:t>
      </w:r>
    </w:p>
    <w:tbl>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3"/>
            </w:pPr>
            <w:r>
              <w:t xml:space="preserve">    additionalSpectrumEmission</w:t>
            </w:r>
          </w:p>
        </w:tc>
        <w:tc>
          <w:tcPr>
            <w:tcW w:w="2267" w:type="dxa"/>
          </w:tcPr>
          <w:p>
            <w:pPr>
              <w:pStyle w:val="103"/>
            </w:pPr>
            <w:r>
              <w:t>2(NS-02N)</w:t>
            </w:r>
          </w:p>
        </w:tc>
        <w:tc>
          <w:tcPr>
            <w:tcW w:w="1700" w:type="dxa"/>
          </w:tcPr>
          <w:p/>
        </w:tc>
        <w:tc>
          <w:tcPr>
            <w:tcW w:w="1133" w:type="dxa"/>
          </w:tcPr>
          <w:p>
            <w:pPr>
              <w:pStyle w:val="103"/>
            </w:pPr>
          </w:p>
        </w:tc>
      </w:tr>
    </w:tbl>
    <w:p/>
    <w:p>
      <w:pPr>
        <w:pStyle w:val="9"/>
      </w:pPr>
      <w:r>
        <w:t>6.2A.3.4.3.2</w:t>
      </w:r>
      <w:r>
        <w:tab/>
      </w:r>
      <w:r>
        <w:t>Message contents exceptions (network signalled value "NS_24")</w:t>
      </w:r>
    </w:p>
    <w:p>
      <w:pPr>
        <w:pStyle w:val="111"/>
      </w:pPr>
      <w:r>
        <w:t>1.</w:t>
      </w:r>
      <w:r>
        <w:tab/>
      </w:r>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6.2A.3.4.3.2</w:t>
      </w:r>
      <w:r>
        <w:t xml:space="preserve">-1: </w:t>
      </w:r>
      <w:r>
        <w:rPr>
          <w:i/>
        </w:rPr>
        <w:t>SystemInformationBlockType2</w:t>
      </w:r>
      <w:r>
        <w:t>: Additional spurious emissions test requirement for "NS_24"</w:t>
      </w:r>
    </w:p>
    <w:tbl>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7" w:type="dxa"/>
            <w:gridSpan w:val="4"/>
          </w:tcPr>
          <w:p>
            <w:pPr>
              <w:pStyle w:val="103"/>
            </w:pPr>
            <w:r>
              <w:t>Derivation Path: TS 36.508 [12] clause 4.4.3.3, Table 4.4.3.3-1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3"/>
            </w:pPr>
            <w:r>
              <w:t xml:space="preserve">    additionalSpectrumEmission</w:t>
            </w:r>
          </w:p>
        </w:tc>
        <w:tc>
          <w:tcPr>
            <w:tcW w:w="2267" w:type="dxa"/>
          </w:tcPr>
          <w:p>
            <w:pPr>
              <w:pStyle w:val="103"/>
            </w:pPr>
            <w:r>
              <w:t>24 (NS_24)</w:t>
            </w:r>
          </w:p>
        </w:tc>
        <w:tc>
          <w:tcPr>
            <w:tcW w:w="1700" w:type="dxa"/>
          </w:tcPr>
          <w:p/>
        </w:tc>
        <w:tc>
          <w:tcPr>
            <w:tcW w:w="1133" w:type="dxa"/>
          </w:tcPr>
          <w:p>
            <w:pPr>
              <w:pStyle w:val="103"/>
            </w:pPr>
          </w:p>
        </w:tc>
      </w:tr>
    </w:tbl>
    <w:p/>
    <w:p>
      <w:pPr>
        <w:pStyle w:val="9"/>
      </w:pPr>
      <w:r>
        <w:t>6.2A.3.5</w:t>
      </w:r>
      <w:r>
        <w:tab/>
      </w:r>
      <w:r>
        <w:t>Test requirements</w:t>
      </w:r>
    </w:p>
    <w:p>
      <w:r>
        <w:t xml:space="preserve">The maximum output power derived in step 3 shall be within the range prescribed by the nominal maximum output power and tolerance in the applicable table from Table 6.2.4EA.5-1 to Table </w:t>
      </w:r>
      <w:r>
        <w:rPr>
          <w:lang w:eastAsia="zh-CN"/>
        </w:rPr>
        <w:t>6.2.4EA.5-22</w:t>
      </w:r>
      <w:r>
        <w:t>. The allowed A-MPR values specified in Table 6.2.4EA-1 are in addition to the allowed MPR requirements specified in clause 6.2.3</w:t>
      </w:r>
      <w:r>
        <w:rPr>
          <w:lang w:eastAsia="ja-JP"/>
        </w:rPr>
        <w:t xml:space="preserve"> EA</w:t>
      </w:r>
      <w:r>
        <w:t>. For the UE maximum output power modified by MPR and/or A-MPR, the power limits specified in Table 6.2.5</w:t>
      </w:r>
      <w:r>
        <w:rPr>
          <w:lang w:eastAsia="ja-JP"/>
        </w:rPr>
        <w:t xml:space="preserve"> EA</w:t>
      </w:r>
      <w:r>
        <w:t xml:space="preserve">.3-1 </w:t>
      </w:r>
      <w:r>
        <w:rPr>
          <w:lang w:eastAsia="ja-JP"/>
        </w:rPr>
        <w:t xml:space="preserve">and </w:t>
      </w:r>
      <w:r>
        <w:t>6.2.5</w:t>
      </w:r>
      <w:r>
        <w:rPr>
          <w:lang w:eastAsia="ja-JP"/>
        </w:rPr>
        <w:t>EA</w:t>
      </w:r>
      <w:r>
        <w:t>.3-</w:t>
      </w:r>
      <w:r>
        <w:rPr>
          <w:lang w:eastAsia="ja-JP"/>
        </w:rPr>
        <w:t xml:space="preserve">2 </w:t>
      </w:r>
      <w:r>
        <w:t>apply.</w:t>
      </w:r>
    </w:p>
    <w:p>
      <w:pPr>
        <w:pStyle w:val="113"/>
      </w:pPr>
      <w:r>
        <w:rPr>
          <w:rFonts w:cs="v5.0.0"/>
        </w:rPr>
        <w:t>Table 6.2A.3.5-</w:t>
      </w:r>
      <w:r>
        <w:t>1</w:t>
      </w:r>
      <w:r>
        <w:rPr>
          <w:rFonts w:cs="v5.0.0"/>
        </w:rPr>
        <w:t xml:space="preserve">: UE Power Class test requirements </w:t>
      </w:r>
      <w:r>
        <w:t>(network signalled value “NS_02N”)</w:t>
      </w:r>
    </w:p>
    <w:tbl>
      <w:tblPr>
        <w:tblStyle w:val="89"/>
        <w:tblW w:w="9568" w:type="dxa"/>
        <w:tblInd w:w="0" w:type="dxa"/>
        <w:tblLayout w:type="fixed"/>
        <w:tblCellMar>
          <w:top w:w="0" w:type="dxa"/>
          <w:left w:w="70" w:type="dxa"/>
          <w:bottom w:w="0" w:type="dxa"/>
          <w:right w:w="70" w:type="dxa"/>
        </w:tblCellMar>
      </w:tblPr>
      <w:tblGrid>
        <w:gridCol w:w="851"/>
        <w:gridCol w:w="709"/>
        <w:gridCol w:w="637"/>
        <w:gridCol w:w="708"/>
        <w:gridCol w:w="851"/>
        <w:gridCol w:w="850"/>
        <w:gridCol w:w="851"/>
        <w:gridCol w:w="567"/>
        <w:gridCol w:w="567"/>
        <w:gridCol w:w="709"/>
        <w:gridCol w:w="850"/>
        <w:gridCol w:w="709"/>
        <w:gridCol w:w="709"/>
        <w:tblGridChange w:id="0">
          <w:tblGrid>
            <w:gridCol w:w="851"/>
            <w:gridCol w:w="709"/>
            <w:gridCol w:w="637"/>
            <w:gridCol w:w="708"/>
            <w:gridCol w:w="851"/>
            <w:gridCol w:w="850"/>
            <w:gridCol w:w="851"/>
            <w:gridCol w:w="567"/>
            <w:gridCol w:w="567"/>
            <w:gridCol w:w="709"/>
            <w:gridCol w:w="850"/>
            <w:gridCol w:w="709"/>
            <w:gridCol w:w="709"/>
          </w:tblGrid>
        </w:tblGridChange>
      </w:tblGrid>
      <w:tr>
        <w:tblPrEx>
          <w:tblCellMar>
            <w:top w:w="0" w:type="dxa"/>
            <w:left w:w="70" w:type="dxa"/>
            <w:bottom w:w="0" w:type="dxa"/>
            <w:right w:w="70" w:type="dxa"/>
          </w:tblCellMar>
        </w:tblPrEx>
        <w:trPr>
          <w:wBefore w:w="0" w:type="auto"/>
          <w:trHeight w:val="525" w:hRule="atLeast"/>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606"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111"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wAfter w:w="0" w:type="auto"/>
          <w:trHeight w:val="525" w:hRule="atLeast"/>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637" w:type="dxa"/>
            <w:tcBorders>
              <w:top w:val="single" w:color="auto" w:sz="4" w:space="0"/>
              <w:left w:val="single" w:color="auto" w:sz="4" w:space="0"/>
              <w:bottom w:val="single" w:color="auto" w:sz="4" w:space="0"/>
              <w:right w:val="single" w:color="auto" w:sz="4" w:space="0"/>
            </w:tcBorders>
          </w:tcPr>
          <w:p>
            <w:pPr>
              <w:pStyle w:val="104"/>
            </w:pPr>
            <w:r>
              <w:t>A_MPR (dB)</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567" w:type="dxa"/>
            <w:tcBorders>
              <w:top w:val="single" w:color="auto" w:sz="4" w:space="0"/>
              <w:left w:val="single" w:color="auto" w:sz="4" w:space="0"/>
              <w:bottom w:val="single" w:color="auto" w:sz="4" w:space="0"/>
              <w:right w:val="single" w:color="auto" w:sz="4" w:space="0"/>
            </w:tcBorders>
          </w:tcPr>
          <w:p>
            <w:pPr>
              <w:pStyle w:val="104"/>
            </w:pPr>
            <w:r>
              <w:t>MPR (dB)</w:t>
            </w:r>
          </w:p>
        </w:tc>
        <w:tc>
          <w:tcPr>
            <w:tcW w:w="567" w:type="dxa"/>
            <w:tcBorders>
              <w:top w:val="single" w:color="auto" w:sz="4" w:space="0"/>
              <w:left w:val="single" w:color="auto" w:sz="4" w:space="0"/>
              <w:bottom w:val="single" w:color="auto" w:sz="4" w:space="0"/>
              <w:right w:val="single" w:color="auto" w:sz="4" w:space="0"/>
            </w:tcBorders>
          </w:tcPr>
          <w:p>
            <w:pPr>
              <w:pStyle w:val="104"/>
            </w:pPr>
            <w:r>
              <w:t>A_MPR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wAfter w:w="0" w:type="auto"/>
          <w:trHeight w:val="300" w:hRule="atLeast"/>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567" w:type="dxa"/>
            <w:tcBorders>
              <w:top w:val="single" w:color="auto" w:sz="4" w:space="0"/>
              <w:left w:val="single" w:color="auto" w:sz="4" w:space="0"/>
              <w:bottom w:val="single" w:color="auto" w:sz="4" w:space="0"/>
              <w:right w:val="single" w:color="auto" w:sz="4" w:space="0"/>
            </w:tcBorders>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20</w:t>
            </w:r>
          </w:p>
        </w:tc>
        <w:tc>
          <w:tcPr>
            <w:tcW w:w="850"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wAfter w:w="0" w:type="auto"/>
          <w:trHeight w:val="300" w:hRule="atLeast"/>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567" w:type="dxa"/>
            <w:tcBorders>
              <w:top w:val="single" w:color="auto" w:sz="4" w:space="0"/>
              <w:left w:val="single" w:color="auto" w:sz="4" w:space="0"/>
              <w:bottom w:val="single" w:color="auto" w:sz="4" w:space="0"/>
              <w:right w:val="single" w:color="auto" w:sz="4" w:space="0"/>
            </w:tcBorders>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19</w:t>
            </w:r>
          </w:p>
        </w:tc>
        <w:tc>
          <w:tcPr>
            <w:tcW w:w="850" w:type="dxa"/>
            <w:tcBorders>
              <w:top w:val="single" w:color="auto" w:sz="4" w:space="0"/>
              <w:left w:val="single" w:color="auto" w:sz="4" w:space="0"/>
              <w:bottom w:val="single" w:color="auto" w:sz="4" w:space="0"/>
              <w:right w:val="single" w:color="auto" w:sz="4" w:space="0"/>
            </w:tcBorders>
          </w:tcPr>
          <w:p>
            <w:pPr>
              <w:pStyle w:val="105"/>
            </w:pPr>
            <w:r>
              <w:t>3.5</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wAfter w:w="0" w:type="auto"/>
          <w:trHeight w:val="300" w:hRule="atLeast"/>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567" w:type="dxa"/>
            <w:tcBorders>
              <w:top w:val="single" w:color="auto" w:sz="4" w:space="0"/>
              <w:left w:val="single" w:color="auto" w:sz="4" w:space="0"/>
              <w:bottom w:val="single" w:color="auto" w:sz="4" w:space="0"/>
              <w:right w:val="single" w:color="auto" w:sz="4" w:space="0"/>
            </w:tcBorders>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18</w:t>
            </w:r>
          </w:p>
        </w:tc>
        <w:tc>
          <w:tcPr>
            <w:tcW w:w="850" w:type="dxa"/>
            <w:tcBorders>
              <w:top w:val="single" w:color="auto" w:sz="4" w:space="0"/>
              <w:left w:val="single" w:color="auto" w:sz="4" w:space="0"/>
              <w:bottom w:val="single" w:color="auto" w:sz="4" w:space="0"/>
              <w:right w:val="single" w:color="auto" w:sz="4" w:space="0"/>
            </w:tcBorders>
          </w:tcPr>
          <w:p>
            <w:pPr>
              <w:pStyle w:val="105"/>
            </w:pPr>
            <w:r>
              <w:t>4</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wAfter w:w="0" w:type="auto"/>
          <w:trHeight w:val="300" w:hRule="atLeast"/>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22</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19.3</w:t>
            </w:r>
          </w:p>
        </w:tc>
        <w:tc>
          <w:tcPr>
            <w:tcW w:w="567" w:type="dxa"/>
            <w:tcBorders>
              <w:top w:val="single" w:color="auto" w:sz="4" w:space="0"/>
              <w:left w:val="single" w:color="auto" w:sz="4" w:space="0"/>
              <w:bottom w:val="single" w:color="auto" w:sz="4" w:space="0"/>
              <w:right w:val="single" w:color="auto" w:sz="4" w:space="0"/>
            </w:tcBorders>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19</w:t>
            </w:r>
          </w:p>
        </w:tc>
        <w:tc>
          <w:tcPr>
            <w:tcW w:w="850" w:type="dxa"/>
            <w:tcBorders>
              <w:top w:val="single" w:color="auto" w:sz="4" w:space="0"/>
              <w:left w:val="single" w:color="auto" w:sz="4" w:space="0"/>
              <w:bottom w:val="single" w:color="auto" w:sz="4" w:space="0"/>
              <w:right w:val="single" w:color="auto" w:sz="4" w:space="0"/>
            </w:tcBorders>
          </w:tcPr>
          <w:p>
            <w:pPr>
              <w:pStyle w:val="105"/>
            </w:pPr>
            <w:r>
              <w:t>3.5</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14.8</w:t>
            </w:r>
          </w:p>
        </w:tc>
      </w:tr>
      <w:tr>
        <w:tblPrEx>
          <w:tblCellMar>
            <w:top w:w="0" w:type="dxa"/>
            <w:left w:w="70" w:type="dxa"/>
            <w:bottom w:w="0" w:type="dxa"/>
            <w:right w:w="70" w:type="dxa"/>
          </w:tblCellMar>
        </w:tblPrEx>
        <w:trPr>
          <w:wAfter w:w="0" w:type="auto"/>
          <w:trHeight w:val="300" w:hRule="atLeast"/>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21</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18.3</w:t>
            </w:r>
          </w:p>
        </w:tc>
        <w:tc>
          <w:tcPr>
            <w:tcW w:w="567" w:type="dxa"/>
            <w:tcBorders>
              <w:top w:val="single" w:color="auto" w:sz="4" w:space="0"/>
              <w:left w:val="single" w:color="auto" w:sz="4" w:space="0"/>
              <w:bottom w:val="single" w:color="auto" w:sz="4" w:space="0"/>
              <w:right w:val="single" w:color="auto" w:sz="4" w:space="0"/>
            </w:tcBorders>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18</w:t>
            </w:r>
          </w:p>
        </w:tc>
        <w:tc>
          <w:tcPr>
            <w:tcW w:w="850" w:type="dxa"/>
            <w:tcBorders>
              <w:top w:val="single" w:color="auto" w:sz="4" w:space="0"/>
              <w:left w:val="single" w:color="auto" w:sz="4" w:space="0"/>
              <w:bottom w:val="single" w:color="auto" w:sz="4" w:space="0"/>
              <w:right w:val="single" w:color="auto" w:sz="4" w:space="0"/>
            </w:tcBorders>
          </w:tcPr>
          <w:p>
            <w:pPr>
              <w:pStyle w:val="105"/>
            </w:pPr>
            <w:r>
              <w:t>4</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13.3</w:t>
            </w:r>
          </w:p>
        </w:tc>
      </w:tr>
      <w:tr>
        <w:tblPrEx>
          <w:tblCellMar>
            <w:top w:w="0" w:type="dxa"/>
            <w:left w:w="70" w:type="dxa"/>
            <w:bottom w:w="0" w:type="dxa"/>
            <w:right w:w="70" w:type="dxa"/>
          </w:tblCellMar>
        </w:tblPrEx>
        <w:trPr>
          <w:trHeight w:val="300" w:hRule="atLeast"/>
        </w:trPr>
        <w:tc>
          <w:tcPr>
            <w:tcW w:w="9568"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1a</w:t>
      </w:r>
      <w:r>
        <w:rPr>
          <w:rFonts w:cs="v5.0.0"/>
        </w:rPr>
        <w:t xml:space="preserve">: UE Power Class test requirements, subPRB allocation </w:t>
      </w:r>
      <w:r>
        <w:t>(network signalled value “NS_02N”)</w:t>
      </w:r>
    </w:p>
    <w:tbl>
      <w:tblPr>
        <w:tblStyle w:val="89"/>
        <w:tblW w:w="9568" w:type="dxa"/>
        <w:tblInd w:w="0" w:type="dxa"/>
        <w:tblLayout w:type="fixed"/>
        <w:tblCellMar>
          <w:top w:w="0" w:type="dxa"/>
          <w:left w:w="70" w:type="dxa"/>
          <w:bottom w:w="0" w:type="dxa"/>
          <w:right w:w="70" w:type="dxa"/>
        </w:tblCellMar>
      </w:tblPr>
      <w:tblGrid>
        <w:gridCol w:w="851"/>
        <w:gridCol w:w="709"/>
        <w:gridCol w:w="637"/>
        <w:gridCol w:w="708"/>
        <w:gridCol w:w="851"/>
        <w:gridCol w:w="850"/>
        <w:gridCol w:w="851"/>
        <w:gridCol w:w="567"/>
        <w:gridCol w:w="567"/>
        <w:gridCol w:w="709"/>
        <w:gridCol w:w="850"/>
        <w:gridCol w:w="709"/>
        <w:gridCol w:w="709"/>
      </w:tblGrid>
      <w:tr>
        <w:tblPrEx>
          <w:tblCellMar>
            <w:top w:w="0" w:type="dxa"/>
            <w:left w:w="70" w:type="dxa"/>
            <w:bottom w:w="0" w:type="dxa"/>
            <w:right w:w="70" w:type="dxa"/>
          </w:tblCellMar>
        </w:tblPrEx>
        <w:trPr>
          <w:trHeight w:val="525" w:hRule="atLeast"/>
        </w:trPr>
        <w:tc>
          <w:tcPr>
            <w:tcW w:w="8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606"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111"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trPr>
        <w:tc>
          <w:tcPr>
            <w:tcW w:w="85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637" w:type="dxa"/>
            <w:tcBorders>
              <w:top w:val="single" w:color="auto" w:sz="4" w:space="0"/>
              <w:left w:val="single" w:color="auto" w:sz="4" w:space="0"/>
              <w:bottom w:val="single" w:color="auto" w:sz="4" w:space="0"/>
              <w:right w:val="single" w:color="auto" w:sz="4" w:space="0"/>
            </w:tcBorders>
          </w:tcPr>
          <w:p>
            <w:pPr>
              <w:pStyle w:val="104"/>
            </w:pPr>
            <w:r>
              <w:t>A_MPR (dB)</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567" w:type="dxa"/>
            <w:tcBorders>
              <w:top w:val="single" w:color="auto" w:sz="4" w:space="0"/>
              <w:left w:val="single" w:color="auto" w:sz="4" w:space="0"/>
              <w:bottom w:val="single" w:color="auto" w:sz="4" w:space="0"/>
              <w:right w:val="single" w:color="auto" w:sz="4" w:space="0"/>
            </w:tcBorders>
          </w:tcPr>
          <w:p>
            <w:pPr>
              <w:pStyle w:val="104"/>
            </w:pPr>
            <w:r>
              <w:t>MPR (dB)</w:t>
            </w:r>
          </w:p>
        </w:tc>
        <w:tc>
          <w:tcPr>
            <w:tcW w:w="567" w:type="dxa"/>
            <w:tcBorders>
              <w:top w:val="single" w:color="auto" w:sz="4" w:space="0"/>
              <w:left w:val="single" w:color="auto" w:sz="4" w:space="0"/>
              <w:bottom w:val="single" w:color="auto" w:sz="4" w:space="0"/>
              <w:right w:val="single" w:color="auto" w:sz="4" w:space="0"/>
            </w:tcBorders>
          </w:tcPr>
          <w:p>
            <w:pPr>
              <w:pStyle w:val="104"/>
            </w:pPr>
            <w:r>
              <w:t>A_MPR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trPr>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63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8" w:type="dxa"/>
            <w:tcBorders>
              <w:top w:val="single" w:color="auto" w:sz="4" w:space="0"/>
              <w:left w:val="single" w:color="auto" w:sz="4" w:space="0"/>
              <w:bottom w:val="single" w:color="auto" w:sz="4" w:space="0"/>
              <w:right w:val="single" w:color="auto" w:sz="4" w:space="0"/>
            </w:tcBorders>
            <w:shd w:val="clear" w:color="auto" w:fill="auto"/>
          </w:tcPr>
          <w:p>
            <w:pPr>
              <w:pStyle w:val="105"/>
            </w:pPr>
            <w:r>
              <w:t>23</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1" w:type="dxa"/>
            <w:tcBorders>
              <w:top w:val="single" w:color="auto" w:sz="4" w:space="0"/>
              <w:left w:val="single" w:color="auto" w:sz="4" w:space="0"/>
              <w:bottom w:val="single" w:color="auto" w:sz="4" w:space="0"/>
              <w:right w:val="single" w:color="auto" w:sz="4" w:space="0"/>
            </w:tcBorders>
            <w:shd w:val="clear" w:color="auto" w:fill="auto"/>
          </w:tcPr>
          <w:p>
            <w:pPr>
              <w:pStyle w:val="105"/>
            </w:pPr>
            <w:r>
              <w:t>20.3</w:t>
            </w:r>
          </w:p>
        </w:tc>
        <w:tc>
          <w:tcPr>
            <w:tcW w:w="567" w:type="dxa"/>
            <w:tcBorders>
              <w:top w:val="single" w:color="auto" w:sz="4" w:space="0"/>
              <w:left w:val="single" w:color="auto" w:sz="4" w:space="0"/>
              <w:bottom w:val="single" w:color="auto" w:sz="4" w:space="0"/>
              <w:right w:val="single" w:color="auto" w:sz="4" w:space="0"/>
            </w:tcBorders>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709" w:type="dxa"/>
            <w:tcBorders>
              <w:top w:val="single" w:color="auto" w:sz="4" w:space="0"/>
              <w:left w:val="single" w:color="auto" w:sz="4" w:space="0"/>
              <w:bottom w:val="single" w:color="auto" w:sz="4" w:space="0"/>
              <w:right w:val="single" w:color="auto" w:sz="4" w:space="0"/>
            </w:tcBorders>
          </w:tcPr>
          <w:p>
            <w:pPr>
              <w:pStyle w:val="105"/>
            </w:pPr>
            <w:r>
              <w:t>20</w:t>
            </w:r>
          </w:p>
        </w:tc>
        <w:tc>
          <w:tcPr>
            <w:tcW w:w="850"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17.3</w:t>
            </w:r>
          </w:p>
        </w:tc>
      </w:tr>
      <w:tr>
        <w:tblPrEx>
          <w:tblCellMar>
            <w:top w:w="0" w:type="dxa"/>
            <w:left w:w="70" w:type="dxa"/>
            <w:bottom w:w="0" w:type="dxa"/>
            <w:right w:w="70" w:type="dxa"/>
          </w:tblCellMar>
        </w:tblPrEx>
        <w:trPr>
          <w:trHeight w:val="300" w:hRule="atLeast"/>
        </w:trPr>
        <w:tc>
          <w:tcPr>
            <w:tcW w:w="9568"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2</w:t>
      </w:r>
      <w:r>
        <w:rPr>
          <w:rFonts w:cs="v5.0.0"/>
        </w:rPr>
        <w:t xml:space="preserve">: UE Power Class test requirements </w:t>
      </w:r>
      <w:r>
        <w:t>(network signalled value "NS_24")</w:t>
      </w:r>
    </w:p>
    <w:tbl>
      <w:tblPr>
        <w:tblStyle w:val="89"/>
        <w:tblW w:w="9993" w:type="dxa"/>
        <w:tblInd w:w="0" w:type="dxa"/>
        <w:tblLayout w:type="fixed"/>
        <w:tblCellMar>
          <w:top w:w="0" w:type="dxa"/>
          <w:left w:w="70" w:type="dxa"/>
          <w:bottom w:w="0" w:type="dxa"/>
          <w:right w:w="70" w:type="dxa"/>
        </w:tblCellMar>
      </w:tblPr>
      <w:tblGrid>
        <w:gridCol w:w="496"/>
        <w:gridCol w:w="708"/>
        <w:gridCol w:w="709"/>
        <w:gridCol w:w="709"/>
        <w:gridCol w:w="850"/>
        <w:gridCol w:w="993"/>
        <w:gridCol w:w="850"/>
        <w:gridCol w:w="709"/>
        <w:gridCol w:w="709"/>
        <w:gridCol w:w="992"/>
        <w:gridCol w:w="850"/>
        <w:gridCol w:w="709"/>
        <w:gridCol w:w="709"/>
        <w:tblGridChange w:id="1">
          <w:tblGrid>
            <w:gridCol w:w="496"/>
            <w:gridCol w:w="708"/>
            <w:gridCol w:w="709"/>
            <w:gridCol w:w="709"/>
            <w:gridCol w:w="850"/>
            <w:gridCol w:w="993"/>
            <w:gridCol w:w="850"/>
            <w:gridCol w:w="709"/>
            <w:gridCol w:w="709"/>
            <w:gridCol w:w="992"/>
            <w:gridCol w:w="850"/>
            <w:gridCol w:w="709"/>
            <w:gridCol w:w="709"/>
          </w:tblGrid>
        </w:tblGridChange>
      </w:tblGrid>
      <w:tr>
        <w:tblPrEx>
          <w:tblCellMar>
            <w:top w:w="0" w:type="dxa"/>
            <w:left w:w="70" w:type="dxa"/>
            <w:bottom w:w="0" w:type="dxa"/>
            <w:right w:w="70" w:type="dxa"/>
          </w:tblCellMar>
        </w:tblPrEx>
        <w:trPr>
          <w:trHeight w:val="525" w:hRule="atLeast"/>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819"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678"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8"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8"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08"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08"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08"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1</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08"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2</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trPr>
        <w:tc>
          <w:tcPr>
            <w:tcW w:w="9993"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lang w:eastAsia="zh-CN"/>
        </w:rPr>
      </w:pPr>
    </w:p>
    <w:p>
      <w:pPr>
        <w:pStyle w:val="113"/>
      </w:pPr>
      <w:r>
        <w:rPr>
          <w:rFonts w:cs="v5.0.0"/>
        </w:rPr>
        <w:t>Table 6.2A.3.5-</w:t>
      </w:r>
      <w:r>
        <w:t>1a</w:t>
      </w:r>
      <w:r>
        <w:rPr>
          <w:rFonts w:cs="v5.0.0"/>
        </w:rPr>
        <w:t xml:space="preserve">: UE Power Class test requirements, subPRB allocation </w:t>
      </w:r>
      <w:r>
        <w:t>(network signalled value "NS_24")</w:t>
      </w:r>
    </w:p>
    <w:tbl>
      <w:tblPr>
        <w:tblStyle w:val="89"/>
        <w:tblW w:w="9993" w:type="dxa"/>
        <w:tblInd w:w="0" w:type="dxa"/>
        <w:tblLayout w:type="fixed"/>
        <w:tblCellMar>
          <w:top w:w="0" w:type="dxa"/>
          <w:left w:w="70" w:type="dxa"/>
          <w:bottom w:w="0" w:type="dxa"/>
          <w:right w:w="70" w:type="dxa"/>
        </w:tblCellMar>
      </w:tblPr>
      <w:tblGrid>
        <w:gridCol w:w="496"/>
        <w:gridCol w:w="708"/>
        <w:gridCol w:w="709"/>
        <w:gridCol w:w="709"/>
        <w:gridCol w:w="850"/>
        <w:gridCol w:w="993"/>
        <w:gridCol w:w="850"/>
        <w:gridCol w:w="709"/>
        <w:gridCol w:w="709"/>
        <w:gridCol w:w="992"/>
        <w:gridCol w:w="850"/>
        <w:gridCol w:w="709"/>
        <w:gridCol w:w="709"/>
      </w:tblGrid>
      <w:tr>
        <w:tblPrEx>
          <w:tblCellMar>
            <w:top w:w="0" w:type="dxa"/>
            <w:left w:w="70" w:type="dxa"/>
            <w:bottom w:w="0" w:type="dxa"/>
            <w:right w:w="70" w:type="dxa"/>
          </w:tblCellMar>
        </w:tblPrEx>
        <w:trPr>
          <w:trHeight w:val="525" w:hRule="atLeast"/>
        </w:trPr>
        <w:tc>
          <w:tcPr>
            <w:tcW w:w="49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Config ID</w:t>
            </w:r>
          </w:p>
        </w:tc>
        <w:tc>
          <w:tcPr>
            <w:tcW w:w="4819" w:type="dxa"/>
            <w:gridSpan w:val="6"/>
            <w:tcBorders>
              <w:top w:val="single" w:color="auto" w:sz="4" w:space="0"/>
              <w:left w:val="single" w:color="auto" w:sz="4" w:space="0"/>
              <w:bottom w:val="single" w:color="auto" w:sz="4" w:space="0"/>
              <w:right w:val="single" w:color="auto" w:sz="4" w:space="0"/>
            </w:tcBorders>
          </w:tcPr>
          <w:p>
            <w:pPr>
              <w:pStyle w:val="104"/>
            </w:pPr>
            <w:r>
              <w:t>Power class 3</w:t>
            </w:r>
          </w:p>
        </w:tc>
        <w:tc>
          <w:tcPr>
            <w:tcW w:w="4678" w:type="dxa"/>
            <w:gridSpan w:val="6"/>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525" w:hRule="atLeast"/>
        </w:trPr>
        <w:tc>
          <w:tcPr>
            <w:tcW w:w="496"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08"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709"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709" w:type="dxa"/>
            <w:tcBorders>
              <w:top w:val="single" w:color="auto" w:sz="4" w:space="0"/>
              <w:left w:val="single" w:color="auto" w:sz="4" w:space="0"/>
              <w:bottom w:val="single" w:color="auto" w:sz="4" w:space="0"/>
              <w:right w:val="single" w:color="auto" w:sz="4" w:space="0"/>
            </w:tcBorders>
          </w:tcPr>
          <w:p>
            <w:pPr>
              <w:pStyle w:val="104"/>
            </w:pPr>
            <w:r>
              <w:t>MPR (dB)</w:t>
            </w:r>
          </w:p>
        </w:tc>
        <w:tc>
          <w:tcPr>
            <w:tcW w:w="709" w:type="dxa"/>
            <w:tcBorders>
              <w:top w:val="single" w:color="auto" w:sz="4" w:space="0"/>
              <w:left w:val="single" w:color="auto" w:sz="4" w:space="0"/>
              <w:bottom w:val="single" w:color="auto" w:sz="4" w:space="0"/>
              <w:right w:val="single" w:color="auto" w:sz="4" w:space="0"/>
            </w:tcBorders>
          </w:tcPr>
          <w:p>
            <w:pPr>
              <w:pStyle w:val="104"/>
            </w:pPr>
            <w:r>
              <w:t>A-MPR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CMAX_L,c</w:t>
            </w:r>
            <w:r>
              <w:t xml:space="preserve"> (dBm)</w:t>
            </w:r>
          </w:p>
        </w:tc>
        <w:tc>
          <w:tcPr>
            <w:tcW w:w="850"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300" w:hRule="atLeast"/>
        </w:trPr>
        <w:tc>
          <w:tcPr>
            <w:tcW w:w="49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08"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709" w:type="dxa"/>
            <w:tcBorders>
              <w:top w:val="single" w:color="auto" w:sz="4" w:space="0"/>
              <w:left w:val="single" w:color="auto" w:sz="4" w:space="0"/>
              <w:bottom w:val="single" w:color="auto" w:sz="4" w:space="0"/>
              <w:right w:val="single" w:color="auto" w:sz="4" w:space="0"/>
            </w:tcBorders>
            <w:shd w:val="clear" w:color="auto" w:fill="auto"/>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tcPr>
          <w:p>
            <w:pPr>
              <w:pStyle w:val="105"/>
            </w:pPr>
            <w:r>
              <w:t>25.7</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105"/>
            </w:pPr>
            <w:r>
              <w:t>15.3</w:t>
            </w:r>
          </w:p>
        </w:tc>
        <w:tc>
          <w:tcPr>
            <w:tcW w:w="709" w:type="dxa"/>
            <w:tcBorders>
              <w:top w:val="single" w:color="auto" w:sz="4" w:space="0"/>
              <w:left w:val="single" w:color="auto" w:sz="4" w:space="0"/>
              <w:bottom w:val="single" w:color="auto" w:sz="4" w:space="0"/>
              <w:right w:val="single" w:color="auto" w:sz="4" w:space="0"/>
            </w:tcBorders>
          </w:tcPr>
          <w:p>
            <w:pPr>
              <w:pStyle w:val="105"/>
            </w:pPr>
            <w:r>
              <w:t>0</w:t>
            </w:r>
          </w:p>
        </w:tc>
        <w:tc>
          <w:tcPr>
            <w:tcW w:w="709" w:type="dxa"/>
            <w:tcBorders>
              <w:top w:val="single" w:color="auto" w:sz="4" w:space="0"/>
              <w:left w:val="single" w:color="auto" w:sz="4" w:space="0"/>
              <w:bottom w:val="single" w:color="auto" w:sz="4" w:space="0"/>
              <w:right w:val="single" w:color="auto" w:sz="4" w:space="0"/>
            </w:tcBorders>
          </w:tcPr>
          <w:p>
            <w:pPr>
              <w:pStyle w:val="105"/>
            </w:pPr>
            <w:r>
              <w:rPr>
                <w:rFonts w:hint="eastAsia"/>
              </w:rPr>
              <w:t>3</w:t>
            </w:r>
            <w:r>
              <w:t>.5</w:t>
            </w:r>
          </w:p>
        </w:tc>
        <w:tc>
          <w:tcPr>
            <w:tcW w:w="992" w:type="dxa"/>
            <w:tcBorders>
              <w:top w:val="single" w:color="auto" w:sz="4" w:space="0"/>
              <w:left w:val="single" w:color="auto" w:sz="4" w:space="0"/>
              <w:bottom w:val="single" w:color="auto" w:sz="4" w:space="0"/>
              <w:right w:val="single" w:color="auto" w:sz="4" w:space="0"/>
            </w:tcBorders>
          </w:tcPr>
          <w:p>
            <w:pPr>
              <w:pStyle w:val="105"/>
            </w:pPr>
            <w:r>
              <w:t>16.5</w:t>
            </w:r>
          </w:p>
        </w:tc>
        <w:tc>
          <w:tcPr>
            <w:tcW w:w="850" w:type="dxa"/>
            <w:tcBorders>
              <w:top w:val="single" w:color="auto" w:sz="4" w:space="0"/>
              <w:left w:val="single" w:color="auto" w:sz="4" w:space="0"/>
              <w:bottom w:val="single" w:color="auto" w:sz="4" w:space="0"/>
              <w:right w:val="single" w:color="auto" w:sz="4" w:space="0"/>
            </w:tcBorders>
          </w:tcPr>
          <w:p>
            <w:pPr>
              <w:pStyle w:val="105"/>
            </w:pPr>
            <w:r>
              <w:t>5.0</w:t>
            </w:r>
          </w:p>
        </w:tc>
        <w:tc>
          <w:tcPr>
            <w:tcW w:w="709" w:type="dxa"/>
            <w:tcBorders>
              <w:top w:val="single" w:color="auto" w:sz="4" w:space="0"/>
              <w:left w:val="single" w:color="auto" w:sz="4" w:space="0"/>
              <w:bottom w:val="single" w:color="auto" w:sz="4" w:space="0"/>
              <w:right w:val="single" w:color="auto" w:sz="4" w:space="0"/>
            </w:tcBorders>
          </w:tcPr>
          <w:p>
            <w:pPr>
              <w:pStyle w:val="105"/>
            </w:pPr>
            <w:r>
              <w:t>22.7</w:t>
            </w:r>
          </w:p>
        </w:tc>
        <w:tc>
          <w:tcPr>
            <w:tcW w:w="709" w:type="dxa"/>
            <w:tcBorders>
              <w:top w:val="single" w:color="auto" w:sz="4" w:space="0"/>
              <w:left w:val="single" w:color="auto" w:sz="4" w:space="0"/>
              <w:bottom w:val="single" w:color="auto" w:sz="4" w:space="0"/>
              <w:right w:val="single" w:color="auto" w:sz="4" w:space="0"/>
            </w:tcBorders>
          </w:tcPr>
          <w:p>
            <w:pPr>
              <w:pStyle w:val="105"/>
            </w:pPr>
            <w:r>
              <w:t>10.7</w:t>
            </w:r>
          </w:p>
        </w:tc>
      </w:tr>
      <w:tr>
        <w:tblPrEx>
          <w:tblCellMar>
            <w:top w:w="0" w:type="dxa"/>
            <w:left w:w="70" w:type="dxa"/>
            <w:bottom w:w="0" w:type="dxa"/>
            <w:right w:w="70" w:type="dxa"/>
          </w:tblCellMar>
        </w:tblPrEx>
        <w:trPr>
          <w:trHeight w:val="300" w:hRule="atLeast"/>
        </w:trPr>
        <w:tc>
          <w:tcPr>
            <w:tcW w:w="9993" w:type="dxa"/>
            <w:gridSpan w:val="13"/>
            <w:tcBorders>
              <w:top w:val="single" w:color="auto" w:sz="4" w:space="0"/>
              <w:left w:val="single" w:color="auto" w:sz="4" w:space="0"/>
              <w:bottom w:val="single" w:color="auto" w:sz="4" w:space="0"/>
              <w:right w:val="single" w:color="auto" w:sz="4" w:space="0"/>
            </w:tcBorders>
          </w:tcPr>
          <w:p>
            <w:pPr>
              <w:pStyle w:val="118"/>
              <w:ind w:left="578" w:hanging="578"/>
            </w:pPr>
            <w:r>
              <w:rPr>
                <w:rFonts w:cs="Arial"/>
                <w:szCs w:val="18"/>
              </w:rPr>
              <w:t>Note 1:</w:t>
            </w:r>
            <w:r>
              <w:tab/>
            </w:r>
            <w:r>
              <w:t>P</w:t>
            </w:r>
            <w:r>
              <w:rPr>
                <w:vertAlign w:val="subscript"/>
              </w:rPr>
              <w:t xml:space="preserve">CMAX,c </w:t>
            </w:r>
            <w:r>
              <w:t>and T(P</w:t>
            </w:r>
            <w:r>
              <w:rPr>
                <w:vertAlign w:val="subscript"/>
              </w:rPr>
              <w:t>CMAX_L,c</w:t>
            </w:r>
            <w:r>
              <w:t>) are defined in TS 36.101 [7] clause 6.2.5</w:t>
            </w:r>
          </w:p>
        </w:tc>
      </w:tr>
    </w:tbl>
    <w:p>
      <w:pPr>
        <w:rPr>
          <w:i/>
          <w:lang w:eastAsia="zh-TW"/>
        </w:rPr>
      </w:pPr>
    </w:p>
    <w:bookmarkEnd w:id="255"/>
    <w:p>
      <w:pPr>
        <w:pStyle w:val="5"/>
      </w:pPr>
      <w:bookmarkStart w:id="261" w:name="_Toc121162820"/>
      <w:bookmarkStart w:id="262" w:name="_Toc19533"/>
      <w:bookmarkStart w:id="263" w:name="_Toc22021"/>
      <w:bookmarkStart w:id="264" w:name="_Toc14966"/>
      <w:bookmarkStart w:id="265" w:name="_Toc120570028"/>
      <w:bookmarkStart w:id="266" w:name="_Toc108616989"/>
      <w:bookmarkStart w:id="267" w:name="_Toc111062035"/>
      <w:r>
        <w:t>6.2A.4</w:t>
      </w:r>
      <w:r>
        <w:tab/>
      </w:r>
      <w:r>
        <w:t>Configured transmitted Power for category M1</w:t>
      </w:r>
      <w:bookmarkEnd w:id="261"/>
      <w:bookmarkEnd w:id="262"/>
      <w:bookmarkEnd w:id="263"/>
      <w:bookmarkEnd w:id="264"/>
      <w:bookmarkEnd w:id="265"/>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conditions and call setup procedure to support satellite access are TBD</w:t>
      </w:r>
    </w:p>
    <w:p>
      <w:pPr>
        <w:pStyle w:val="112"/>
      </w:pPr>
    </w:p>
    <w:p>
      <w:pPr>
        <w:pStyle w:val="9"/>
      </w:pPr>
      <w:r>
        <w:t>6.2A.4.1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the UE power class.</w:t>
      </w:r>
    </w:p>
    <w:p>
      <w:pPr>
        <w:pStyle w:val="9"/>
      </w:pPr>
      <w:bookmarkStart w:id="268" w:name="_Toc350971757"/>
      <w:r>
        <w:t>6.2A.4.2</w:t>
      </w:r>
      <w:r>
        <w:tab/>
      </w:r>
      <w:r>
        <w:t>Test applicability</w:t>
      </w:r>
      <w:bookmarkEnd w:id="268"/>
    </w:p>
    <w:p>
      <w:r>
        <w:t>This test applies to all types of E-UTRA UE release 17 and forward that support satellite access operation.</w:t>
      </w:r>
    </w:p>
    <w:p>
      <w:pPr>
        <w:pStyle w:val="9"/>
      </w:pPr>
      <w:bookmarkStart w:id="269" w:name="_Toc350971758"/>
      <w:r>
        <w:t>6.2A.</w:t>
      </w:r>
      <w:r>
        <w:rPr>
          <w:rFonts w:hint="eastAsia"/>
        </w:rPr>
        <w:t>4</w:t>
      </w:r>
      <w:r>
        <w:t>.3</w:t>
      </w:r>
      <w:r>
        <w:tab/>
      </w:r>
      <w:r>
        <w:t>Minimum conformance requirements</w:t>
      </w:r>
      <w:bookmarkEnd w:id="269"/>
    </w:p>
    <w:p>
      <w:bookmarkStart w:id="270" w:name="_Hlk128124445"/>
      <w:r>
        <w:t>The configured transmitted power requirements in clause 6.2.5 of TS 36.101 [7] shall apply, wherein</w:t>
      </w:r>
    </w:p>
    <w:p>
      <w:pPr>
        <w:pStyle w:val="111"/>
        <w:rPr>
          <w:lang w:eastAsia="zh-CN"/>
        </w:rPr>
      </w:pPr>
      <w:r>
        <w:t>-</w:t>
      </w:r>
      <w:r>
        <w:tab/>
      </w:r>
      <w:r>
        <w:rPr>
          <w:lang w:eastAsia="zh-CN"/>
        </w:rPr>
        <w:t xml:space="preserve">The Maximum output power requirements are specified in </w:t>
      </w:r>
      <w:r>
        <w:t>TS 36.102 [11] subclause</w:t>
      </w:r>
      <w:r>
        <w:rPr>
          <w:lang w:eastAsia="zh-CN"/>
        </w:rPr>
        <w:t xml:space="preserve"> 6.2</w:t>
      </w:r>
      <w:r>
        <w:rPr>
          <w:lang w:eastAsia="zh-TW"/>
        </w:rPr>
        <w:t>A</w:t>
      </w:r>
      <w:r>
        <w:rPr>
          <w:lang w:eastAsia="zh-CN"/>
        </w:rPr>
        <w:t>.1</w:t>
      </w:r>
    </w:p>
    <w:p>
      <w:pPr>
        <w:pStyle w:val="111"/>
        <w:rPr>
          <w:lang w:eastAsia="zh-CN"/>
        </w:rPr>
      </w:pPr>
      <w:r>
        <w:t>-</w:t>
      </w:r>
      <w:r>
        <w:tab/>
      </w:r>
      <w:r>
        <w:rPr>
          <w:lang w:eastAsia="zh-CN"/>
        </w:rPr>
        <w:t xml:space="preserve">The MPR requirements are specified in </w:t>
      </w:r>
      <w:r>
        <w:t>TS 36.102 [11] </w:t>
      </w:r>
      <w:r>
        <w:rPr>
          <w:lang w:eastAsia="zh-CN"/>
        </w:rPr>
        <w:t>subclause 6.2</w:t>
      </w:r>
      <w:r>
        <w:rPr>
          <w:lang w:eastAsia="zh-TW"/>
        </w:rPr>
        <w:t>A</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TS 36.102 [11] </w:t>
      </w:r>
      <w:r>
        <w:rPr>
          <w:lang w:eastAsia="zh-CN"/>
        </w:rPr>
        <w:t>subclause 6.2</w:t>
      </w:r>
      <w:r>
        <w:rPr>
          <w:lang w:eastAsia="zh-TW"/>
        </w:rPr>
        <w:t>A</w:t>
      </w:r>
      <w:r>
        <w:rPr>
          <w:lang w:eastAsia="zh-CN"/>
        </w:rPr>
        <w:t>.3.</w:t>
      </w:r>
    </w:p>
    <w:bookmarkEnd w:id="270"/>
    <w:p>
      <w:pPr>
        <w:pStyle w:val="9"/>
      </w:pPr>
      <w:r>
        <w:t>6.2A.4.4</w:t>
      </w:r>
      <w:r>
        <w:tab/>
      </w:r>
      <w:r>
        <w:t>Test description</w:t>
      </w:r>
    </w:p>
    <w:p>
      <w:pPr>
        <w:pStyle w:val="9"/>
      </w:pPr>
      <w:r>
        <w:t>6.2A.4.4.1</w:t>
      </w:r>
      <w:r>
        <w:tab/>
      </w:r>
      <w:r>
        <w:t>Initial condition</w:t>
      </w:r>
    </w:p>
    <w:p>
      <w:r>
        <w:t>Initial conditions are a set of test configurations the UE needs to be tested in and the steps for the SS to take with the UE to reach the correct measurement state.</w:t>
      </w:r>
    </w:p>
    <w:p>
      <w:pPr>
        <w:rPr>
          <w:rFonts w:cs="v5.0.0"/>
          <w:lang w:eastAsia="ja-JP"/>
        </w:rPr>
      </w:pPr>
      <w:r>
        <w:t xml:space="preserve">The initial test configurations consist of environmental conditions, </w:t>
      </w:r>
      <w:r>
        <w:rPr>
          <w:lang w:eastAsia="ja-JP"/>
        </w:rPr>
        <w:t xml:space="preserve">test </w:t>
      </w:r>
      <w:r>
        <w:t>frequencies</w:t>
      </w:r>
      <w:r>
        <w:rPr>
          <w:lang w:eastAsia="ja-JP"/>
        </w:rPr>
        <w:t>, a</w:t>
      </w:r>
      <w:r>
        <w:t xml:space="preserve">nd channel bandwidths </w:t>
      </w:r>
      <w:r>
        <w:rPr>
          <w:lang w:eastAsia="ja-JP"/>
        </w:rPr>
        <w:t xml:space="preserve">based on </w:t>
      </w:r>
      <w:r>
        <w:t xml:space="preserve">E-UTRA operating bands </w:t>
      </w:r>
      <w:r>
        <w:rPr>
          <w:lang w:eastAsia="ja-JP"/>
        </w:rPr>
        <w:t xml:space="preserve">specified in table </w:t>
      </w:r>
      <w:r>
        <w:t>5.2E. All of these configurations shall be tested with applicable test parameters for each channel bandwidth and are shown in table 6.2A.</w:t>
      </w:r>
      <w:r>
        <w:rPr>
          <w:lang w:val="en-US"/>
        </w:rPr>
        <w:t>4.</w:t>
      </w:r>
      <w:r>
        <w:t>4.1-1. The details of the uplink reference measurement channels (RMC</w:t>
      </w:r>
      <w:r>
        <w:rPr>
          <w:lang w:eastAsia="ja-JP"/>
        </w:rPr>
        <w:t>s</w:t>
      </w:r>
      <w:r>
        <w:t>) are specified in Annex A</w:t>
      </w:r>
      <w:r>
        <w:rPr>
          <w:lang w:eastAsia="ja-JP"/>
        </w:rPr>
        <w:t>.</w:t>
      </w:r>
      <w:r>
        <w:t>2</w:t>
      </w:r>
      <w:r>
        <w:rPr>
          <w:lang w:eastAsia="ja-JP"/>
        </w:rPr>
        <w:t xml:space="preserve">. </w:t>
      </w:r>
      <w:r>
        <w:rPr>
          <w:rFonts w:cs="v5.0.0"/>
          <w:lang w:eastAsia="ja-JP"/>
        </w:rPr>
        <w:t>Configurations of PDSCH and MPDCCH</w:t>
      </w:r>
      <w:r>
        <w:rPr>
          <w:rFonts w:cs="v5.0.0"/>
        </w:rPr>
        <w:t xml:space="preserve"> </w:t>
      </w:r>
      <w:r>
        <w:rPr>
          <w:rFonts w:cs="v5.0.0"/>
          <w:lang w:eastAsia="ja-JP"/>
        </w:rPr>
        <w:t>before measurement are specified in Annex C.2.</w:t>
      </w:r>
    </w:p>
    <w:p>
      <w:pPr>
        <w:pStyle w:val="113"/>
        <w:rPr>
          <w:lang w:eastAsia="zh-CN"/>
        </w:rPr>
      </w:pPr>
      <w:r>
        <w:t>Table 6.2A.4.4.1-1: Test Configuration T</w:t>
      </w:r>
      <w:r>
        <w:rPr>
          <w:lang w:eastAsia="zh-CN"/>
        </w:rPr>
        <w:t>able</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3056"/>
        <w:gridCol w:w="488"/>
        <w:gridCol w:w="992"/>
        <w:gridCol w:w="1907"/>
        <w:gridCol w:w="19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6"/>
            <w:shd w:val="clear" w:color="auto" w:fill="auto"/>
          </w:tcPr>
          <w:p>
            <w:pPr>
              <w:pStyle w:val="104"/>
              <w:rPr>
                <w:rFonts w:eastAsia="Calibri"/>
              </w:rPr>
            </w:pPr>
            <w:r>
              <w:rPr>
                <w:rFonts w:eastAsia="Calibri"/>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Environment as specified in TS 36.508 [12] subclause 4.1</w:t>
            </w:r>
          </w:p>
        </w:tc>
        <w:tc>
          <w:tcPr>
            <w:tcW w:w="5295" w:type="dxa"/>
            <w:gridSpan w:val="4"/>
            <w:shd w:val="clear" w:color="auto" w:fill="auto"/>
          </w:tcPr>
          <w:p>
            <w:pPr>
              <w:pStyle w:val="103"/>
              <w:rPr>
                <w:rFonts w:eastAsia="Calibri"/>
              </w:rPr>
            </w:pPr>
            <w:r>
              <w:rPr>
                <w:rFonts w:eastAsia="Calibri"/>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Frequencies as specified in TS 36.508 [12] subclause 4.3.1</w:t>
            </w:r>
          </w:p>
        </w:tc>
        <w:tc>
          <w:tcPr>
            <w:tcW w:w="5295" w:type="dxa"/>
            <w:gridSpan w:val="4"/>
            <w:shd w:val="clear" w:color="auto" w:fill="auto"/>
          </w:tcPr>
          <w:p>
            <w:pPr>
              <w:pStyle w:val="103"/>
              <w:rPr>
                <w:rFonts w:eastAsia="Calibri"/>
              </w:rPr>
            </w:pPr>
            <w:r>
              <w:rPr>
                <w:rFonts w:eastAsia="Calibri"/>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trPr>
        <w:tc>
          <w:tcPr>
            <w:tcW w:w="4327" w:type="dxa"/>
            <w:gridSpan w:val="2"/>
            <w:shd w:val="clear" w:color="auto" w:fill="auto"/>
          </w:tcPr>
          <w:p>
            <w:pPr>
              <w:pStyle w:val="103"/>
              <w:rPr>
                <w:rFonts w:eastAsia="Calibri"/>
              </w:rPr>
            </w:pPr>
            <w:r>
              <w:rPr>
                <w:rFonts w:eastAsia="Calibri"/>
              </w:rPr>
              <w:t>Test Channel Bandwidths as specified in TS 36.508 [12] subclause 4.3.1</w:t>
            </w:r>
          </w:p>
        </w:tc>
        <w:tc>
          <w:tcPr>
            <w:tcW w:w="5295" w:type="dxa"/>
            <w:gridSpan w:val="4"/>
            <w:shd w:val="clear" w:color="auto" w:fill="auto"/>
          </w:tcPr>
          <w:p>
            <w:pPr>
              <w:pStyle w:val="103"/>
              <w:rPr>
                <w:rFonts w:eastAsia="Calibri"/>
              </w:rPr>
            </w:pPr>
            <w:r>
              <w:rPr>
                <w:rFonts w:eastAsia="Calibri"/>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6"/>
            <w:shd w:val="clear" w:color="auto" w:fill="auto"/>
          </w:tcPr>
          <w:p>
            <w:pPr>
              <w:pStyle w:val="104"/>
              <w:rPr>
                <w:rFonts w:eastAsia="Calibri"/>
              </w:rPr>
            </w:pPr>
            <w:r>
              <w:rPr>
                <w:rFonts w:eastAsia="Calibri"/>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71" w:type="dxa"/>
            <w:tcBorders>
              <w:bottom w:val="single" w:color="auto" w:sz="4" w:space="0"/>
            </w:tcBorders>
            <w:shd w:val="clear" w:color="auto" w:fill="auto"/>
          </w:tcPr>
          <w:p>
            <w:pPr>
              <w:pStyle w:val="105"/>
            </w:pPr>
          </w:p>
        </w:tc>
        <w:tc>
          <w:tcPr>
            <w:tcW w:w="3544" w:type="dxa"/>
            <w:gridSpan w:val="2"/>
            <w:tcBorders>
              <w:bottom w:val="single" w:color="auto" w:sz="4" w:space="0"/>
            </w:tcBorders>
            <w:shd w:val="clear" w:color="auto" w:fill="auto"/>
          </w:tcPr>
          <w:p>
            <w:pPr>
              <w:pStyle w:val="104"/>
              <w:rPr>
                <w:rFonts w:eastAsia="Calibri"/>
              </w:rPr>
            </w:pPr>
            <w:r>
              <w:rPr>
                <w:rFonts w:eastAsia="Calibri"/>
              </w:rPr>
              <w:t>Downlink Configuration</w:t>
            </w:r>
          </w:p>
        </w:tc>
        <w:tc>
          <w:tcPr>
            <w:tcW w:w="4807" w:type="dxa"/>
            <w:gridSpan w:val="3"/>
            <w:shd w:val="clear" w:color="auto" w:fill="auto"/>
          </w:tcPr>
          <w:p>
            <w:pPr>
              <w:pStyle w:val="104"/>
              <w:rPr>
                <w:rFonts w:eastAsia="Calibri"/>
              </w:rPr>
            </w:pPr>
            <w:r>
              <w:rPr>
                <w:rFonts w:eastAsia="Calibri"/>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71" w:type="dxa"/>
            <w:tcBorders>
              <w:bottom w:val="nil"/>
            </w:tcBorders>
            <w:shd w:val="clear" w:color="auto" w:fill="auto"/>
          </w:tcPr>
          <w:p>
            <w:pPr>
              <w:pStyle w:val="104"/>
              <w:rPr>
                <w:rFonts w:eastAsia="Calibri"/>
              </w:rPr>
            </w:pPr>
            <w:r>
              <w:rPr>
                <w:rFonts w:eastAsia="Calibri"/>
              </w:rPr>
              <w:t>Ch BW</w:t>
            </w:r>
          </w:p>
        </w:tc>
        <w:tc>
          <w:tcPr>
            <w:tcW w:w="3544" w:type="dxa"/>
            <w:gridSpan w:val="2"/>
            <w:tcBorders>
              <w:bottom w:val="nil"/>
            </w:tcBorders>
            <w:shd w:val="clear" w:color="auto" w:fill="auto"/>
          </w:tcPr>
          <w:p>
            <w:pPr>
              <w:pStyle w:val="105"/>
              <w:rPr>
                <w:rFonts w:eastAsia="Calibri"/>
              </w:rPr>
            </w:pPr>
            <w:r>
              <w:t>N/A for Configured UE transmitted Output Power test case</w:t>
            </w:r>
          </w:p>
        </w:tc>
        <w:tc>
          <w:tcPr>
            <w:tcW w:w="992" w:type="dxa"/>
            <w:tcBorders>
              <w:bottom w:val="nil"/>
            </w:tcBorders>
            <w:shd w:val="clear" w:color="auto" w:fill="auto"/>
          </w:tcPr>
          <w:p>
            <w:pPr>
              <w:pStyle w:val="104"/>
              <w:rPr>
                <w:rFonts w:eastAsia="Calibri"/>
              </w:rPr>
            </w:pPr>
            <w:r>
              <w:rPr>
                <w:rFonts w:eastAsia="Calibri"/>
              </w:rPr>
              <w:t>Mod'n</w:t>
            </w:r>
          </w:p>
        </w:tc>
        <w:tc>
          <w:tcPr>
            <w:tcW w:w="3815" w:type="dxa"/>
            <w:gridSpan w:val="2"/>
            <w:shd w:val="clear" w:color="auto" w:fill="auto"/>
          </w:tcPr>
          <w:p>
            <w:pPr>
              <w:pStyle w:val="104"/>
              <w:rPr>
                <w:rFonts w:eastAsia="Calibri"/>
              </w:rPr>
            </w:pPr>
            <w:r>
              <w:rPr>
                <w:rFonts w:eastAsia="Calibri"/>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71" w:type="dxa"/>
            <w:tcBorders>
              <w:top w:val="nil"/>
            </w:tcBorders>
            <w:shd w:val="clear" w:color="auto" w:fill="auto"/>
          </w:tcPr>
          <w:p>
            <w:pPr>
              <w:pStyle w:val="104"/>
              <w:rPr>
                <w:rFonts w:eastAsia="Calibri"/>
              </w:rPr>
            </w:pPr>
          </w:p>
        </w:tc>
        <w:tc>
          <w:tcPr>
            <w:tcW w:w="3544" w:type="dxa"/>
            <w:gridSpan w:val="2"/>
            <w:tcBorders>
              <w:top w:val="nil"/>
              <w:bottom w:val="nil"/>
            </w:tcBorders>
            <w:shd w:val="clear" w:color="auto" w:fill="auto"/>
          </w:tcPr>
          <w:p>
            <w:pPr>
              <w:pStyle w:val="105"/>
              <w:rPr>
                <w:rFonts w:eastAsia="Calibri"/>
              </w:rPr>
            </w:pPr>
          </w:p>
        </w:tc>
        <w:tc>
          <w:tcPr>
            <w:tcW w:w="992" w:type="dxa"/>
            <w:tcBorders>
              <w:top w:val="nil"/>
            </w:tcBorders>
            <w:shd w:val="clear" w:color="auto" w:fill="auto"/>
          </w:tcPr>
          <w:p>
            <w:pPr>
              <w:pStyle w:val="104"/>
              <w:rPr>
                <w:rFonts w:eastAsia="Calibri"/>
              </w:rPr>
            </w:pPr>
          </w:p>
        </w:tc>
        <w:tc>
          <w:tcPr>
            <w:tcW w:w="1907" w:type="dxa"/>
            <w:shd w:val="clear" w:color="auto" w:fill="auto"/>
          </w:tcPr>
          <w:p>
            <w:pPr>
              <w:pStyle w:val="104"/>
              <w:rPr>
                <w:rFonts w:eastAsia="Calibri"/>
              </w:rPr>
            </w:pPr>
            <w:r>
              <w:t>FDD and HD-FDD</w:t>
            </w:r>
          </w:p>
        </w:tc>
        <w:tc>
          <w:tcPr>
            <w:tcW w:w="1908" w:type="dxa"/>
            <w:shd w:val="clear" w:color="auto" w:fill="auto"/>
          </w:tcPr>
          <w:p>
            <w:pPr>
              <w:pStyle w:val="104"/>
              <w:rPr>
                <w:rFonts w:cs="Arial"/>
                <w:szCs w:val="18"/>
              </w:rPr>
            </w:pPr>
            <w:r>
              <w:rPr>
                <w:rFonts w:cs="Arial"/>
                <w:szCs w:val="18"/>
              </w:rPr>
              <w:t>Narrowband index</w:t>
            </w:r>
          </w:p>
          <w:p>
            <w:pPr>
              <w:pStyle w:val="104"/>
              <w:rPr>
                <w:rFonts w:eastAsia="Calibri"/>
              </w:rPr>
            </w:pPr>
            <w:r>
              <w:rPr>
                <w:rFonts w:cs="Arial"/>
                <w:szCs w:val="18"/>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1271" w:type="dxa"/>
            <w:tcBorders>
              <w:top w:val="nil"/>
            </w:tcBorders>
            <w:shd w:val="clear" w:color="auto" w:fill="auto"/>
          </w:tcPr>
          <w:p>
            <w:pPr>
              <w:pStyle w:val="105"/>
              <w:rPr>
                <w:rFonts w:eastAsia="Calibri"/>
              </w:rPr>
            </w:pPr>
            <w:r>
              <w:t>1.4MHz</w:t>
            </w:r>
          </w:p>
        </w:tc>
        <w:tc>
          <w:tcPr>
            <w:tcW w:w="3544" w:type="dxa"/>
            <w:gridSpan w:val="2"/>
            <w:tcBorders>
              <w:top w:val="nil"/>
              <w:bottom w:val="nil"/>
            </w:tcBorders>
            <w:shd w:val="clear" w:color="auto" w:fill="auto"/>
          </w:tcPr>
          <w:p>
            <w:pPr>
              <w:pStyle w:val="105"/>
              <w:rPr>
                <w:rFonts w:eastAsia="Calibri"/>
              </w:rPr>
            </w:pPr>
          </w:p>
        </w:tc>
        <w:tc>
          <w:tcPr>
            <w:tcW w:w="992" w:type="dxa"/>
            <w:tcBorders>
              <w:top w:val="nil"/>
            </w:tcBorders>
            <w:shd w:val="clear" w:color="auto" w:fill="auto"/>
          </w:tcPr>
          <w:p>
            <w:pPr>
              <w:pStyle w:val="105"/>
              <w:rPr>
                <w:rFonts w:eastAsia="Calibri"/>
              </w:rPr>
            </w:pPr>
            <w:r>
              <w:t>QPSK</w:t>
            </w:r>
          </w:p>
        </w:tc>
        <w:tc>
          <w:tcPr>
            <w:tcW w:w="1907" w:type="dxa"/>
            <w:shd w:val="clear" w:color="auto" w:fill="auto"/>
          </w:tcPr>
          <w:p>
            <w:pPr>
              <w:pStyle w:val="105"/>
            </w:pPr>
            <w:r>
              <w:t>1</w:t>
            </w:r>
            <w:r>
              <w:rPr>
                <w:vertAlign w:val="superscript"/>
              </w:rPr>
              <w:t xml:space="preserve"> </w:t>
            </w:r>
            <w:r>
              <w:t>(Note 3),</w:t>
            </w:r>
          </w:p>
          <w:p>
            <w:pPr>
              <w:pStyle w:val="105"/>
              <w:rPr>
                <w:rFonts w:eastAsia="Calibri"/>
              </w:rPr>
            </w:pPr>
            <w:r>
              <w:t>2 (Note 4)</w:t>
            </w:r>
          </w:p>
        </w:tc>
        <w:tc>
          <w:tcPr>
            <w:tcW w:w="1908" w:type="dxa"/>
            <w:shd w:val="clear" w:color="auto" w:fill="auto"/>
          </w:tcPr>
          <w:p>
            <w:pPr>
              <w:pStyle w:val="105"/>
              <w:rPr>
                <w:rFonts w:eastAsia="Calibri"/>
              </w:rPr>
            </w:pPr>
            <w:r>
              <w:rPr>
                <w:rFonts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9622" w:type="dxa"/>
            <w:gridSpan w:val="6"/>
            <w:shd w:val="clear" w:color="auto" w:fill="auto"/>
          </w:tcPr>
          <w:p>
            <w:pPr>
              <w:pStyle w:val="118"/>
              <w:rPr>
                <w:rFonts w:eastAsia="Calibri"/>
              </w:rPr>
            </w:pPr>
            <w:r>
              <w:rPr>
                <w:rFonts w:eastAsia="Calibri"/>
              </w:rPr>
              <w:t>NOTE 1:</w:t>
            </w:r>
            <w:r>
              <w:rPr>
                <w:rFonts w:eastAsia="Calibri"/>
              </w:rPr>
              <w:tab/>
            </w:r>
            <w:r>
              <w:rPr>
                <w:lang w:eastAsia="zh-CN"/>
              </w:rPr>
              <w:t>Denote where in the channel bandwidth the narrowband shall be placed. Narrowband and narrowband index are defined in TS 36.211[3], 5.2.4.</w:t>
            </w:r>
          </w:p>
          <w:p>
            <w:pPr>
              <w:pStyle w:val="118"/>
              <w:rPr>
                <w:rFonts w:eastAsia="Calibri" w:cs="Arial"/>
                <w:szCs w:val="18"/>
              </w:rPr>
            </w:pPr>
            <w:r>
              <w:rPr>
                <w:rFonts w:eastAsia="Calibri"/>
              </w:rPr>
              <w:t>NOTE 2:</w:t>
            </w:r>
            <w:r>
              <w:rPr>
                <w:rFonts w:eastAsia="Calibri"/>
              </w:rPr>
              <w:tab/>
            </w:r>
            <w:r>
              <w:t>The RB</w:t>
            </w:r>
            <w:r>
              <w:rPr>
                <w:vertAlign w:val="subscript"/>
              </w:rPr>
              <w:t>start</w:t>
            </w:r>
            <w:r>
              <w:t xml:space="preserve"> of partial RB allocation shall be RB#0 of the narrowband.</w:t>
            </w:r>
          </w:p>
          <w:p>
            <w:pPr>
              <w:pStyle w:val="118"/>
            </w:pPr>
            <w:r>
              <w:rPr>
                <w:rFonts w:eastAsia="Calibri"/>
              </w:rPr>
              <w:t>NOTE 3:</w:t>
            </w:r>
            <w:r>
              <w:rPr>
                <w:rFonts w:eastAsia="Calibri"/>
              </w:rPr>
              <w:tab/>
            </w:r>
            <w:r>
              <w:t>Only applicable for Power class 3.</w:t>
            </w:r>
          </w:p>
          <w:p>
            <w:pPr>
              <w:pStyle w:val="118"/>
              <w:rPr>
                <w:rFonts w:eastAsia="Calibri"/>
              </w:rPr>
            </w:pPr>
            <w:r>
              <w:rPr>
                <w:rFonts w:eastAsia="Calibri"/>
              </w:rPr>
              <w:t>NOTE 4:</w:t>
            </w:r>
            <w:r>
              <w:rPr>
                <w:rFonts w:eastAsia="Calibri"/>
              </w:rPr>
              <w:tab/>
            </w:r>
            <w:r>
              <w:t>Only applicable for Power class 5.</w:t>
            </w:r>
          </w:p>
        </w:tc>
      </w:tr>
    </w:tbl>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ko-KR"/>
        </w:rPr>
      </w:pPr>
      <w:r>
        <w:rPr>
          <w:rFonts w:eastAsia="Malgun Gothic"/>
          <w:lang w:eastAsia="en-GB"/>
        </w:rPr>
        <w:t>3.</w:t>
      </w:r>
      <w:r>
        <w:rPr>
          <w:rFonts w:eastAsia="Malgun Gothic"/>
          <w:lang w:eastAsia="en-GB"/>
        </w:rPr>
        <w:tab/>
      </w:r>
      <w:r>
        <w:rPr>
          <w:rFonts w:eastAsia="Malgun Gothic"/>
          <w:lang w:eastAsia="en-GB"/>
        </w:rPr>
        <w:t>Downlink signals are initially set up according to TS36.521-1[14] Annex C.0, C.1, and C.3.0, and uplink signals according to TS 36.521-1[14] Annex H.1 and H.3.0.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6.2A.4.4.1-1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7.</w:t>
      </w:r>
      <w:r>
        <w:rPr>
          <w:rFonts w:hint="eastAsia" w:eastAsia="Malgun Gothic"/>
          <w:lang w:eastAsia="en-GB"/>
        </w:rPr>
        <w:tab/>
      </w:r>
      <w:r>
        <w:rPr>
          <w:rFonts w:hint="eastAsia" w:eastAsia="Malgun Gothic"/>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8.</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6.2A.4.4.3.</w:t>
      </w:r>
    </w:p>
    <w:p>
      <w:pPr>
        <w:pStyle w:val="9"/>
      </w:pPr>
      <w:r>
        <w:t>6.2A.4.4.2</w:t>
      </w:r>
      <w:r>
        <w:tab/>
      </w:r>
      <w:r>
        <w:t>Test procedure</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ko-KR"/>
        </w:rPr>
        <w:tab/>
      </w:r>
      <w:r>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Send transmit uplink power control "up" commands in every uplink scheduling information to the UE; allow at least 200ms for the UE to reach the Pumax level of the test point.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ko-KR"/>
        </w:rPr>
        <w:tab/>
      </w:r>
      <w:r>
        <w:rPr>
          <w:rFonts w:eastAsia="Malgun Gothic"/>
          <w:lang w:eastAsia="ko-KR"/>
        </w:rPr>
        <w:t xml:space="preserve">Measure the mean power of the UE in the channel bandwidth for each test point in table 6.2A.4.5-1 for power class 3 and table 6.2A.4.5-2 for </w:t>
      </w:r>
      <w:r>
        <w:rPr>
          <w:rFonts w:eastAsia="Malgun Gothic"/>
          <w:lang w:eastAsia="en-GB"/>
        </w:rPr>
        <w:t xml:space="preserve">power class 5 </w:t>
      </w:r>
      <w:r>
        <w:rPr>
          <w:rFonts w:eastAsia="Malgun Gothic"/>
          <w:lang w:eastAsia="ko-KR"/>
        </w:rPr>
        <w:t>a</w:t>
      </w:r>
      <w:r>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pPr>
        <w:pStyle w:val="9"/>
      </w:pPr>
      <w:r>
        <w:t>6.2A.4.4.3</w:t>
      </w:r>
      <w:r>
        <w:tab/>
      </w:r>
      <w:r>
        <w:rPr>
          <w:snapToGrid w:val="0"/>
        </w:rPr>
        <w:t>Message contents</w:t>
      </w:r>
    </w:p>
    <w:p>
      <w:pPr>
        <w:pStyle w:val="111"/>
        <w:ind w:left="0" w:firstLine="0"/>
        <w:rPr>
          <w:lang w:eastAsia="ja-JP"/>
        </w:rPr>
      </w:pPr>
      <w:r>
        <w:t>Message contents are according to TS 36.508 [12] subclause 4.6 with the following exception</w:t>
      </w:r>
      <w:r>
        <w:rPr>
          <w:lang w:eastAsia="ja-JP"/>
        </w:rPr>
        <w:t>s</w:t>
      </w:r>
    </w:p>
    <w:p>
      <w:pPr>
        <w:pStyle w:val="113"/>
      </w:pPr>
      <w:r>
        <w:t>Table 6.2</w:t>
      </w:r>
      <w:r>
        <w:rPr>
          <w:lang w:eastAsia="ko-KR"/>
        </w:rPr>
        <w:t>A</w:t>
      </w:r>
      <w:r>
        <w:t>.4.4.3-1: SystemInformationBlockType1-BR-r13: Test point 1 for power class 3</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6.2A.4.4.3-2: SystemInformationBlockType1-BR-r13: Test point 2 for power class 3</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pPr>
      <w:r>
        <w:t>Table 6.2A.4.4.3-3: SystemInformationBlockType1-BR-r13: Test point 3 for power class 3</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15</w:t>
            </w:r>
          </w:p>
        </w:tc>
        <w:tc>
          <w:tcPr>
            <w:tcW w:w="1700" w:type="dxa"/>
          </w:tcPr>
          <w:p>
            <w:pPr>
              <w:spacing w:after="0"/>
            </w:pPr>
          </w:p>
        </w:tc>
        <w:tc>
          <w:tcPr>
            <w:tcW w:w="1133" w:type="dxa"/>
          </w:tcPr>
          <w:p>
            <w:pPr>
              <w:pStyle w:val="103"/>
            </w:pPr>
          </w:p>
        </w:tc>
      </w:tr>
    </w:tbl>
    <w:p/>
    <w:p>
      <w:pPr>
        <w:pStyle w:val="113"/>
      </w:pPr>
      <w:r>
        <w:t>Table 6.2</w:t>
      </w:r>
      <w:r>
        <w:rPr>
          <w:lang w:eastAsia="ko-KR"/>
        </w:rPr>
        <w:t>A</w:t>
      </w:r>
      <w:r>
        <w:t>.4.4.3-4: SystemInformationBlockType1-BR-r13: Test point 1 for power class 5</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6.2A.4.4.3-5: SystemInformationBlockType1-BR-r13: Test point 2 for power class 5</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7</w:t>
            </w:r>
          </w:p>
        </w:tc>
        <w:tc>
          <w:tcPr>
            <w:tcW w:w="1700" w:type="dxa"/>
          </w:tcPr>
          <w:p>
            <w:pPr>
              <w:spacing w:after="0"/>
            </w:pPr>
          </w:p>
        </w:tc>
        <w:tc>
          <w:tcPr>
            <w:tcW w:w="1133" w:type="dxa"/>
          </w:tcPr>
          <w:p>
            <w:pPr>
              <w:pStyle w:val="103"/>
            </w:pPr>
          </w:p>
        </w:tc>
      </w:tr>
    </w:tbl>
    <w:p/>
    <w:p>
      <w:pPr>
        <w:pStyle w:val="113"/>
      </w:pPr>
      <w:r>
        <w:t>Table 6.2A.4.4.3-6: SystemInformationBlockType1-BR-r13: Test point 3 for power class 5</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4.4.3.2, Table 4.4.3.2-3A SystemInformationBlockType1-BR-r13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12</w:t>
            </w:r>
          </w:p>
        </w:tc>
        <w:tc>
          <w:tcPr>
            <w:tcW w:w="1700" w:type="dxa"/>
          </w:tcPr>
          <w:p>
            <w:pPr>
              <w:spacing w:after="0"/>
            </w:pPr>
          </w:p>
        </w:tc>
        <w:tc>
          <w:tcPr>
            <w:tcW w:w="1133" w:type="dxa"/>
          </w:tcPr>
          <w:p>
            <w:pPr>
              <w:pStyle w:val="103"/>
            </w:pPr>
          </w:p>
        </w:tc>
      </w:tr>
    </w:tbl>
    <w:p/>
    <w:p>
      <w:pPr>
        <w:pStyle w:val="9"/>
      </w:pPr>
      <w:r>
        <w:t>6.2A.4.5</w:t>
      </w:r>
      <w:r>
        <w:tab/>
      </w:r>
      <w:r>
        <w:t>Test requirements</w:t>
      </w:r>
    </w:p>
    <w:p>
      <w:pPr>
        <w:rPr>
          <w:rFonts w:cs="v5.0.0"/>
        </w:rPr>
      </w:pPr>
      <w:r>
        <w:t>The maximum output power measured shall not exceed the values specified in Table 6.2A.4.5-1 for power class 3 and Table 6.2A.4.5-2 for power class 5.</w:t>
      </w:r>
    </w:p>
    <w:p>
      <w:pPr>
        <w:pStyle w:val="113"/>
        <w:rPr>
          <w:rFonts w:cs="v5.0.0"/>
        </w:rPr>
      </w:pPr>
      <w:r>
        <w:t>Table 6.2A.4.5-1: P</w:t>
      </w:r>
      <w:r>
        <w:rPr>
          <w:vertAlign w:val="subscript"/>
        </w:rPr>
        <w:t>CMAX</w:t>
      </w:r>
      <w:r>
        <w:t xml:space="preserve"> configured UE output power for UE category M1 </w:t>
      </w:r>
      <w:bookmarkStart w:id="271" w:name="_Hlk516846333"/>
      <w:r>
        <w:t>power class 3</w:t>
      </w:r>
      <w:bookmarkEnd w:id="271"/>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pPr>
              <w:pStyle w:val="104"/>
            </w:pPr>
          </w:p>
        </w:tc>
        <w:tc>
          <w:tcPr>
            <w:tcW w:w="5869" w:type="dxa"/>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1</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2</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6.7</w:t>
            </w:r>
          </w:p>
          <w:p>
            <w:pPr>
              <w:pStyle w:val="105"/>
            </w:pPr>
            <w:r>
              <w:rPr>
                <w:rFonts w:cs="v4.2.0"/>
              </w:rPr>
              <w:t xml:space="preserve">For carrier frequency 3.0GHz &lt; f </w:t>
            </w:r>
            <w:r>
              <w:rPr>
                <w:rFonts w:cs="Arial"/>
              </w:rPr>
              <w:t>≤</w:t>
            </w:r>
            <w:r>
              <w:rPr>
                <w:rFonts w:cs="v4.2.0"/>
              </w:rPr>
              <w:t xml:space="preserve"> 4.2GHz:</w:t>
            </w:r>
            <w:r>
              <w:t xml:space="preserve"> 10 dBm ±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3</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15 dBm ± 5.7</w:t>
            </w:r>
          </w:p>
          <w:p>
            <w:pPr>
              <w:pStyle w:val="105"/>
            </w:pPr>
            <w:r>
              <w:rPr>
                <w:rFonts w:cs="v4.2.0"/>
              </w:rPr>
              <w:t xml:space="preserve">For carrier frequency 3.0GHz &lt; f </w:t>
            </w:r>
            <w:r>
              <w:rPr>
                <w:rFonts w:cs="Arial"/>
              </w:rPr>
              <w:t>≤</w:t>
            </w:r>
            <w:r>
              <w:rPr>
                <w:rFonts w:cs="v4.2.0"/>
              </w:rPr>
              <w:t xml:space="preserve"> 4.2GHz:</w:t>
            </w:r>
            <w:r>
              <w:t xml:space="preserve"> 15 dBm ± 6.0</w:t>
            </w:r>
          </w:p>
        </w:tc>
      </w:tr>
    </w:tbl>
    <w:p>
      <w:pPr>
        <w:rPr>
          <w:lang w:eastAsia="ko-KR"/>
        </w:rPr>
      </w:pPr>
    </w:p>
    <w:p>
      <w:pPr>
        <w:pStyle w:val="113"/>
        <w:rPr>
          <w:rFonts w:cs="v5.0.0"/>
        </w:rPr>
      </w:pPr>
      <w:r>
        <w:t>Table 6.2A.4.5-2: P</w:t>
      </w:r>
      <w:r>
        <w:rPr>
          <w:vertAlign w:val="subscript"/>
        </w:rPr>
        <w:t>CMAX</w:t>
      </w:r>
      <w:r>
        <w:t xml:space="preserve"> configured UE output power for UE category M1 power class 5</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pPr>
              <w:pStyle w:val="104"/>
            </w:pPr>
          </w:p>
        </w:tc>
        <w:tc>
          <w:tcPr>
            <w:tcW w:w="5869" w:type="dxa"/>
          </w:tcPr>
          <w:p>
            <w:pPr>
              <w:pStyle w:val="104"/>
            </w:pPr>
            <w:r>
              <w:t>Channel bandwidth / 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1</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-10 dBm ± 7.7</w:t>
            </w:r>
          </w:p>
          <w:p>
            <w:pPr>
              <w:pStyle w:val="105"/>
            </w:pPr>
            <w:r>
              <w:rPr>
                <w:rFonts w:cs="v4.2.0"/>
              </w:rPr>
              <w:t xml:space="preserve">For carrier frequency 3.0GHz &lt; f </w:t>
            </w:r>
            <w:r>
              <w:rPr>
                <w:rFonts w:cs="Arial"/>
              </w:rPr>
              <w:t>≤</w:t>
            </w:r>
            <w:r>
              <w:rPr>
                <w:rFonts w:cs="v4.2.0"/>
              </w:rPr>
              <w:t xml:space="preserve"> 4.2GHz:</w:t>
            </w:r>
            <w:r>
              <w:t xml:space="preserve"> -10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2</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7 dBm ± 7.7</w:t>
            </w:r>
          </w:p>
          <w:p>
            <w:pPr>
              <w:pStyle w:val="105"/>
            </w:pPr>
            <w:r>
              <w:rPr>
                <w:rFonts w:cs="v4.2.0"/>
              </w:rPr>
              <w:t xml:space="preserve">For carrier frequency 3.0GHz &lt; f </w:t>
            </w:r>
            <w:r>
              <w:rPr>
                <w:rFonts w:cs="Arial"/>
              </w:rPr>
              <w:t>≤</w:t>
            </w:r>
            <w:r>
              <w:rPr>
                <w:rFonts w:cs="v4.2.0"/>
              </w:rPr>
              <w:t xml:space="preserve"> 4.2GHz:</w:t>
            </w:r>
            <w:r>
              <w:t xml:space="preserve"> 7 dBm ± 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3"/>
            </w:pPr>
            <w:r>
              <w:t>Measured UE output power test point 3</w:t>
            </w:r>
          </w:p>
        </w:tc>
        <w:tc>
          <w:tcPr>
            <w:tcW w:w="5869" w:type="dxa"/>
            <w:vAlign w:val="center"/>
          </w:tcPr>
          <w:p>
            <w:pPr>
              <w:pStyle w:val="105"/>
            </w:pPr>
            <w:r>
              <w:rPr>
                <w:rFonts w:cs="v4.2.0"/>
              </w:rPr>
              <w:t xml:space="preserve">For carrier frequency f </w:t>
            </w:r>
            <w:r>
              <w:rPr>
                <w:rFonts w:cs="Arial"/>
              </w:rPr>
              <w:t>≤</w:t>
            </w:r>
            <w:r>
              <w:rPr>
                <w:rFonts w:cs="v4.2.0"/>
              </w:rPr>
              <w:t xml:space="preserve"> 3.0GHz:</w:t>
            </w:r>
            <w:r>
              <w:t xml:space="preserve"> 12 dBm ± 6.7</w:t>
            </w:r>
          </w:p>
          <w:p>
            <w:pPr>
              <w:pStyle w:val="105"/>
            </w:pPr>
            <w:r>
              <w:rPr>
                <w:rFonts w:cs="v4.2.0"/>
              </w:rPr>
              <w:t xml:space="preserve">For carrier frequency 3.0GHz &lt; f </w:t>
            </w:r>
            <w:r>
              <w:rPr>
                <w:rFonts w:cs="Arial"/>
              </w:rPr>
              <w:t>≤</w:t>
            </w:r>
            <w:r>
              <w:rPr>
                <w:rFonts w:cs="v4.2.0"/>
              </w:rPr>
              <w:t xml:space="preserve"> 4.2GHz:</w:t>
            </w:r>
            <w:r>
              <w:t xml:space="preserve"> 12 dBm ± 7.0</w:t>
            </w:r>
          </w:p>
        </w:tc>
      </w:tr>
    </w:tbl>
    <w:p>
      <w:pPr>
        <w:rPr>
          <w:lang w:eastAsia="zh-CN"/>
        </w:rPr>
      </w:pPr>
    </w:p>
    <w:p>
      <w:pPr>
        <w:pStyle w:val="4"/>
      </w:pPr>
      <w:bookmarkStart w:id="272" w:name="_Toc120570029"/>
      <w:bookmarkStart w:id="273" w:name="_Toc10540"/>
      <w:bookmarkStart w:id="274" w:name="_Toc30671"/>
      <w:bookmarkStart w:id="275" w:name="_Toc121162821"/>
      <w:bookmarkStart w:id="276" w:name="_Toc7398"/>
      <w:r>
        <w:t>6.2B</w:t>
      </w:r>
      <w:r>
        <w:tab/>
      </w:r>
      <w:r>
        <w:t>Transmit power for category NB1 and NB2</w:t>
      </w:r>
      <w:bookmarkEnd w:id="272"/>
      <w:bookmarkEnd w:id="273"/>
      <w:bookmarkEnd w:id="274"/>
      <w:bookmarkEnd w:id="275"/>
      <w:bookmarkEnd w:id="276"/>
    </w:p>
    <w:p>
      <w:pPr>
        <w:pStyle w:val="5"/>
        <w:rPr>
          <w:lang w:val="en-US"/>
        </w:rPr>
      </w:pPr>
      <w:bookmarkStart w:id="277" w:name="_Toc120570030"/>
      <w:bookmarkStart w:id="278" w:name="_Toc23187"/>
      <w:bookmarkStart w:id="279" w:name="_Toc4921"/>
      <w:bookmarkStart w:id="280" w:name="_Toc31560"/>
      <w:bookmarkStart w:id="281" w:name="_Toc121162822"/>
      <w:r>
        <w:t>6.2B.1</w:t>
      </w:r>
      <w:r>
        <w:tab/>
      </w:r>
      <w:r>
        <w:rPr>
          <w:lang w:eastAsia="zh-CN"/>
        </w:rPr>
        <w:t xml:space="preserve">UE </w:t>
      </w:r>
      <w:r>
        <w:t xml:space="preserve">maximum output power for category </w:t>
      </w:r>
      <w:r>
        <w:rPr>
          <w:lang w:val="en-US"/>
        </w:rPr>
        <w:t>NB1 and NB2</w:t>
      </w:r>
      <w:bookmarkEnd w:id="277"/>
      <w:bookmarkEnd w:id="278"/>
      <w:bookmarkEnd w:id="279"/>
      <w:bookmarkEnd w:id="280"/>
      <w:bookmarkEnd w:id="281"/>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conditions and call setup procedure to support satellite access are TBD</w:t>
      </w:r>
    </w:p>
    <w:p>
      <w:pPr>
        <w:pStyle w:val="112"/>
      </w:pPr>
    </w:p>
    <w:p>
      <w:pPr>
        <w:pStyle w:val="9"/>
      </w:pPr>
      <w:r>
        <w:t>6.2B.1.1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w:t>
      </w:r>
    </w:p>
    <w:p>
      <w:r>
        <w:t>An excess maximum output power has the possibility to interfere to other channels or other systems. A small maximum output power decreases the coverage area.</w:t>
      </w:r>
    </w:p>
    <w:p>
      <w:pPr>
        <w:pStyle w:val="9"/>
      </w:pPr>
      <w:r>
        <w:t>6.2B.1.2</w:t>
      </w:r>
      <w:r>
        <w:tab/>
      </w:r>
      <w: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w:t>
      </w:r>
      <w:r>
        <w:rPr>
          <w:lang w:eastAsia="zh-CN"/>
        </w:rPr>
        <w:t>2</w:t>
      </w:r>
      <w:r>
        <w:t xml:space="preserve"> that support satellite access operation.</w:t>
      </w:r>
    </w:p>
    <w:p>
      <w:pPr>
        <w:pStyle w:val="9"/>
      </w:pPr>
      <w:r>
        <w:t>6.2B.1.3</w:t>
      </w:r>
      <w:r>
        <w:tab/>
      </w:r>
      <w:r>
        <w:t>Minimum conformance requirements</w:t>
      </w:r>
    </w:p>
    <w:p>
      <w:r>
        <w:rPr>
          <w:rFonts w:cs="v5.0.0"/>
        </w:rPr>
        <w:t xml:space="preserve">Category NB1 </w:t>
      </w:r>
      <w:r>
        <w:rPr>
          <w:rFonts w:cs="v5.0.0"/>
          <w:lang w:eastAsia="zh-CN"/>
        </w:rPr>
        <w:t xml:space="preserve">and NB2 </w:t>
      </w:r>
      <w:r>
        <w:rPr>
          <w:rFonts w:cs="v5.0.0"/>
        </w:rPr>
        <w:t>UE Power Classes are specified in Table 6.2B</w:t>
      </w:r>
      <w:r>
        <w:rPr>
          <w:rFonts w:cs="v5.0.0"/>
          <w:lang w:eastAsia="zh-CN"/>
        </w:rPr>
        <w:t>.1.3</w:t>
      </w:r>
      <w:r>
        <w:rPr>
          <w:rFonts w:cs="v5.0.0"/>
        </w:rPr>
        <w:t xml:space="preserve">-1 and define the maximum output power for </w:t>
      </w:r>
      <w:r>
        <w:t xml:space="preserve">any transmission bandwidth within the category NB1 </w:t>
      </w:r>
      <w:r>
        <w:rPr>
          <w:lang w:eastAsia="zh-CN"/>
        </w:rPr>
        <w:t xml:space="preserve">and NB2 </w:t>
      </w:r>
      <w:r>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pPr>
        <w:pStyle w:val="113"/>
      </w:pPr>
      <w:r>
        <w:t>Table 6.2B.1.3-1: UE Power Class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p>
      <w:pPr>
        <w:rPr>
          <w:lang w:eastAsia="ja-JP"/>
        </w:rPr>
      </w:pPr>
      <w:r>
        <w:t>The normative reference for this requirement is TS 36.102 [11] clause 6.2B.1.</w:t>
      </w:r>
    </w:p>
    <w:p>
      <w:pPr>
        <w:pStyle w:val="9"/>
      </w:pPr>
      <w:r>
        <w:t>6.2B.1.4</w:t>
      </w:r>
      <w:r>
        <w:tab/>
      </w:r>
      <w:r>
        <w:t>Test description</w:t>
      </w:r>
    </w:p>
    <w:p>
      <w:pPr>
        <w:pStyle w:val="9"/>
      </w:pPr>
      <w:r>
        <w:t>6.2B.1.4.1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TW"/>
        </w:rPr>
      </w:pPr>
      <w:r>
        <w:t>Table 6.2B.1.4.1-1: Test Configuration Initial Conditions</w:t>
      </w:r>
      <w:r>
        <w:rPr>
          <w:lang w:eastAsia="zh-TW"/>
        </w:rPr>
        <w:t xml:space="preserve"> for FDD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BPSK</w:t>
            </w:r>
          </w:p>
        </w:tc>
        <w:tc>
          <w:tcPr>
            <w:tcW w:w="1701" w:type="dxa"/>
          </w:tcPr>
          <w:p>
            <w:pPr>
              <w:pStyle w:val="105"/>
              <w:rPr>
                <w:rFonts w:eastAsia="微软雅黑" w:cs="Arial"/>
                <w:szCs w:val="18"/>
                <w:lang w:eastAsia="zh-CN"/>
              </w:rPr>
            </w:pPr>
            <w:r>
              <w:t>1@47</w:t>
            </w:r>
          </w:p>
        </w:tc>
        <w:tc>
          <w:tcPr>
            <w:tcW w:w="1952" w:type="dxa"/>
          </w:tcPr>
          <w:p>
            <w:pPr>
              <w:pStyle w:val="105"/>
              <w:rPr>
                <w:rFonts w:eastAsia="微软雅黑" w:cs="Arial"/>
                <w:szCs w:val="18"/>
                <w:lang w:eastAsia="zh-CN"/>
              </w:rP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3 (Note 2)</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4 (Note 3)</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1@11</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5 (Note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pPr>
            <w:r>
              <w:t>NOTE 1:</w:t>
            </w:r>
            <w:r>
              <w:tab/>
            </w:r>
            <w:r>
              <w:t>Applicable to UE supporting UL multi-tone transmissions.</w:t>
            </w:r>
          </w:p>
          <w:p>
            <w:pPr>
              <w:pStyle w:val="118"/>
            </w:pPr>
            <w:r>
              <w:t>NOTE 2:</w:t>
            </w:r>
            <w:r>
              <w:tab/>
            </w:r>
            <w:r>
              <w:t>only applicable for low range.</w:t>
            </w:r>
          </w:p>
          <w:p>
            <w:pPr>
              <w:pStyle w:val="118"/>
              <w:rPr>
                <w:rFonts w:eastAsiaTheme="minorEastAsia"/>
                <w:lang w:eastAsia="zh-CN"/>
              </w:rPr>
            </w:pPr>
            <w:r>
              <w:t>NOTE 3:</w:t>
            </w:r>
            <w:r>
              <w:tab/>
            </w:r>
            <w:r>
              <w:t>only applicable for high range.</w:t>
            </w:r>
          </w:p>
        </w:tc>
      </w:tr>
    </w:tbl>
    <w:p>
      <w:pPr>
        <w:pStyle w:val="111"/>
        <w:ind w:left="0" w:firstLine="0"/>
      </w:pP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1.</w:t>
      </w:r>
      <w:r>
        <w:rPr>
          <w:rFonts w:eastAsia="Malgun Gothic"/>
          <w:lang w:eastAsia="en-GB"/>
        </w:rPr>
        <w:tab/>
      </w:r>
      <w:r>
        <w:rPr>
          <w:rFonts w:eastAsia="Malgun Gothic"/>
          <w:lang w:eastAsia="en-GB"/>
        </w:rPr>
        <w:t xml:space="preserve">Connect the SS to the UE antenna connectors as shown in </w:t>
      </w:r>
      <w:r>
        <w:rPr>
          <w:rFonts w:eastAsia="Malgun Gothic"/>
          <w:lang w:eastAsia="zh-CN"/>
        </w:rPr>
        <w:t>TS 36.508 [12] Annex A Figure A.3 using only the main UE Tx/Rx antenna.</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2.</w:t>
      </w:r>
      <w:r>
        <w:rPr>
          <w:rFonts w:eastAsia="Malgun Gothic"/>
          <w:lang w:eastAsia="en-GB"/>
        </w:rPr>
        <w:tab/>
      </w:r>
      <w:r>
        <w:rPr>
          <w:rFonts w:eastAsia="Malgun Gothic"/>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3.</w:t>
      </w:r>
      <w:r>
        <w:rPr>
          <w:rFonts w:eastAsia="Malgun Gothic"/>
          <w:lang w:eastAsia="en-GB"/>
        </w:rPr>
        <w:tab/>
      </w:r>
      <w:r>
        <w:rPr>
          <w:rFonts w:eastAsia="Malgun Gothic"/>
          <w:lang w:eastAsia="en-GB"/>
        </w:rPr>
        <w:t>Downlink signals are initially set up according to TS 36.521 Annex C.0, C.1, and C.3.0, and uplink signals according to Annex H.1.1 and H.4.0.</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4.</w:t>
      </w:r>
      <w:r>
        <w:rPr>
          <w:rFonts w:eastAsia="Malgun Gothic"/>
          <w:lang w:eastAsia="en-GB"/>
        </w:rPr>
        <w:tab/>
      </w:r>
      <w:r>
        <w:rPr>
          <w:rFonts w:eastAsia="Malgun Gothic"/>
          <w:lang w:eastAsia="en-GB"/>
        </w:rPr>
        <w:t>The UL Reference Measurement channel is set according to Table 6.2B.1.4.1-1.</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en-GB"/>
        </w:rPr>
        <w:t>5.</w:t>
      </w:r>
      <w:r>
        <w:rPr>
          <w:rFonts w:eastAsia="Malgun Gothic"/>
          <w:lang w:eastAsia="en-GB"/>
        </w:rPr>
        <w:tab/>
      </w:r>
      <w:r>
        <w:rPr>
          <w:rFonts w:eastAsia="Malgun Gothic"/>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7.</w:t>
      </w:r>
      <w:r>
        <w:rPr>
          <w:rFonts w:hint="eastAsia" w:eastAsia="Malgun Gothic"/>
          <w:lang w:eastAsia="en-GB"/>
        </w:rPr>
        <w:tab/>
      </w:r>
      <w:r>
        <w:rPr>
          <w:rFonts w:hint="eastAsia" w:eastAsia="Malgun Gothic"/>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8.</w:t>
      </w:r>
      <w:r>
        <w:rPr>
          <w:rFonts w:hint="eastAsia" w:eastAsia="Malgun Gothic"/>
          <w:lang w:eastAsia="en-GB"/>
        </w:rPr>
        <w:tab/>
      </w:r>
      <w:r>
        <w:rPr>
          <w:rFonts w:hint="eastAsia" w:eastAsia="Malgun Gothic"/>
          <w:lang w:eastAsia="en-GB"/>
        </w:rPr>
        <w:t>Ensure the UE is in State 2A-NB with CP CIoT Optimisation according to TS 36.508 [12] clause 8.1.5. Message contents are defined in clause 6.2B.1.4.3.</w:t>
      </w:r>
    </w:p>
    <w:p>
      <w:pPr>
        <w:pStyle w:val="9"/>
      </w:pPr>
      <w:r>
        <w:t>6.2B.1.4.2</w:t>
      </w:r>
      <w:r>
        <w:tab/>
      </w:r>
      <w:r>
        <w:t>Test procedure</w:t>
      </w:r>
    </w:p>
    <w:p>
      <w:pPr>
        <w:pStyle w:val="111"/>
        <w:overflowPunct w:val="0"/>
        <w:autoSpaceDE w:val="0"/>
        <w:autoSpaceDN w:val="0"/>
        <w:adjustRightInd w:val="0"/>
        <w:contextualSpacing w:val="0"/>
        <w:textAlignment w:val="baseline"/>
      </w:pPr>
      <w:r>
        <w:t>1.</w:t>
      </w:r>
      <w:r>
        <w:tab/>
      </w:r>
      <w:r>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Pr>
          <w:vertAlign w:val="subscript"/>
        </w:rPr>
        <w:t>UMAX</w:t>
      </w:r>
      <w:r>
        <w:t xml:space="preserve"> after Initial Conditions setting).</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Pr>
          <w:lang w:eastAsia="zh-TW"/>
        </w:rPr>
        <w:t>. For</w:t>
      </w:r>
      <w:r>
        <w:t xml:space="preserve"> Half-Duplex guard subframes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6.2B.1.4.3</w:t>
      </w:r>
      <w:r>
        <w:tab/>
      </w:r>
      <w:r>
        <w:t>Message contents</w:t>
      </w:r>
    </w:p>
    <w:p>
      <w:pPr>
        <w:rPr>
          <w:lang w:val="en-US" w:eastAsia="zh-CN"/>
        </w:rPr>
      </w:pPr>
      <w:r>
        <w:t>Message contents are according to TS 36.508 [12] subclause 8.1.6.</w:t>
      </w:r>
    </w:p>
    <w:p>
      <w:pPr>
        <w:pStyle w:val="9"/>
      </w:pPr>
      <w:r>
        <w:t>6.2B.1.5</w:t>
      </w:r>
      <w:r>
        <w:tab/>
      </w:r>
      <w:r>
        <w:t>Test requirements</w:t>
      </w:r>
    </w:p>
    <w:p>
      <w:r>
        <w:t>The maximum output power derived in step 2 shall be within the range prescribed by the nominal maximum output power and tolerance in Table 6.2B.1.5-1.</w:t>
      </w:r>
    </w:p>
    <w:p>
      <w:pPr>
        <w:pStyle w:val="113"/>
      </w:pPr>
      <w:r>
        <w:t>Table 6.2B.1.5-1: UE Power Class test requirement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008"/>
        <w:gridCol w:w="1067"/>
        <w:gridCol w:w="1008"/>
        <w:gridCol w:w="1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4"/>
              <w:rPr>
                <w:lang w:eastAsia="ja-JP"/>
              </w:rPr>
            </w:pPr>
            <w:r>
              <w:rPr>
                <w:lang w:eastAsia="ja-JP"/>
              </w:rPr>
              <w:t>EUTRA band</w:t>
            </w:r>
          </w:p>
        </w:tc>
        <w:tc>
          <w:tcPr>
            <w:tcW w:w="1008" w:type="dxa"/>
          </w:tcPr>
          <w:p>
            <w:pPr>
              <w:pStyle w:val="104"/>
              <w:rPr>
                <w:lang w:eastAsia="ja-JP"/>
              </w:rPr>
            </w:pPr>
            <w:r>
              <w:rPr>
                <w:lang w:eastAsia="ja-JP"/>
              </w:rPr>
              <w:t>Class 3 (dBm)</w:t>
            </w:r>
          </w:p>
        </w:tc>
        <w:tc>
          <w:tcPr>
            <w:tcW w:w="1067" w:type="dxa"/>
          </w:tcPr>
          <w:p>
            <w:pPr>
              <w:pStyle w:val="104"/>
              <w:rPr>
                <w:lang w:eastAsia="ja-JP"/>
              </w:rPr>
            </w:pPr>
            <w:r>
              <w:rPr>
                <w:lang w:eastAsia="ja-JP"/>
              </w:rPr>
              <w:t>Tolerance (dB)</w:t>
            </w:r>
          </w:p>
        </w:tc>
        <w:tc>
          <w:tcPr>
            <w:tcW w:w="1008" w:type="dxa"/>
          </w:tcPr>
          <w:p>
            <w:pPr>
              <w:pStyle w:val="104"/>
              <w:rPr>
                <w:lang w:eastAsia="ja-JP"/>
              </w:rPr>
            </w:pPr>
            <w:r>
              <w:rPr>
                <w:lang w:eastAsia="ja-JP"/>
              </w:rPr>
              <w:t>Class 5 (dBm)</w:t>
            </w:r>
          </w:p>
        </w:tc>
        <w:tc>
          <w:tcPr>
            <w:tcW w:w="1067" w:type="dxa"/>
          </w:tcPr>
          <w:p>
            <w:pPr>
              <w:pStyle w:val="104"/>
              <w:rPr>
                <w:lang w:eastAsia="ja-JP"/>
              </w:rPr>
            </w:pPr>
            <w:r>
              <w:rPr>
                <w:lang w:eastAsia="ja-JP"/>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56</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23" w:type="dxa"/>
            <w:vAlign w:val="center"/>
          </w:tcPr>
          <w:p>
            <w:pPr>
              <w:pStyle w:val="105"/>
              <w:rPr>
                <w:rFonts w:cs="Arial"/>
                <w:lang w:eastAsia="zh-TW"/>
              </w:rPr>
            </w:pPr>
            <w:r>
              <w:rPr>
                <w:rFonts w:hint="eastAsia" w:cs="Arial"/>
                <w:lang w:eastAsia="zh-TW"/>
              </w:rPr>
              <w:t>2</w:t>
            </w:r>
            <w:r>
              <w:rPr>
                <w:rFonts w:cs="Arial"/>
                <w:lang w:eastAsia="zh-TW"/>
              </w:rPr>
              <w:t>55</w:t>
            </w:r>
          </w:p>
        </w:tc>
        <w:tc>
          <w:tcPr>
            <w:tcW w:w="1008" w:type="dxa"/>
          </w:tcPr>
          <w:p>
            <w:pPr>
              <w:pStyle w:val="105"/>
              <w:rPr>
                <w:rFonts w:cs="Arial"/>
                <w:lang w:eastAsia="ja-JP"/>
              </w:rPr>
            </w:pPr>
            <w:r>
              <w:rPr>
                <w:rFonts w:cs="Arial"/>
                <w:lang w:eastAsia="ja-JP"/>
              </w:rPr>
              <w:t>23</w:t>
            </w:r>
          </w:p>
        </w:tc>
        <w:tc>
          <w:tcPr>
            <w:tcW w:w="1067" w:type="dxa"/>
          </w:tcPr>
          <w:p>
            <w:pPr>
              <w:pStyle w:val="105"/>
              <w:rPr>
                <w:rFonts w:cs="Arial"/>
                <w:lang w:eastAsia="ja-JP"/>
              </w:rPr>
            </w:pPr>
            <w:r>
              <w:rPr>
                <w:rFonts w:cs="Arial"/>
              </w:rPr>
              <w:t>+/-2</w:t>
            </w:r>
          </w:p>
        </w:tc>
        <w:tc>
          <w:tcPr>
            <w:tcW w:w="1008" w:type="dxa"/>
          </w:tcPr>
          <w:p>
            <w:pPr>
              <w:pStyle w:val="105"/>
              <w:rPr>
                <w:rFonts w:cs="Arial"/>
                <w:lang w:eastAsia="zh-TW"/>
              </w:rPr>
            </w:pPr>
            <w:r>
              <w:rPr>
                <w:rFonts w:hint="eastAsia" w:cs="Arial"/>
                <w:lang w:eastAsia="zh-TW"/>
              </w:rPr>
              <w:t>2</w:t>
            </w:r>
            <w:r>
              <w:rPr>
                <w:rFonts w:cs="Arial"/>
                <w:lang w:eastAsia="zh-TW"/>
              </w:rPr>
              <w:t>0</w:t>
            </w:r>
          </w:p>
        </w:tc>
        <w:tc>
          <w:tcPr>
            <w:tcW w:w="1067" w:type="dxa"/>
          </w:tcPr>
          <w:p>
            <w:pPr>
              <w:pStyle w:val="105"/>
              <w:rPr>
                <w:rFonts w:cs="Arial"/>
                <w:lang w:eastAsia="ja-JP"/>
              </w:rPr>
            </w:pPr>
            <w:r>
              <w:rPr>
                <w:rFonts w:cs="Arial"/>
              </w:rPr>
              <w:t>+/-2</w:t>
            </w:r>
          </w:p>
        </w:tc>
      </w:tr>
    </w:tbl>
    <w:p/>
    <w:bookmarkEnd w:id="266"/>
    <w:bookmarkEnd w:id="267"/>
    <w:p>
      <w:pPr>
        <w:pStyle w:val="5"/>
        <w:rPr>
          <w:lang w:eastAsia="zh-CN"/>
        </w:rPr>
      </w:pPr>
      <w:bookmarkStart w:id="282" w:name="_Toc20139"/>
      <w:bookmarkStart w:id="283" w:name="_Toc121162823"/>
      <w:bookmarkStart w:id="284" w:name="_Toc6222"/>
      <w:bookmarkStart w:id="285" w:name="_Toc2654"/>
      <w:bookmarkStart w:id="286" w:name="_Toc120570031"/>
      <w:bookmarkStart w:id="287" w:name="_Toc111062036"/>
      <w:r>
        <w:t>6.2B.2</w:t>
      </w:r>
      <w:r>
        <w:rPr>
          <w:lang w:eastAsia="zh-CN"/>
        </w:rPr>
        <w:tab/>
      </w:r>
      <w:r>
        <w:t>UE m</w:t>
      </w:r>
      <w:r>
        <w:rPr>
          <w:lang w:eastAsia="zh-CN"/>
        </w:rPr>
        <w:t xml:space="preserve">aximum output power reduction </w:t>
      </w:r>
      <w:r>
        <w:t xml:space="preserve">for </w:t>
      </w:r>
      <w:r>
        <w:rPr>
          <w:lang w:eastAsia="zh-CN"/>
        </w:rPr>
        <w:t>category NB1 and NB2</w:t>
      </w:r>
      <w:bookmarkEnd w:id="282"/>
      <w:bookmarkEnd w:id="283"/>
      <w:bookmarkEnd w:id="284"/>
      <w:bookmarkEnd w:id="285"/>
      <w:bookmarkEnd w:id="286"/>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conditions and call setup procedure to support satellite access are TBD</w:t>
      </w:r>
    </w:p>
    <w:p>
      <w:pPr>
        <w:pStyle w:val="112"/>
      </w:pPr>
    </w:p>
    <w:p>
      <w:pPr>
        <w:pStyle w:val="9"/>
      </w:pPr>
      <w:r>
        <w:t>6.2B.2.1</w:t>
      </w:r>
      <w:r>
        <w:tab/>
      </w:r>
      <w:r>
        <w:t>Test purpose</w:t>
      </w:r>
    </w:p>
    <w:p>
      <w:r>
        <w:t xml:space="preserve">To verify that the error of the UE maximum output power does not exceed the range prescribed by the </w:t>
      </w:r>
      <w:r>
        <w:rPr>
          <w:lang w:eastAsia="ja-JP"/>
        </w:rPr>
        <w:t xml:space="preserve">specified </w:t>
      </w:r>
      <w:r>
        <w:t>nominal maximum output power and tolerance covering configurations where a maximum power reduction is allowed in the UE.</w:t>
      </w:r>
    </w:p>
    <w:p>
      <w:r>
        <w:t>An excess maximum output power has the possibility to interfere to other channels or other systems. A small maximum output power decreases the coverage area.</w:t>
      </w:r>
    </w:p>
    <w:p>
      <w:pPr>
        <w:pStyle w:val="9"/>
      </w:pPr>
      <w:r>
        <w:t>6.2B.2.2</w:t>
      </w:r>
      <w:r>
        <w:tab/>
      </w:r>
      <w:r>
        <w:t>Test applicability</w:t>
      </w:r>
    </w:p>
    <w:p>
      <w:r>
        <w:t>The requirements of this test apply in test case 6.6.2.3F Adjacent Channel Leakage power Ratio for category NB1 and NB</w:t>
      </w:r>
      <w:r>
        <w:rPr>
          <w:lang w:eastAsia="zh-CN"/>
        </w:rPr>
        <w:t>2</w:t>
      </w:r>
      <w:r>
        <w:t xml:space="preserve"> to all types of NB-IoT FDD UE release 1</w:t>
      </w:r>
      <w:r>
        <w:rPr>
          <w:lang w:eastAsia="zh-CN"/>
        </w:rPr>
        <w:t xml:space="preserve">7 </w:t>
      </w:r>
      <w:r>
        <w:t>and forward of category NB</w:t>
      </w:r>
      <w:r>
        <w:rPr>
          <w:lang w:eastAsia="zh-CN"/>
        </w:rPr>
        <w:t>2 that support satellite access operation</w:t>
      </w:r>
      <w:r>
        <w:t>.</w:t>
      </w:r>
    </w:p>
    <w:p>
      <w:pPr>
        <w:pStyle w:val="9"/>
      </w:pPr>
      <w:r>
        <w:t>6.2B.2.3</w:t>
      </w:r>
      <w:r>
        <w:tab/>
      </w:r>
      <w:r>
        <w:t>Minimum conformance requirements</w:t>
      </w:r>
    </w:p>
    <w:p>
      <w:pPr>
        <w:rPr>
          <w:snapToGrid w:val="0"/>
        </w:rPr>
      </w:pPr>
      <w:r>
        <w:t>For UE category NB1 power class 3 and 5 the allowed Maximum Power Reduction (MPR) for the maximum output power given in Table 6.2B.1.3-1 is specified in Table 6.2B.2.3-1.</w:t>
      </w:r>
    </w:p>
    <w:p>
      <w:pPr>
        <w:pStyle w:val="113"/>
      </w:pPr>
      <w:r>
        <w:t>Table 6.2B.2.3-1: Maximum Power Reduction (MPR) for UE category NB1 and NB2 Power Class 3 and 5</w:t>
      </w:r>
    </w:p>
    <w:tbl>
      <w:tblPr>
        <w:tblStyle w:val="89"/>
        <w:tblW w:w="0" w:type="auto"/>
        <w:jc w:val="center"/>
        <w:tblLayout w:type="autofit"/>
        <w:tblCellMar>
          <w:top w:w="0" w:type="dxa"/>
          <w:left w:w="108" w:type="dxa"/>
          <w:bottom w:w="0" w:type="dxa"/>
          <w:right w:w="108" w:type="dxa"/>
        </w:tblCellMar>
      </w:tblPr>
      <w:tblGrid>
        <w:gridCol w:w="3507"/>
        <w:gridCol w:w="886"/>
        <w:gridCol w:w="569"/>
        <w:gridCol w:w="568"/>
        <w:gridCol w:w="886"/>
      </w:tblGrid>
      <w:tr>
        <w:tblPrEx>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Modulation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QPSK</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3 Tones allocation</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0-2</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3-5 and 6-8</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9-11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c>
          <w:tcPr>
            <w:tcW w:w="0" w:type="auto"/>
            <w:gridSpan w:val="2"/>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 dB</w:t>
            </w:r>
          </w:p>
        </w:tc>
        <w:tc>
          <w:tcPr>
            <w:tcW w:w="0" w:type="auto"/>
            <w:tcBorders>
              <w:top w:val="nil"/>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0.5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6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0-5 and 6-11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cs="Arial"/>
                <w:lang w:val="en-US" w:eastAsia="ja-JP"/>
              </w:rPr>
            </w:pPr>
            <w:r>
              <w:rPr>
                <w:rFonts w:cs="Arial"/>
                <w:lang w:val="en-US" w:eastAsia="ja-JP"/>
              </w:rPr>
              <w:t>MPR</w:t>
            </w:r>
          </w:p>
        </w:tc>
        <w:tc>
          <w:tcPr>
            <w:tcW w:w="0" w:type="auto"/>
            <w:gridSpan w:val="2"/>
            <w:tcBorders>
              <w:top w:val="single" w:color="auto" w:sz="4" w:space="0"/>
              <w:left w:val="nil"/>
              <w:bottom w:val="single" w:color="auto" w:sz="4" w:space="0"/>
              <w:right w:val="single" w:color="000000" w:sz="4" w:space="0"/>
            </w:tcBorders>
            <w:shd w:val="clear" w:color="auto" w:fill="auto"/>
            <w:noWrap/>
            <w:vAlign w:val="center"/>
          </w:tcPr>
          <w:p>
            <w:pPr>
              <w:pStyle w:val="105"/>
              <w:rPr>
                <w:rFonts w:cs="Arial"/>
                <w:lang w:val="en-US" w:eastAsia="ja-JP"/>
              </w:rPr>
            </w:pPr>
            <w:r>
              <w:rPr>
                <w:rFonts w:cs="Arial"/>
                <w:lang w:val="en-US" w:eastAsia="ja-JP"/>
              </w:rPr>
              <w:t>≤ 1 dB</w:t>
            </w:r>
          </w:p>
        </w:tc>
        <w:tc>
          <w:tcPr>
            <w:tcW w:w="0" w:type="auto"/>
            <w:gridSpan w:val="2"/>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1 dB</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vAlign w:val="center"/>
          </w:tcPr>
          <w:p>
            <w:pPr>
              <w:pStyle w:val="104"/>
              <w:rPr>
                <w:rFonts w:cs="Arial"/>
                <w:lang w:val="en-US" w:eastAsia="ja-JP"/>
              </w:rPr>
            </w:pPr>
            <w:r>
              <w:rPr>
                <w:rFonts w:cs="Arial"/>
                <w:lang w:val="en-US" w:eastAsia="ja-JP"/>
              </w:rPr>
              <w:t>Tone positions for 12 Tones allocation</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0-11</w:t>
            </w:r>
          </w:p>
        </w:tc>
      </w:tr>
      <w:tr>
        <w:tblPrEx>
          <w:tblCellMar>
            <w:top w:w="0" w:type="dxa"/>
            <w:left w:w="108" w:type="dxa"/>
            <w:bottom w:w="0" w:type="dxa"/>
            <w:right w:w="108" w:type="dxa"/>
          </w:tblCellMar>
        </w:tblPrEx>
        <w:trPr>
          <w:jc w:val="center"/>
        </w:trPr>
        <w:tc>
          <w:tcPr>
            <w:tcW w:w="0" w:type="auto"/>
            <w:tcBorders>
              <w:top w:val="nil"/>
              <w:left w:val="single" w:color="auto" w:sz="4" w:space="0"/>
              <w:bottom w:val="single" w:color="auto" w:sz="4" w:space="0"/>
              <w:right w:val="single" w:color="auto" w:sz="4" w:space="0"/>
            </w:tcBorders>
            <w:shd w:val="clear" w:color="auto" w:fill="auto"/>
            <w:noWrap/>
            <w:vAlign w:val="center"/>
          </w:tcPr>
          <w:p>
            <w:pPr>
              <w:pStyle w:val="104"/>
              <w:rPr>
                <w:rFonts w:ascii="Calibri" w:hAnsi="Calibri" w:cs="Arial"/>
                <w:sz w:val="22"/>
                <w:szCs w:val="22"/>
                <w:lang w:val="en-US" w:eastAsia="ja-JP"/>
              </w:rPr>
            </w:pPr>
            <w:r>
              <w:rPr>
                <w:rFonts w:cs="Arial"/>
                <w:lang w:val="en-US" w:eastAsia="ja-JP"/>
              </w:rPr>
              <w:t>MPR</w:t>
            </w:r>
          </w:p>
        </w:tc>
        <w:tc>
          <w:tcPr>
            <w:tcW w:w="0" w:type="auto"/>
            <w:gridSpan w:val="4"/>
            <w:tcBorders>
              <w:top w:val="single" w:color="auto" w:sz="4" w:space="0"/>
              <w:left w:val="nil"/>
              <w:bottom w:val="single" w:color="auto" w:sz="4" w:space="0"/>
              <w:right w:val="single" w:color="auto" w:sz="4" w:space="0"/>
            </w:tcBorders>
            <w:shd w:val="clear" w:color="auto" w:fill="auto"/>
            <w:noWrap/>
            <w:vAlign w:val="center"/>
          </w:tcPr>
          <w:p>
            <w:pPr>
              <w:pStyle w:val="105"/>
              <w:rPr>
                <w:rFonts w:cs="Arial"/>
                <w:lang w:val="en-US" w:eastAsia="ja-JP"/>
              </w:rPr>
            </w:pPr>
            <w:r>
              <w:rPr>
                <w:rFonts w:cs="Arial"/>
                <w:lang w:val="en-US" w:eastAsia="ja-JP"/>
              </w:rPr>
              <w:t>≤ 2 dB</w:t>
            </w:r>
          </w:p>
        </w:tc>
      </w:tr>
    </w:tbl>
    <w:p/>
    <w:p>
      <w:r>
        <w:t>The normative reference for this requirement is TS 36.102 [11] clause 6.2B.2</w:t>
      </w:r>
    </w:p>
    <w:p>
      <w:pPr>
        <w:pStyle w:val="9"/>
      </w:pPr>
      <w:r>
        <w:t>6.2B.2.4</w:t>
      </w:r>
      <w:r>
        <w:tab/>
      </w:r>
      <w:r>
        <w:t>Test description</w:t>
      </w:r>
    </w:p>
    <w:p>
      <w:pPr>
        <w:pStyle w:val="9"/>
      </w:pPr>
      <w:r>
        <w:t>6.2B.2.4.1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NTN in clause 5.2B. All of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pPr>
        <w:pStyle w:val="113"/>
        <w:rPr>
          <w:lang w:eastAsia="zh-CN"/>
        </w:rPr>
      </w:pPr>
      <w:r>
        <w:t>Table 6.2B.2.4.1-1: Test Configuration T</w:t>
      </w:r>
      <w:r>
        <w:rPr>
          <w:lang w:eastAsia="zh-CN"/>
        </w:rPr>
        <w:t>able</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268"/>
        <w:gridCol w:w="1559"/>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212" w:type="dxa"/>
            <w:gridSpan w:val="3"/>
          </w:tcPr>
          <w:p>
            <w:pPr>
              <w:pStyle w:val="103"/>
              <w:rPr>
                <w:lang w:eastAsia="zh-CN"/>
              </w:rPr>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794"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212"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2268" w:type="dxa"/>
            <w:tcBorders>
              <w:bottom w:val="single" w:color="auto" w:sz="4" w:space="0"/>
            </w:tcBorders>
          </w:tcPr>
          <w:p>
            <w:pPr>
              <w:pStyle w:val="103"/>
              <w:jc w:val="center"/>
              <w:rPr>
                <w:b/>
              </w:rPr>
            </w:pPr>
            <w:r>
              <w:rPr>
                <w:b/>
              </w:rPr>
              <w:t>Downlink Configuration</w:t>
            </w:r>
          </w:p>
        </w:tc>
        <w:tc>
          <w:tcPr>
            <w:tcW w:w="5212"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2268" w:type="dxa"/>
            <w:tcBorders>
              <w:bottom w:val="nil"/>
            </w:tcBorders>
          </w:tcPr>
          <w:p>
            <w:pPr>
              <w:pStyle w:val="103"/>
              <w:jc w:val="center"/>
              <w:rPr>
                <w:lang w:eastAsia="zh-CN"/>
              </w:rPr>
            </w:pPr>
            <w:r>
              <w:t>N/A for Maximum Power Reduction (MPR) test case</w:t>
            </w:r>
          </w:p>
        </w:tc>
        <w:tc>
          <w:tcPr>
            <w:tcW w:w="1559"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1@0</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2</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1@47</w:t>
            </w:r>
          </w:p>
        </w:tc>
        <w:tc>
          <w:tcPr>
            <w:tcW w:w="1952" w:type="dxa"/>
          </w:tcPr>
          <w:p>
            <w:pPr>
              <w:pStyle w:val="105"/>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3</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4</w:t>
            </w:r>
          </w:p>
        </w:tc>
        <w:tc>
          <w:tcPr>
            <w:tcW w:w="2268" w:type="dxa"/>
            <w:tcBorders>
              <w:top w:val="nil"/>
              <w:bottom w:val="nil"/>
            </w:tcBorders>
          </w:tcPr>
          <w:p>
            <w:pPr>
              <w:pStyle w:val="105"/>
            </w:pPr>
          </w:p>
        </w:tc>
        <w:tc>
          <w:tcPr>
            <w:tcW w:w="1559" w:type="dxa"/>
          </w:tcPr>
          <w:p>
            <w:pPr>
              <w:pStyle w:val="105"/>
            </w:pPr>
            <w:r>
              <w:t>BPSK</w:t>
            </w:r>
          </w:p>
        </w:tc>
        <w:tc>
          <w:tcPr>
            <w:tcW w:w="1701" w:type="dxa"/>
          </w:tcPr>
          <w:p>
            <w:pPr>
              <w:pStyle w:val="105"/>
            </w:pPr>
            <w:r>
              <w:t>1@11</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5</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pPr>
            <w:r>
              <w:t>QPSK</w:t>
            </w:r>
          </w:p>
        </w:tc>
        <w:tc>
          <w:tcPr>
            <w:tcW w:w="1701" w:type="dxa"/>
          </w:tcPr>
          <w:p>
            <w:pPr>
              <w:pStyle w:val="105"/>
            </w:pPr>
            <w:r>
              <w:t>3@0</w:t>
            </w:r>
          </w:p>
        </w:tc>
        <w:tc>
          <w:tcPr>
            <w:tcW w:w="1952"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6</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3@3</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t>7</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3@9</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8</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9</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6@6</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t>10</w:t>
            </w:r>
            <w:r>
              <w:rPr>
                <w:vertAlign w:val="superscript"/>
              </w:rPr>
              <w:t xml:space="preserve"> </w:t>
            </w:r>
            <w:r>
              <w:t>(Note 1)</w:t>
            </w:r>
          </w:p>
        </w:tc>
        <w:tc>
          <w:tcPr>
            <w:tcW w:w="2268" w:type="dxa"/>
            <w:tcBorders>
              <w:top w:val="nil"/>
              <w:bottom w:val="nil"/>
            </w:tcBorders>
          </w:tcPr>
          <w:p>
            <w:pPr>
              <w:pStyle w:val="105"/>
            </w:pPr>
          </w:p>
        </w:tc>
        <w:tc>
          <w:tcPr>
            <w:tcW w:w="1559" w:type="dxa"/>
          </w:tcPr>
          <w:p>
            <w:pPr>
              <w:pStyle w:val="105"/>
              <w:rPr>
                <w:rFonts w:eastAsia="微软雅黑" w:cs="Arial"/>
                <w:szCs w:val="18"/>
                <w:lang w:eastAsia="zh-CN"/>
              </w:rPr>
            </w:pPr>
            <w:r>
              <w:t>QPSK</w:t>
            </w:r>
          </w:p>
        </w:tc>
        <w:tc>
          <w:tcPr>
            <w:tcW w:w="1701" w:type="dxa"/>
          </w:tcPr>
          <w:p>
            <w:pPr>
              <w:pStyle w:val="105"/>
              <w:rPr>
                <w:rFonts w:eastAsia="微软雅黑" w:cs="Arial"/>
                <w:szCs w:val="18"/>
                <w:lang w:eastAsia="zh-CN"/>
              </w:rPr>
            </w:pPr>
            <w:r>
              <w:t>12@0</w:t>
            </w:r>
          </w:p>
        </w:tc>
        <w:tc>
          <w:tcPr>
            <w:tcW w:w="1952" w:type="dxa"/>
          </w:tcPr>
          <w:p>
            <w:pPr>
              <w:pStyle w:val="105"/>
              <w:rPr>
                <w:rFonts w:eastAsia="微软雅黑" w:cs="Arial"/>
                <w:szCs w:val="18"/>
                <w:lang w:eastAsia="zh-CN"/>
              </w:rP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t>NOTE 1:</w:t>
            </w:r>
            <w:r>
              <w:tab/>
            </w:r>
            <w:r>
              <w:t>Applicable to UE supporting UL multi-tone transmissions.</w:t>
            </w:r>
          </w:p>
        </w:tc>
      </w:tr>
    </w:tbl>
    <w:p/>
    <w:p>
      <w:pPr>
        <w:pStyle w:val="111"/>
        <w:overflowPunct w:val="0"/>
        <w:autoSpaceDE w:val="0"/>
        <w:autoSpaceDN w:val="0"/>
        <w:adjustRightInd w:val="0"/>
        <w:contextualSpacing w:val="0"/>
        <w:textAlignment w:val="baseline"/>
      </w:pPr>
      <w:r>
        <w:t>1.</w:t>
      </w:r>
      <w:r>
        <w:tab/>
      </w:r>
      <w:r>
        <w:t xml:space="preserve">Connect the SS to the UE antenna connectors as shown in </w:t>
      </w:r>
      <w:r>
        <w:rPr>
          <w:lang w:eastAsia="zh-CN"/>
        </w:rPr>
        <w:t>TS 36.508 [12] Annex A Figure A.3</w:t>
      </w:r>
      <w:r>
        <w:t xml:space="preserve">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pPr>
      <w:r>
        <w:t>3.</w:t>
      </w:r>
      <w:r>
        <w:tab/>
      </w:r>
      <w:r>
        <w:t>Downlink signals are initially set up according to Annex C.0, C.1, and C.3.0, and uplink signals according to Annex H.1 and H.3.0</w:t>
      </w:r>
      <w:r>
        <w:rPr>
          <w:lang w:val="en-US"/>
        </w:rPr>
        <w:t xml:space="preserve"> of TS 36.521-1[14]</w:t>
      </w:r>
      <w:r>
        <w:t>.</w:t>
      </w:r>
    </w:p>
    <w:p>
      <w:pPr>
        <w:pStyle w:val="111"/>
        <w:overflowPunct w:val="0"/>
        <w:autoSpaceDE w:val="0"/>
        <w:autoSpaceDN w:val="0"/>
        <w:adjustRightInd w:val="0"/>
        <w:contextualSpacing w:val="0"/>
        <w:textAlignment w:val="baseline"/>
      </w:pPr>
      <w:r>
        <w:t>4.</w:t>
      </w:r>
      <w:r>
        <w:tab/>
      </w:r>
      <w:r>
        <w:t>The UL Reference Measurement channels are set according to Table 6.2B.2.4.1-1.</w:t>
      </w:r>
    </w:p>
    <w:p>
      <w:pPr>
        <w:pStyle w:val="111"/>
        <w:overflowPunct w:val="0"/>
        <w:autoSpaceDE w:val="0"/>
        <w:autoSpaceDN w:val="0"/>
        <w:adjustRightInd w:val="0"/>
        <w:contextualSpacing w:val="0"/>
        <w:textAlignment w:val="baseline"/>
        <w:rPr>
          <w:rFonts w:hint="eastAsia"/>
        </w:rPr>
      </w:pPr>
      <w:r>
        <w:rPr>
          <w:rFonts w:hint="eastAsia"/>
        </w:rPr>
        <w:t>5.</w:t>
      </w:r>
      <w:r>
        <w:rPr>
          <w:rFonts w:hint="eastAsia"/>
        </w:rPr>
        <w:tab/>
      </w:r>
      <w:r>
        <w:rPr>
          <w:rFonts w:hint="eastAsia"/>
        </w:rPr>
        <w:t xml:space="preserve">UE location according to TS 36.508 [12] clause 4.13 is provided to the UE through AT commands or any other preconfigured means </w:t>
      </w:r>
    </w:p>
    <w:p>
      <w:pPr>
        <w:pStyle w:val="111"/>
        <w:overflowPunct w:val="0"/>
        <w:autoSpaceDE w:val="0"/>
        <w:autoSpaceDN w:val="0"/>
        <w:adjustRightInd w:val="0"/>
        <w:contextualSpacing w:val="0"/>
        <w:textAlignment w:val="baseline"/>
        <w:rPr>
          <w:rFonts w:hint="eastAsia"/>
        </w:rPr>
      </w:pPr>
      <w:r>
        <w:rPr>
          <w:rFonts w:hint="eastAsia"/>
        </w:rPr>
        <w:t>6.</w:t>
      </w:r>
      <w:r>
        <w:rPr>
          <w:rFonts w:hint="eastAsia"/>
        </w:rPr>
        <w:tab/>
      </w:r>
      <w:r>
        <w:rPr>
          <w:rFonts w:hint="eastAsia"/>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pPr>
      <w:r>
        <w:rPr>
          <w:rFonts w:hint="eastAsia"/>
        </w:rPr>
        <w:t>7.</w:t>
      </w:r>
      <w:r>
        <w:rPr>
          <w:rFonts w:hint="eastAsia"/>
        </w:rPr>
        <w:tab/>
      </w:r>
      <w:r>
        <w:rPr>
          <w:rFonts w:hint="eastAsia"/>
        </w:rPr>
        <w:t>Ensure the UE is in State 2A-NB with CP CIoT Optimisation according to TS 36.508 [12] clause 8.1.5. Message contents are defined in clause 6.2.3F.4.3.</w:t>
      </w:r>
    </w:p>
    <w:p>
      <w:pPr>
        <w:pStyle w:val="9"/>
      </w:pPr>
      <w:r>
        <w:t>6.2B.2.4.2</w:t>
      </w:r>
      <w:r>
        <w:tab/>
      </w:r>
      <w:r>
        <w:t>Test procedure</w:t>
      </w:r>
    </w:p>
    <w:p>
      <w:pPr>
        <w:pStyle w:val="111"/>
        <w:overflowPunct w:val="0"/>
        <w:autoSpaceDE w:val="0"/>
        <w:autoSpaceDN w:val="0"/>
        <w:adjustRightInd w:val="0"/>
        <w:contextualSpacing w:val="0"/>
        <w:textAlignment w:val="baseline"/>
      </w:pPr>
      <w:r>
        <w:t>1.</w:t>
      </w:r>
      <w:r>
        <w:tab/>
      </w:r>
      <w:r>
        <w:t>S</w:t>
      </w:r>
      <w:r>
        <w:rPr>
          <w:lang w:eastAsia="zh-CN"/>
        </w:rPr>
        <w:t xml:space="preserve">S sends uplink scheduling information via NPDCCH DCI format N0 for C_RNTI to schedule the UL RMC according to Table </w:t>
      </w:r>
      <w:r>
        <w:t>6.2B.2.4.1-1 and with scheduling pattern and repetitions according to TS 36.521-1[14] Annex A.2.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t>Measure the mean power of the UE in the channel bandwidth of the radio access mode. The period of measurement shall be at least the continuous duration one sub-frame (1ms) for 15 kHz sub-carrier spacing, or for 3.75 kHz sub-carrier spacing at least one slot (2 ms) excluding the 2304Ts gap when UE is not transmitting. For TDD slots with transient periods are not under test.</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6.2B.2.4.3</w:t>
      </w:r>
      <w:r>
        <w:tab/>
      </w:r>
      <w:r>
        <w:t>Message contents</w:t>
      </w:r>
    </w:p>
    <w:p>
      <w:r>
        <w:t>Message contents are according to TS 36.508 [12] subclause 8.1.6.</w:t>
      </w:r>
    </w:p>
    <w:p>
      <w:pPr>
        <w:pStyle w:val="9"/>
      </w:pPr>
      <w:r>
        <w:t>6.2B.2.4.4</w:t>
      </w:r>
      <w:r>
        <w:tab/>
      </w:r>
      <w:r>
        <w:t>Test requirements</w:t>
      </w:r>
    </w:p>
    <w:p>
      <w:r>
        <w:t>The maximum output power derived in step 2 shall be within the range prescribed by the nominal maximum output power and tolerance in Table 6.2B.2.4-1.</w:t>
      </w:r>
    </w:p>
    <w:p>
      <w:pPr>
        <w:pStyle w:val="113"/>
      </w:pPr>
      <w:r>
        <w:t>Table 6.2B.2.4-1: Maximum Power Reduction test requirements Power Class 3 and 5</w:t>
      </w:r>
    </w:p>
    <w:tbl>
      <w:tblPr>
        <w:tblStyle w:val="89"/>
        <w:tblW w:w="0" w:type="auto"/>
        <w:tblInd w:w="-5" w:type="dxa"/>
        <w:tblLayout w:type="fixed"/>
        <w:tblCellMar>
          <w:top w:w="0" w:type="dxa"/>
          <w:left w:w="70" w:type="dxa"/>
          <w:bottom w:w="0" w:type="dxa"/>
          <w:right w:w="70" w:type="dxa"/>
        </w:tblCellMar>
      </w:tblPr>
      <w:tblGrid>
        <w:gridCol w:w="860"/>
        <w:gridCol w:w="817"/>
        <w:gridCol w:w="8"/>
        <w:gridCol w:w="910"/>
        <w:gridCol w:w="1134"/>
        <w:gridCol w:w="890"/>
        <w:gridCol w:w="6"/>
        <w:gridCol w:w="886"/>
        <w:gridCol w:w="947"/>
        <w:gridCol w:w="1134"/>
        <w:gridCol w:w="854"/>
        <w:gridCol w:w="840"/>
        <w:gridCol w:w="10"/>
      </w:tblGrid>
      <w:tr>
        <w:tblPrEx>
          <w:tblCellMar>
            <w:top w:w="0" w:type="dxa"/>
            <w:left w:w="70" w:type="dxa"/>
            <w:bottom w:w="0" w:type="dxa"/>
            <w:right w:w="70" w:type="dxa"/>
          </w:tblCellMar>
        </w:tblPrEx>
        <w:trPr>
          <w:trHeight w:val="20" w:hRule="atLeast"/>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3834" w:type="dxa"/>
            <w:gridSpan w:val="6"/>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785" w:type="dxa"/>
            <w:gridSpan w:val="5"/>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81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918"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8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892"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47"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1134"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854"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7</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7</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8</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8</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9</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6</w:t>
            </w:r>
            <w:r>
              <w:rPr>
                <w:rFonts w:cs="Arial"/>
              </w:rPr>
              <w:t>.</w:t>
            </w:r>
            <w:r>
              <w:rPr>
                <w:rFonts w:cs="Arial"/>
                <w:lang w:eastAsia="zh-CN"/>
              </w:rPr>
              <w:t>3</w:t>
            </w:r>
          </w:p>
        </w:tc>
      </w:tr>
      <w:tr>
        <w:tblPrEx>
          <w:tblCellMar>
            <w:top w:w="0" w:type="dxa"/>
            <w:left w:w="70" w:type="dxa"/>
            <w:bottom w:w="0" w:type="dxa"/>
            <w:right w:w="70" w:type="dxa"/>
          </w:tblCellMar>
        </w:tblPrEx>
        <w:trPr>
          <w:gridAfter w:val="1"/>
          <w:wAfter w:w="10" w:type="dxa"/>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10</w:t>
            </w:r>
          </w:p>
        </w:tc>
        <w:tc>
          <w:tcPr>
            <w:tcW w:w="82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91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8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88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18.3</w:t>
            </w:r>
          </w:p>
        </w:tc>
        <w:tc>
          <w:tcPr>
            <w:tcW w:w="947"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18</w:t>
            </w:r>
          </w:p>
        </w:tc>
        <w:tc>
          <w:tcPr>
            <w:tcW w:w="113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w:t>
            </w:r>
            <w:r>
              <w:rPr>
                <w:lang w:eastAsia="zh-CN"/>
              </w:rPr>
              <w:t>0</w:t>
            </w:r>
          </w:p>
        </w:tc>
        <w:tc>
          <w:tcPr>
            <w:tcW w:w="85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84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w:t>
            </w:r>
            <w:r>
              <w:rPr>
                <w:rFonts w:cs="Arial"/>
                <w:lang w:eastAsia="zh-CN"/>
              </w:rPr>
              <w:t>5</w:t>
            </w:r>
            <w:r>
              <w:rPr>
                <w:rFonts w:cs="Arial"/>
              </w:rPr>
              <w:t>.3</w:t>
            </w:r>
          </w:p>
        </w:tc>
      </w:tr>
      <w:tr>
        <w:tblPrEx>
          <w:tblCellMar>
            <w:top w:w="0" w:type="dxa"/>
            <w:left w:w="70" w:type="dxa"/>
            <w:bottom w:w="0" w:type="dxa"/>
            <w:right w:w="70" w:type="dxa"/>
          </w:tblCellMar>
        </w:tblPrEx>
        <w:trPr>
          <w:trHeight w:val="20" w:hRule="atLeast"/>
        </w:trPr>
        <w:tc>
          <w:tcPr>
            <w:tcW w:w="9296" w:type="dxa"/>
            <w:gridSpan w:val="13"/>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
      <w:pPr>
        <w:pStyle w:val="5"/>
      </w:pPr>
      <w:bookmarkStart w:id="288" w:name="_Toc121162824"/>
      <w:bookmarkStart w:id="289" w:name="_Toc12744"/>
      <w:bookmarkStart w:id="290" w:name="_Toc120570032"/>
      <w:bookmarkStart w:id="291" w:name="_Toc18962"/>
      <w:bookmarkStart w:id="292" w:name="_Toc7990"/>
      <w:r>
        <w:t>6.2B.3</w:t>
      </w:r>
      <w:r>
        <w:tab/>
      </w:r>
      <w:r>
        <w:t>UE additional maximum output power reduction for category NB1 and NB2 UE</w:t>
      </w:r>
      <w:bookmarkEnd w:id="287"/>
      <w:bookmarkEnd w:id="288"/>
      <w:bookmarkEnd w:id="289"/>
      <w:bookmarkEnd w:id="290"/>
      <w:bookmarkEnd w:id="291"/>
      <w:bookmarkEnd w:id="292"/>
    </w:p>
    <w:p>
      <w:pPr>
        <w:pStyle w:val="112"/>
      </w:pPr>
      <w:r>
        <w:t>Editor’s Note: This clause is incomplete. The following aspects are either missing or not yet determined:</w:t>
      </w:r>
    </w:p>
    <w:p>
      <w:pPr>
        <w:pStyle w:val="112"/>
      </w:pPr>
      <w:r>
        <w:t>- Addition to applicability spec is pending</w:t>
      </w:r>
    </w:p>
    <w:p>
      <w:pPr>
        <w:pStyle w:val="112"/>
      </w:pPr>
      <w:r>
        <w:t>- Annex F MU/TT is TBD</w:t>
      </w:r>
    </w:p>
    <w:p>
      <w:pPr>
        <w:pStyle w:val="112"/>
      </w:pPr>
      <w:r>
        <w:t>- Test requirement is TBD</w:t>
      </w:r>
    </w:p>
    <w:p>
      <w:pPr>
        <w:pStyle w:val="112"/>
      </w:pPr>
      <w:r>
        <w:t>- Test Points analysis is TBD</w:t>
      </w:r>
    </w:p>
    <w:p>
      <w:pPr>
        <w:pStyle w:val="112"/>
      </w:pPr>
      <w:r>
        <w:t>-Initial conditions and call setup procedure to support satellite access are TBD</w:t>
      </w:r>
    </w:p>
    <w:p>
      <w:pPr>
        <w:pStyle w:val="112"/>
      </w:pPr>
    </w:p>
    <w:p>
      <w:pPr>
        <w:pStyle w:val="9"/>
      </w:pPr>
      <w:r>
        <w:t>6.2B.3.1</w:t>
      </w:r>
      <w:r>
        <w:tab/>
      </w:r>
      <w:r>
        <w:t>Test purpose</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Pr>
          <w:lang w:eastAsia="ja-JP"/>
        </w:rPr>
        <w:t>.1</w:t>
      </w:r>
      <w:r>
        <w:t>-1. Unless stated otherwise, an A-MPR of 0 dB shall be used.</w:t>
      </w:r>
    </w:p>
    <w:p>
      <w:pPr>
        <w:pStyle w:val="9"/>
      </w:pPr>
      <w:r>
        <w:t>6.2B.3.2</w:t>
      </w:r>
      <w:r>
        <w:tab/>
      </w:r>
      <w:r>
        <w:t>Test applicability</w:t>
      </w:r>
    </w:p>
    <w:p>
      <w:r>
        <w:t>The requirements of this test apply in test case 6.5A.4.4 Additional Spurious Emissions for network signalled values NS_02N and NS_24 to all types of NB-IOT NTN UE release 17 and forward of UE category NB1 and NB2 that support satellite access operation.</w:t>
      </w:r>
    </w:p>
    <w:p>
      <w:pPr>
        <w:pStyle w:val="9"/>
      </w:pPr>
      <w:r>
        <w:t>6.2B.3.3</w:t>
      </w:r>
      <w:r>
        <w:tab/>
      </w:r>
      <w:r>
        <w:t>Minimum conformance requirements</w:t>
      </w:r>
    </w:p>
    <w:p>
      <w:r>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r>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pPr>
        <w:pStyle w:val="113"/>
      </w:pPr>
      <w:r>
        <w:t>Table 6.2B.3.3-1: Additional Maximum Power Reduction (A-MPR) for category NB1 and NB2 UE</w:t>
      </w:r>
    </w:p>
    <w:tbl>
      <w:tblPr>
        <w:tblStyle w:val="89"/>
        <w:tblW w:w="5670" w:type="dxa"/>
        <w:tblInd w:w="9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0"/>
        <w:gridCol w:w="1509"/>
        <w:gridCol w:w="1644"/>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100" w:type="dxa"/>
          </w:tcPr>
          <w:p>
            <w:pPr>
              <w:pStyle w:val="104"/>
              <w:rPr>
                <w:rFonts w:cs="Arial"/>
              </w:rPr>
            </w:pPr>
            <w:r>
              <w:rPr>
                <w:rFonts w:cs="Arial"/>
              </w:rPr>
              <w:t>Network Signalling value</w:t>
            </w:r>
          </w:p>
        </w:tc>
        <w:tc>
          <w:tcPr>
            <w:tcW w:w="1509" w:type="dxa"/>
            <w:shd w:val="clear" w:color="auto" w:fill="auto"/>
          </w:tcPr>
          <w:p>
            <w:pPr>
              <w:pStyle w:val="104"/>
              <w:rPr>
                <w:rFonts w:cs="Arial"/>
              </w:rPr>
            </w:pPr>
            <w:r>
              <w:rPr>
                <w:rFonts w:cs="Arial"/>
              </w:rPr>
              <w:t>Requirements (subclause)</w:t>
            </w:r>
          </w:p>
        </w:tc>
        <w:tc>
          <w:tcPr>
            <w:tcW w:w="1644" w:type="dxa"/>
            <w:shd w:val="clear" w:color="auto" w:fill="auto"/>
          </w:tcPr>
          <w:p>
            <w:pPr>
              <w:pStyle w:val="104"/>
              <w:rPr>
                <w:rFonts w:cs="Arial"/>
              </w:rPr>
            </w:pPr>
            <w:r>
              <w:rPr>
                <w:rFonts w:cs="Arial"/>
              </w:rPr>
              <w:t>NB-IOT NTN Band</w:t>
            </w:r>
          </w:p>
        </w:tc>
        <w:tc>
          <w:tcPr>
            <w:tcW w:w="1417" w:type="dxa"/>
          </w:tcPr>
          <w:p>
            <w:pPr>
              <w:pStyle w:val="104"/>
              <w:rPr>
                <w:rFonts w:cs="Arial"/>
              </w:rPr>
            </w:pPr>
            <w:r>
              <w:rPr>
                <w:rFonts w:cs="Arial"/>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NS_01</w:t>
            </w:r>
          </w:p>
        </w:tc>
        <w:tc>
          <w:tcPr>
            <w:tcW w:w="1509" w:type="dxa"/>
            <w:shd w:val="clear" w:color="auto" w:fill="auto"/>
            <w:vAlign w:val="center"/>
          </w:tcPr>
          <w:p>
            <w:pPr>
              <w:pStyle w:val="105"/>
              <w:rPr>
                <w:rFonts w:cs="Arial"/>
              </w:rPr>
            </w:pPr>
            <w:r>
              <w:t>6.5B.4.2</w:t>
            </w:r>
          </w:p>
        </w:tc>
        <w:tc>
          <w:tcPr>
            <w:tcW w:w="1644" w:type="dxa"/>
            <w:shd w:val="clear" w:color="auto" w:fill="auto"/>
            <w:vAlign w:val="center"/>
          </w:tcPr>
          <w:p>
            <w:pPr>
              <w:pStyle w:val="105"/>
              <w:rPr>
                <w:rFonts w:cs="Arial"/>
              </w:rPr>
            </w:pPr>
            <w:r>
              <w:t>Table 5.2-1</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NS_02N</w:t>
            </w:r>
          </w:p>
        </w:tc>
        <w:tc>
          <w:tcPr>
            <w:tcW w:w="1509" w:type="dxa"/>
            <w:vAlign w:val="center"/>
          </w:tcPr>
          <w:p>
            <w:pPr>
              <w:pStyle w:val="105"/>
              <w:rPr>
                <w:rFonts w:cs="Arial"/>
              </w:rPr>
            </w:pPr>
            <w:r>
              <w:rPr>
                <w:rFonts w:cs="Arial"/>
              </w:rPr>
              <w:t>6.5B.4.4.2</w:t>
            </w:r>
          </w:p>
        </w:tc>
        <w:tc>
          <w:tcPr>
            <w:tcW w:w="1644" w:type="dxa"/>
            <w:vAlign w:val="center"/>
          </w:tcPr>
          <w:p>
            <w:pPr>
              <w:pStyle w:val="105"/>
              <w:rPr>
                <w:rFonts w:cs="Arial"/>
              </w:rPr>
            </w:pPr>
            <w:r>
              <w:rPr>
                <w:rFonts w:cs="Arial"/>
              </w:rPr>
              <w:t>255</w:t>
            </w:r>
          </w:p>
        </w:tc>
        <w:tc>
          <w:tcPr>
            <w:tcW w:w="1417" w:type="dxa"/>
            <w:vAlign w:val="center"/>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0" w:type="dxa"/>
            <w:vAlign w:val="center"/>
          </w:tcPr>
          <w:p>
            <w:pPr>
              <w:pStyle w:val="105"/>
              <w:rPr>
                <w:rFonts w:cs="Arial"/>
              </w:rPr>
            </w:pPr>
            <w:r>
              <w:rPr>
                <w:rFonts w:cs="Arial"/>
              </w:rPr>
              <w:t>NS_24</w:t>
            </w:r>
          </w:p>
        </w:tc>
        <w:tc>
          <w:tcPr>
            <w:tcW w:w="1509" w:type="dxa"/>
            <w:vAlign w:val="center"/>
          </w:tcPr>
          <w:p>
            <w:pPr>
              <w:pStyle w:val="105"/>
              <w:rPr>
                <w:rFonts w:cs="Arial"/>
              </w:rPr>
            </w:pPr>
            <w:r>
              <w:rPr>
                <w:rFonts w:cs="Arial"/>
              </w:rPr>
              <w:t>6.5B.4.4.3</w:t>
            </w:r>
          </w:p>
        </w:tc>
        <w:tc>
          <w:tcPr>
            <w:tcW w:w="1644" w:type="dxa"/>
            <w:vAlign w:val="center"/>
          </w:tcPr>
          <w:p>
            <w:pPr>
              <w:pStyle w:val="105"/>
              <w:rPr>
                <w:rFonts w:cs="Arial"/>
              </w:rPr>
            </w:pPr>
            <w:r>
              <w:t>256</w:t>
            </w:r>
          </w:p>
        </w:tc>
        <w:tc>
          <w:tcPr>
            <w:tcW w:w="1417" w:type="dxa"/>
            <w:vAlign w:val="center"/>
          </w:tcPr>
          <w:p>
            <w:pPr>
              <w:pStyle w:val="105"/>
            </w:pPr>
            <w:r>
              <w:rPr>
                <w:rFonts w:cs="Arial"/>
              </w:rPr>
              <w:t>[3.5]</w:t>
            </w:r>
          </w:p>
        </w:tc>
      </w:tr>
    </w:tbl>
    <w:p/>
    <w:p>
      <w:r>
        <w:t>The normative reference for this requirement is TS 36.102 [11] subclause 6.2B.3</w:t>
      </w:r>
    </w:p>
    <w:p>
      <w:pPr>
        <w:pStyle w:val="9"/>
      </w:pPr>
      <w:r>
        <w:t>6.2B.3.4</w:t>
      </w:r>
      <w:r>
        <w:tab/>
      </w:r>
      <w:r>
        <w:t>Test description</w:t>
      </w:r>
    </w:p>
    <w:p>
      <w:pPr>
        <w:pStyle w:val="9"/>
      </w:pPr>
      <w:r>
        <w:t>6.2B.3.4.1</w:t>
      </w:r>
      <w:r>
        <w:tab/>
      </w:r>
      <w:r>
        <w:t>Initial condition</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Pr>
          <w:lang w:eastAsia="ja-JP"/>
        </w:rPr>
        <w:t>2</w:t>
      </w:r>
      <w:r>
        <w:t>. The details of the uplink reference measurement channels (RMCs) are specified in TS36.521-1[14] Annex A.2. Configurations of NPDSCH and NPDCCH before measurement are specified in TS 36.521-1[14] Annex C.2.</w:t>
      </w:r>
    </w:p>
    <w:p>
      <w:pPr>
        <w:pStyle w:val="113"/>
      </w:pPr>
      <w:r>
        <w:t>Table 6.2B.3.4.1-1: Test Configuration Table (network signalled value “NS_02N”)</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w:t>
            </w:r>
            <w:r>
              <w:rPr>
                <w:vertAlign w:val="superscript"/>
              </w:rPr>
              <w:t xml:space="preserve"> </w:t>
            </w:r>
            <w: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2</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3@3</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3</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3@9</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4</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5</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6@6</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6</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12@0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Applicable to UE supporting UL multi-tone transmissions</w:t>
            </w:r>
          </w:p>
        </w:tc>
      </w:tr>
    </w:tbl>
    <w:p/>
    <w:p>
      <w:pPr>
        <w:pStyle w:val="113"/>
      </w:pPr>
      <w:r>
        <w:t>Table 6.2B.3.4.1-2: Test Configuration Table (network signalled value "NS_24")</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w:t>
            </w:r>
            <w:r>
              <w:rPr>
                <w:vertAlign w:val="superscript"/>
              </w:rPr>
              <w:t xml:space="preserve"> </w:t>
            </w:r>
            <w: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2</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3@3</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3</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3@9</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4</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5</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6@6</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6</w:t>
            </w:r>
            <w:r>
              <w:rPr>
                <w:vertAlign w:val="superscript"/>
              </w:rPr>
              <w:t xml:space="preserve"> </w:t>
            </w:r>
            <w: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pStyle w:val="105"/>
            </w:pPr>
            <w:r>
              <w:t>QPSK</w:t>
            </w:r>
          </w:p>
        </w:tc>
        <w:tc>
          <w:tcPr>
            <w:tcW w:w="1276" w:type="dxa"/>
            <w:tcBorders>
              <w:left w:val="single" w:color="auto" w:sz="4" w:space="0"/>
              <w:right w:val="single" w:color="auto" w:sz="4" w:space="0"/>
            </w:tcBorders>
          </w:tcPr>
          <w:p>
            <w:pPr>
              <w:pStyle w:val="105"/>
            </w:pPr>
            <w:r>
              <w:t>12@0</w:t>
            </w:r>
          </w:p>
        </w:tc>
        <w:tc>
          <w:tcPr>
            <w:tcW w:w="1511" w:type="dxa"/>
            <w:tcBorders>
              <w:top w:val="single" w:color="auto" w:sz="4" w:space="0"/>
              <w:left w:val="single" w:color="auto" w:sz="4" w:space="0"/>
              <w:bottom w:val="single" w:color="auto" w:sz="4" w:space="0"/>
              <w:right w:val="single" w:color="auto" w:sz="4" w:space="0"/>
            </w:tcBorders>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Applicable to UE supporting UL multi-tone transmissions</w:t>
            </w:r>
          </w:p>
        </w:tc>
      </w:tr>
    </w:tbl>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eastAsia="Times New Roman"/>
          <w:lang w:eastAsia="en-GB"/>
        </w:rPr>
        <w:tab/>
      </w:r>
      <w:r>
        <w:rPr>
          <w:rFonts w:eastAsia="Times New Roman"/>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2.</w:t>
      </w:r>
      <w:r>
        <w:rPr>
          <w:rFonts w:eastAsia="Times New Roman"/>
          <w:lang w:eastAsia="en-GB"/>
        </w:rPr>
        <w:tab/>
      </w:r>
      <w:r>
        <w:rPr>
          <w:rFonts w:eastAsia="Times New Roman"/>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3.</w:t>
      </w:r>
      <w:r>
        <w:rPr>
          <w:rFonts w:eastAsia="Times New Roman"/>
          <w:lang w:eastAsia="en-GB"/>
        </w:rPr>
        <w:tab/>
      </w:r>
      <w:r>
        <w:rPr>
          <w:rFonts w:eastAsia="Times New Roman"/>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4.</w:t>
      </w:r>
      <w:r>
        <w:rPr>
          <w:rFonts w:eastAsia="Times New Roman"/>
          <w:lang w:eastAsia="en-GB"/>
        </w:rPr>
        <w:tab/>
      </w:r>
      <w:r>
        <w:rPr>
          <w:rFonts w:eastAsia="Times New Roman"/>
          <w:lang w:eastAsia="en-GB"/>
        </w:rPr>
        <w:t>The UL Reference Measurement channel is set according to Table 6.2B.3.4.1-1 to Table 6.2B.3.4.1-2.</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5.</w:t>
      </w:r>
      <w:r>
        <w:rPr>
          <w:rFonts w:eastAsia="Times New Roman"/>
          <w:lang w:eastAsia="en-GB"/>
        </w:rPr>
        <w:tab/>
      </w:r>
      <w:r>
        <w:rPr>
          <w:rFonts w:eastAsia="Times New Roman"/>
          <w:lang w:eastAsia="en-GB"/>
        </w:rPr>
        <w:t>Propagation conditions are set according to TS 36.521-1[14] Annex B.0.</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6.</w:t>
      </w:r>
      <w:r>
        <w:rPr>
          <w:rFonts w:eastAsia="Times New Roman"/>
          <w:lang w:eastAsia="en-GB"/>
        </w:rPr>
        <w:tab/>
      </w:r>
      <w:r>
        <w:rPr>
          <w:rFonts w:eastAsia="Times New Roman"/>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eastAsia="Times New Roman"/>
          <w:lang w:eastAsia="en-GB"/>
        </w:rPr>
        <w:tab/>
      </w:r>
      <w:r>
        <w:rPr>
          <w:rFonts w:hint="eastAsia" w:eastAsia="Times New Roman"/>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Times New Roman"/>
          <w:lang w:eastAsia="en-GB"/>
        </w:rPr>
      </w:pPr>
      <w:r>
        <w:rPr>
          <w:rFonts w:hint="eastAsia" w:eastAsia="Times New Roman"/>
          <w:lang w:eastAsia="en-GB"/>
        </w:rPr>
        <w:t>8.</w:t>
      </w:r>
      <w:r>
        <w:rPr>
          <w:rFonts w:hint="eastAsia" w:eastAsia="Times New Roman"/>
          <w:lang w:eastAsia="en-GB"/>
        </w:rPr>
        <w:tab/>
      </w:r>
      <w:r>
        <w:rPr>
          <w:rFonts w:hint="eastAsia" w:eastAsia="Times New Roman"/>
          <w:lang w:eastAsia="en-GB"/>
        </w:rPr>
        <w:t>Ensure the UE is in State 2A-NB with CP CIoT Optimisation according to TS 36.508 [12] clause8.1.5. Message contents are defined in clause 6.2B.3.4.3.</w:t>
      </w:r>
    </w:p>
    <w:p>
      <w:pPr>
        <w:pStyle w:val="9"/>
      </w:pPr>
      <w:r>
        <w:t>6.2B.3.4.2</w:t>
      </w:r>
      <w:r>
        <w:tab/>
      </w:r>
      <w:r>
        <w:t>Test procedure</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1.</w:t>
      </w:r>
      <w:r>
        <w:rPr>
          <w:rFonts w:eastAsia="Times New Roman"/>
          <w:lang w:eastAsia="en-GB"/>
        </w:rPr>
        <w:tab/>
      </w:r>
      <w:r>
        <w:rPr>
          <w:rFonts w:eastAsia="Times New Roman"/>
          <w:lang w:eastAsia="en-GB"/>
        </w:rPr>
        <w:t>SS sends uplink scheduling information for each UL HARQ process via N-PDCCH DCI format N0 for C_RNTI to schedule the UL RMC according to the applicable table from Table 6.2B.3.4.1-1 to Table 6.2B.3.4.1-2.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2.</w:t>
      </w:r>
      <w:r>
        <w:rPr>
          <w:rFonts w:eastAsia="Times New Roman"/>
          <w:lang w:eastAsia="en-GB"/>
        </w:rPr>
        <w:tab/>
      </w:r>
      <w:r>
        <w:rPr>
          <w:rFonts w:eastAsia="Times New Roman"/>
          <w:lang w:eastAsia="en-GB"/>
        </w:rPr>
        <w:t xml:space="preserve">Send continuously uplink power control "up" commands in the uplink scheduling information to the UE until the UE transmits at </w:t>
      </w:r>
      <w:r>
        <w:rPr>
          <w:lang w:eastAsia="en-GB"/>
        </w:rPr>
        <w:t>P</w:t>
      </w:r>
      <w:r>
        <w:rPr>
          <w:vertAlign w:val="baseline"/>
          <w:lang w:eastAsia="en-GB"/>
        </w:rPr>
        <w:t>UMAX</w:t>
      </w:r>
      <w:r>
        <w:rPr>
          <w:rFonts w:eastAsia="Times New Roman"/>
          <w:lang w:eastAsia="en-GB"/>
        </w:rPr>
        <w:t xml:space="preserve"> level.</w:t>
      </w:r>
    </w:p>
    <w:p>
      <w:pPr>
        <w:pStyle w:val="111"/>
        <w:overflowPunct w:val="0"/>
        <w:autoSpaceDE w:val="0"/>
        <w:autoSpaceDN w:val="0"/>
        <w:adjustRightInd w:val="0"/>
        <w:contextualSpacing w:val="0"/>
        <w:textAlignment w:val="baseline"/>
        <w:rPr>
          <w:rFonts w:eastAsia="Times New Roman"/>
          <w:lang w:eastAsia="en-GB"/>
        </w:rPr>
      </w:pPr>
      <w:r>
        <w:rPr>
          <w:rFonts w:eastAsia="Times New Roman"/>
          <w:lang w:eastAsia="en-GB"/>
        </w:rPr>
        <w:t>3.</w:t>
      </w:r>
      <w:r>
        <w:rPr>
          <w:rFonts w:eastAsia="Times New Roman"/>
          <w:lang w:eastAsia="en-GB"/>
        </w:rPr>
        <w:tab/>
      </w:r>
      <w:r>
        <w:rPr>
          <w:rFonts w:eastAsia="Times New Roman"/>
          <w:lang w:eastAsia="en-GB"/>
        </w:rPr>
        <w:t>Measure the mean power of the UE in the channel bandwidth of the radio access mode.</w:t>
      </w:r>
      <w:r>
        <w:rPr>
          <w:lang w:eastAsia="en-GB"/>
        </w:rPr>
        <w:t xml:space="preserve"> The period of measurement shall be at least the continuous duration one sub-frame (1ms) for 15 kHz sub-carrier spacing, or for 3.75 kHz sub-carrier spacing at least one slot (2 ms) excluding the 2304Ts gap when UE is not transmitting.</w:t>
      </w:r>
      <w:r>
        <w:rPr>
          <w:rFonts w:eastAsia="Times New Roman"/>
          <w:lang w:eastAsia="en-GB"/>
        </w:rPr>
        <w:t xml:space="preserve"> For HD-FDD slots with transient periods and Half-duplex guard subframe are not under test.</w:t>
      </w:r>
    </w:p>
    <w:p>
      <w:pPr>
        <w:pStyle w:val="9"/>
        <w:rPr>
          <w:snapToGrid w:val="0"/>
        </w:rPr>
      </w:pPr>
      <w:r>
        <w:t>6.2B.3.4.3</w:t>
      </w:r>
      <w:r>
        <w:tab/>
      </w:r>
      <w:r>
        <w:rPr>
          <w:snapToGrid w:val="0"/>
        </w:rPr>
        <w:t>Message contents</w:t>
      </w:r>
    </w:p>
    <w:p>
      <w:r>
        <w:t>Message contents are according to TS 36.508 [12] subclause 8.1.6 and with the following exceptions for each network signalled value.</w:t>
      </w:r>
    </w:p>
    <w:p>
      <w:pPr>
        <w:pStyle w:val="9"/>
      </w:pPr>
      <w:r>
        <w:t>6.2B.3.4.3.1</w:t>
      </w:r>
      <w:r>
        <w:tab/>
      </w:r>
      <w:r>
        <w:t>Message contents exceptions (network signalled value “NS_02N”)</w:t>
      </w:r>
    </w:p>
    <w:p>
      <w:pPr>
        <w:pStyle w:val="111"/>
      </w:pPr>
      <w:r>
        <w:t>1.</w:t>
      </w:r>
      <w:r>
        <w:tab/>
      </w:r>
      <w:r>
        <w:t xml:space="preserve">Information element additionalSpectrumEmission is set to NS_02N.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6.2B.3.4.3.1</w:t>
      </w:r>
      <w:r>
        <w:t xml:space="preserve">-1: </w:t>
      </w:r>
      <w:r>
        <w:rPr>
          <w:i/>
        </w:rPr>
        <w:t>SystemInformationBlockType2</w:t>
      </w:r>
      <w:r>
        <w:t>: Additional spurious emissions test requirement for “NS_02N”</w:t>
      </w:r>
    </w:p>
    <w:tbl>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7" w:type="dxa"/>
            <w:gridSpan w:val="4"/>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3"/>
            </w:pPr>
            <w:r>
              <w:t xml:space="preserve">    additionalSpectrumEmission</w:t>
            </w:r>
          </w:p>
        </w:tc>
        <w:tc>
          <w:tcPr>
            <w:tcW w:w="2267" w:type="dxa"/>
          </w:tcPr>
          <w:p>
            <w:pPr>
              <w:pStyle w:val="103"/>
            </w:pPr>
            <w:r>
              <w:t>2(NS_02N)</w:t>
            </w:r>
          </w:p>
        </w:tc>
        <w:tc>
          <w:tcPr>
            <w:tcW w:w="1700" w:type="dxa"/>
          </w:tcPr>
          <w:p/>
        </w:tc>
        <w:tc>
          <w:tcPr>
            <w:tcW w:w="1133" w:type="dxa"/>
          </w:tcPr>
          <w:p>
            <w:pPr>
              <w:pStyle w:val="103"/>
            </w:pPr>
          </w:p>
        </w:tc>
      </w:tr>
    </w:tbl>
    <w:p/>
    <w:p>
      <w:pPr>
        <w:pStyle w:val="9"/>
      </w:pPr>
      <w:r>
        <w:t>6.2B.3.4.3.2</w:t>
      </w:r>
      <w:r>
        <w:tab/>
      </w:r>
      <w:r>
        <w:t>Message contents exceptions (network signalled value "NS_24")</w:t>
      </w:r>
    </w:p>
    <w:p>
      <w:pPr>
        <w:pStyle w:val="111"/>
      </w:pPr>
      <w:r>
        <w:t>1.</w:t>
      </w:r>
      <w:r>
        <w:tab/>
      </w:r>
      <w:r>
        <w:t xml:space="preserve">Information element additionalSpectrumEmission is set to NS_24.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pPr>
        <w:pStyle w:val="113"/>
      </w:pPr>
      <w:r>
        <w:t xml:space="preserve">Table </w:t>
      </w:r>
      <w:r>
        <w:rPr>
          <w:snapToGrid w:val="0"/>
        </w:rPr>
        <w:t>6.2B.3.4.3.2</w:t>
      </w:r>
      <w:r>
        <w:t xml:space="preserve">-1: </w:t>
      </w:r>
      <w:r>
        <w:rPr>
          <w:i/>
        </w:rPr>
        <w:t>SystemInformationBlockType2</w:t>
      </w:r>
      <w:r>
        <w:t>: Additional spurious emissions test requirement for "NS_24"</w:t>
      </w:r>
    </w:p>
    <w:tbl>
      <w:tblPr>
        <w:tblStyle w:val="89"/>
        <w:tblW w:w="9527"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27" w:type="dxa"/>
            <w:gridSpan w:val="4"/>
          </w:tcPr>
          <w:p>
            <w:pPr>
              <w:pStyle w:val="103"/>
            </w:pPr>
            <w:r>
              <w:t>Derivation Path: TS 36.508 [12] clause 8.1.4.3, Table 8.1.4.3.3-1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7" w:type="dxa"/>
          </w:tcPr>
          <w:p>
            <w:pPr>
              <w:pStyle w:val="103"/>
            </w:pPr>
            <w:r>
              <w:t xml:space="preserve">    additionalSpectrumEmission</w:t>
            </w:r>
          </w:p>
        </w:tc>
        <w:tc>
          <w:tcPr>
            <w:tcW w:w="2267" w:type="dxa"/>
          </w:tcPr>
          <w:p>
            <w:pPr>
              <w:pStyle w:val="103"/>
            </w:pPr>
            <w:r>
              <w:t>24 (NS_24)</w:t>
            </w:r>
          </w:p>
        </w:tc>
        <w:tc>
          <w:tcPr>
            <w:tcW w:w="1700" w:type="dxa"/>
          </w:tcPr>
          <w:p/>
        </w:tc>
        <w:tc>
          <w:tcPr>
            <w:tcW w:w="1133" w:type="dxa"/>
          </w:tcPr>
          <w:p>
            <w:pPr>
              <w:pStyle w:val="103"/>
            </w:pPr>
          </w:p>
        </w:tc>
      </w:tr>
    </w:tbl>
    <w:p/>
    <w:p>
      <w:pPr>
        <w:pStyle w:val="9"/>
      </w:pPr>
      <w:r>
        <w:t>6.2B.3.5</w:t>
      </w:r>
      <w:r>
        <w:tab/>
      </w:r>
      <w:r>
        <w:t>Test requirement</w:t>
      </w:r>
    </w:p>
    <w:p>
      <w:r>
        <w:t>The maximum output power derived in step 3 shall be within the range prescribed by the nominal maximum output power and tolerance in the applicable table from Table 6.2B.3.5-1 to Table 6.2B.3.5-2. The allowed A-MPR values specified in Table 6.2B.3.3-1 are in addition to the allowed MPR requirements specified in clause 6.2B.3. For the UE maximum output power modified by MPR and/or A-MPR, the power limits specified in TS.36.521-1[14] Table 6.2.5</w:t>
      </w:r>
      <w:r>
        <w:rPr>
          <w:lang w:eastAsia="ja-JP"/>
        </w:rPr>
        <w:t xml:space="preserve"> F</w:t>
      </w:r>
      <w:r>
        <w:t xml:space="preserve">.3-1 </w:t>
      </w:r>
      <w:r>
        <w:rPr>
          <w:lang w:eastAsia="ja-JP"/>
        </w:rPr>
        <w:t xml:space="preserve">and </w:t>
      </w:r>
      <w:r>
        <w:t>6.2.5</w:t>
      </w:r>
      <w:r>
        <w:rPr>
          <w:lang w:eastAsia="ja-JP"/>
        </w:rPr>
        <w:t>F</w:t>
      </w:r>
      <w:r>
        <w:t>.3-</w:t>
      </w:r>
      <w:r>
        <w:rPr>
          <w:lang w:eastAsia="ja-JP"/>
        </w:rPr>
        <w:t xml:space="preserve">2 </w:t>
      </w:r>
      <w:r>
        <w:t>apply.</w:t>
      </w:r>
    </w:p>
    <w:p>
      <w:pPr>
        <w:pStyle w:val="113"/>
      </w:pPr>
      <w:r>
        <w:rPr>
          <w:rFonts w:cs="v5.0.0"/>
        </w:rPr>
        <w:t>Table 6.2B.3.5-</w:t>
      </w:r>
      <w:r>
        <w:t>1</w:t>
      </w:r>
      <w:r>
        <w:rPr>
          <w:rFonts w:cs="v5.0.0"/>
        </w:rPr>
        <w:t xml:space="preserve">: UE Power Class test requirements </w:t>
      </w:r>
      <w:r>
        <w:t>(network signalled value “NS_02N”)</w:t>
      </w:r>
    </w:p>
    <w:tbl>
      <w:tblPr>
        <w:tblStyle w:val="89"/>
        <w:tblW w:w="9573" w:type="dxa"/>
        <w:tblInd w:w="-5" w:type="dxa"/>
        <w:tblLayout w:type="fixed"/>
        <w:tblCellMar>
          <w:top w:w="0" w:type="dxa"/>
          <w:left w:w="70" w:type="dxa"/>
          <w:bottom w:w="0" w:type="dxa"/>
          <w:right w:w="70" w:type="dxa"/>
        </w:tblCellMar>
      </w:tblPr>
      <w:tblGrid>
        <w:gridCol w:w="860"/>
        <w:gridCol w:w="50"/>
        <w:gridCol w:w="725"/>
        <w:gridCol w:w="567"/>
        <w:gridCol w:w="992"/>
        <w:gridCol w:w="850"/>
        <w:gridCol w:w="993"/>
        <w:gridCol w:w="992"/>
        <w:gridCol w:w="992"/>
        <w:gridCol w:w="851"/>
        <w:gridCol w:w="992"/>
        <w:gridCol w:w="709"/>
      </w:tblGrid>
      <w:tr>
        <w:tblPrEx>
          <w:tblCellMar>
            <w:top w:w="0" w:type="dxa"/>
            <w:left w:w="70" w:type="dxa"/>
            <w:bottom w:w="0" w:type="dxa"/>
            <w:right w:w="70" w:type="dxa"/>
          </w:tblCellMar>
        </w:tblPrEx>
        <w:trPr>
          <w:trHeight w:val="20" w:hRule="atLeast"/>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567" w:type="dxa"/>
            <w:vMerge w:val="restart"/>
            <w:tcBorders>
              <w:top w:val="single" w:color="auto" w:sz="4" w:space="0"/>
              <w:left w:val="single" w:color="auto" w:sz="4" w:space="0"/>
              <w:right w:val="single" w:color="auto" w:sz="4" w:space="0"/>
            </w:tcBorders>
          </w:tcPr>
          <w:p>
            <w:pPr>
              <w:pStyle w:val="104"/>
            </w:pPr>
          </w:p>
          <w:p>
            <w:pPr>
              <w:pStyle w:val="104"/>
            </w:pPr>
            <w:r>
              <w:t>A_MPR (dB)</w:t>
            </w:r>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544" w:type="dxa"/>
            <w:gridSpan w:val="4"/>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wAfter w:w="0" w:type="auto"/>
          <w:trHeight w:val="20" w:hRule="atLeast"/>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567" w:type="dxa"/>
            <w:vMerge w:val="continue"/>
            <w:tcBorders>
              <w:left w:val="single" w:color="auto" w:sz="4" w:space="0"/>
              <w:bottom w:val="single" w:color="auto" w:sz="4" w:space="0"/>
              <w:right w:val="single" w:color="auto" w:sz="4" w:space="0"/>
            </w:tcBorders>
          </w:tcPr>
          <w:p>
            <w:pPr>
              <w:pStyle w:val="104"/>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wAfter w:w="0" w:type="auto"/>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t>N/A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16.8</w:t>
            </w:r>
          </w:p>
        </w:tc>
      </w:tr>
      <w:tr>
        <w:tblPrEx>
          <w:tblCellMar>
            <w:top w:w="0" w:type="dxa"/>
            <w:left w:w="70" w:type="dxa"/>
            <w:bottom w:w="0" w:type="dxa"/>
            <w:right w:w="70" w:type="dxa"/>
          </w:tblCellMar>
        </w:tblPrEx>
        <w:trPr>
          <w:wAfter w:w="0" w:type="auto"/>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23</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20.3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17.3</w:t>
            </w:r>
          </w:p>
        </w:tc>
      </w:tr>
      <w:tr>
        <w:tblPrEx>
          <w:tblCellMar>
            <w:top w:w="0" w:type="dxa"/>
            <w:left w:w="70" w:type="dxa"/>
            <w:bottom w:w="0" w:type="dxa"/>
            <w:right w:w="70" w:type="dxa"/>
          </w:tblCellMar>
        </w:tblPrEx>
        <w:trPr>
          <w:wAfter w:w="0" w:type="auto"/>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19.8</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16.8</w:t>
            </w:r>
          </w:p>
        </w:tc>
      </w:tr>
      <w:tr>
        <w:tblPrEx>
          <w:tblCellMar>
            <w:top w:w="0" w:type="dxa"/>
            <w:left w:w="70" w:type="dxa"/>
            <w:bottom w:w="0" w:type="dxa"/>
            <w:right w:w="70" w:type="dxa"/>
          </w:tblCellMar>
        </w:tblPrEx>
        <w:trPr>
          <w:wAfter w:w="0" w:type="auto"/>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16.3</w:t>
            </w:r>
          </w:p>
        </w:tc>
      </w:tr>
      <w:tr>
        <w:tblPrEx>
          <w:tblCellMar>
            <w:top w:w="0" w:type="dxa"/>
            <w:left w:w="70" w:type="dxa"/>
            <w:bottom w:w="0" w:type="dxa"/>
            <w:right w:w="70" w:type="dxa"/>
          </w:tblCellMar>
        </w:tblPrEx>
        <w:trPr>
          <w:wAfter w:w="0" w:type="auto"/>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22</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19.3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16.3</w:t>
            </w:r>
          </w:p>
        </w:tc>
      </w:tr>
      <w:tr>
        <w:tblPrEx>
          <w:tblCellMar>
            <w:top w:w="0" w:type="dxa"/>
            <w:left w:w="70" w:type="dxa"/>
            <w:bottom w:w="0" w:type="dxa"/>
            <w:right w:w="70" w:type="dxa"/>
          </w:tblCellMar>
        </w:tblPrEx>
        <w:trPr>
          <w:wAfter w:w="0" w:type="auto"/>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rPr>
                <w:rFonts w:hint="eastAsia"/>
              </w:rPr>
              <w:t>N</w:t>
            </w:r>
            <w:r>
              <w:t>/A</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21</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2.0</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18.3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18</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15.3</w:t>
            </w:r>
          </w:p>
        </w:tc>
      </w:tr>
      <w:tr>
        <w:tblPrEx>
          <w:tblCellMar>
            <w:top w:w="0" w:type="dxa"/>
            <w:left w:w="70" w:type="dxa"/>
            <w:bottom w:w="0" w:type="dxa"/>
            <w:right w:w="70" w:type="dxa"/>
          </w:tblCellMar>
        </w:tblPrEx>
        <w:trPr>
          <w:trHeight w:val="20" w:hRule="atLeast"/>
        </w:trPr>
        <w:tc>
          <w:tcPr>
            <w:tcW w:w="910" w:type="dxa"/>
            <w:gridSpan w:val="2"/>
            <w:tcBorders>
              <w:top w:val="single" w:color="auto" w:sz="4" w:space="0"/>
              <w:left w:val="single" w:color="auto" w:sz="8" w:space="0"/>
              <w:bottom w:val="single" w:color="auto" w:sz="4" w:space="0"/>
              <w:right w:val="single" w:color="auto" w:sz="4" w:space="0"/>
            </w:tcBorders>
          </w:tcPr>
          <w:p>
            <w:pPr>
              <w:pStyle w:val="118"/>
              <w:rPr>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
      <w:pPr>
        <w:pStyle w:val="113"/>
      </w:pPr>
      <w:r>
        <w:rPr>
          <w:rFonts w:cs="v5.0.0"/>
        </w:rPr>
        <w:t>Table 6.2B.3.5-</w:t>
      </w:r>
      <w:r>
        <w:t>2</w:t>
      </w:r>
      <w:r>
        <w:rPr>
          <w:rFonts w:cs="v5.0.0"/>
        </w:rPr>
        <w:t xml:space="preserve">: UE Power Class test requirements </w:t>
      </w:r>
      <w:r>
        <w:t>(network signalled value "NS_24")</w:t>
      </w:r>
    </w:p>
    <w:tbl>
      <w:tblPr>
        <w:tblStyle w:val="89"/>
        <w:tblW w:w="9573" w:type="dxa"/>
        <w:tblInd w:w="-5" w:type="dxa"/>
        <w:tblLayout w:type="fixed"/>
        <w:tblCellMar>
          <w:top w:w="0" w:type="dxa"/>
          <w:left w:w="70" w:type="dxa"/>
          <w:bottom w:w="0" w:type="dxa"/>
          <w:right w:w="70" w:type="dxa"/>
        </w:tblCellMar>
      </w:tblPr>
      <w:tblGrid>
        <w:gridCol w:w="860"/>
        <w:gridCol w:w="50"/>
        <w:gridCol w:w="725"/>
        <w:gridCol w:w="567"/>
        <w:gridCol w:w="992"/>
        <w:gridCol w:w="850"/>
        <w:gridCol w:w="993"/>
        <w:gridCol w:w="992"/>
        <w:gridCol w:w="992"/>
        <w:gridCol w:w="851"/>
        <w:gridCol w:w="992"/>
        <w:gridCol w:w="709"/>
      </w:tblGrid>
      <w:tr>
        <w:tblPrEx>
          <w:tblCellMar>
            <w:top w:w="0" w:type="dxa"/>
            <w:left w:w="70" w:type="dxa"/>
            <w:bottom w:w="0" w:type="dxa"/>
            <w:right w:w="70" w:type="dxa"/>
          </w:tblCellMar>
        </w:tblPrEx>
        <w:trPr>
          <w:trHeight w:val="20" w:hRule="atLeast"/>
        </w:trPr>
        <w:tc>
          <w:tcPr>
            <w:tcW w:w="8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ID</w:t>
            </w:r>
          </w:p>
        </w:tc>
        <w:tc>
          <w:tcPr>
            <w:tcW w:w="775"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MPR (dB)</w:t>
            </w:r>
          </w:p>
        </w:tc>
        <w:tc>
          <w:tcPr>
            <w:tcW w:w="567" w:type="dxa"/>
            <w:vMerge w:val="restart"/>
            <w:tcBorders>
              <w:top w:val="single" w:color="auto" w:sz="4" w:space="0"/>
              <w:left w:val="single" w:color="auto" w:sz="4" w:space="0"/>
              <w:right w:val="single" w:color="auto" w:sz="4" w:space="0"/>
            </w:tcBorders>
          </w:tcPr>
          <w:p>
            <w:pPr>
              <w:pStyle w:val="104"/>
            </w:pPr>
          </w:p>
          <w:p>
            <w:pPr>
              <w:pStyle w:val="104"/>
            </w:pPr>
            <w:r>
              <w:t>A_MPR (dB)</w:t>
            </w:r>
          </w:p>
        </w:tc>
        <w:tc>
          <w:tcPr>
            <w:tcW w:w="3827" w:type="dxa"/>
            <w:gridSpan w:val="4"/>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Power class 3</w:t>
            </w:r>
          </w:p>
        </w:tc>
        <w:tc>
          <w:tcPr>
            <w:tcW w:w="3544" w:type="dxa"/>
            <w:gridSpan w:val="4"/>
            <w:tcBorders>
              <w:top w:val="single" w:color="auto" w:sz="4" w:space="0"/>
              <w:left w:val="single" w:color="auto" w:sz="4" w:space="0"/>
              <w:bottom w:val="single" w:color="auto" w:sz="4" w:space="0"/>
              <w:right w:val="single" w:color="auto" w:sz="4" w:space="0"/>
            </w:tcBorders>
          </w:tcPr>
          <w:p>
            <w:pPr>
              <w:pStyle w:val="104"/>
            </w:pPr>
            <w:r>
              <w:t>Power class 5</w:t>
            </w:r>
          </w:p>
        </w:tc>
      </w:tr>
      <w:tr>
        <w:tblPrEx>
          <w:tblCellMar>
            <w:top w:w="0" w:type="dxa"/>
            <w:left w:w="70" w:type="dxa"/>
            <w:bottom w:w="0" w:type="dxa"/>
            <w:right w:w="70" w:type="dxa"/>
          </w:tblCellMar>
        </w:tblPrEx>
        <w:trPr>
          <w:trHeight w:val="20" w:hRule="atLeast"/>
        </w:trPr>
        <w:tc>
          <w:tcPr>
            <w:tcW w:w="8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775" w:type="dxa"/>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567" w:type="dxa"/>
            <w:vMerge w:val="continue"/>
            <w:tcBorders>
              <w:left w:val="single" w:color="auto" w:sz="4" w:space="0"/>
              <w:bottom w:val="single" w:color="auto" w:sz="4" w:space="0"/>
              <w:right w:val="single" w:color="auto" w:sz="4" w:space="0"/>
            </w:tcBorders>
          </w:tcPr>
          <w:p>
            <w:pPr>
              <w:pStyle w:val="104"/>
            </w:pP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P</w:t>
            </w:r>
            <w:r>
              <w:rPr>
                <w:vertAlign w:val="subscript"/>
              </w:rPr>
              <w:t>CMAX,c</w:t>
            </w:r>
            <w:r>
              <w:t xml:space="preserve"> (dBm)</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T(P</w:t>
            </w:r>
            <w:r>
              <w:rPr>
                <w:vertAlign w:val="subscript"/>
              </w:rPr>
              <w:t>CMAX_L,c</w:t>
            </w:r>
            <w:r>
              <w:t>) (dB)</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Upper limit (dBm)</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Lower limit (dBm)</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P</w:t>
            </w:r>
            <w:r>
              <w:rPr>
                <w:vertAlign w:val="subscript"/>
              </w:rPr>
              <w:t>CMAX,c</w:t>
            </w:r>
            <w:r>
              <w:t xml:space="preserve"> (dBm)</w:t>
            </w:r>
          </w:p>
        </w:tc>
        <w:tc>
          <w:tcPr>
            <w:tcW w:w="851" w:type="dxa"/>
            <w:tcBorders>
              <w:top w:val="single" w:color="auto" w:sz="4" w:space="0"/>
              <w:left w:val="single" w:color="auto" w:sz="4" w:space="0"/>
              <w:bottom w:val="single" w:color="auto" w:sz="4" w:space="0"/>
              <w:right w:val="single" w:color="auto" w:sz="4" w:space="0"/>
            </w:tcBorders>
            <w:vAlign w:val="center"/>
          </w:tcPr>
          <w:p>
            <w:pPr>
              <w:pStyle w:val="104"/>
            </w:pPr>
            <w:r>
              <w:t>T(P</w:t>
            </w:r>
            <w:r>
              <w:rPr>
                <w:vertAlign w:val="subscript"/>
              </w:rPr>
              <w:t>CMAX_L,c</w:t>
            </w:r>
            <w:r>
              <w:t>) (dB)</w:t>
            </w:r>
          </w:p>
        </w:tc>
        <w:tc>
          <w:tcPr>
            <w:tcW w:w="992" w:type="dxa"/>
            <w:tcBorders>
              <w:top w:val="single" w:color="auto" w:sz="4" w:space="0"/>
              <w:left w:val="single" w:color="auto" w:sz="4" w:space="0"/>
              <w:bottom w:val="single" w:color="auto" w:sz="4" w:space="0"/>
              <w:right w:val="single" w:color="auto" w:sz="4" w:space="0"/>
            </w:tcBorders>
            <w:vAlign w:val="center"/>
          </w:tcPr>
          <w:p>
            <w:pPr>
              <w:pStyle w:val="104"/>
            </w:pPr>
            <w:r>
              <w:t>Upper limit (dBm)</w:t>
            </w:r>
          </w:p>
        </w:tc>
        <w:tc>
          <w:tcPr>
            <w:tcW w:w="709" w:type="dxa"/>
            <w:tcBorders>
              <w:top w:val="single" w:color="auto" w:sz="4" w:space="0"/>
              <w:left w:val="single" w:color="auto" w:sz="4" w:space="0"/>
              <w:bottom w:val="single" w:color="auto" w:sz="4" w:space="0"/>
              <w:right w:val="single" w:color="auto" w:sz="4" w:space="0"/>
            </w:tcBorders>
            <w:vAlign w:val="center"/>
          </w:tcPr>
          <w:p>
            <w:pPr>
              <w:pStyle w:val="104"/>
            </w:pPr>
            <w:r>
              <w:t>Lower limit (dBm)</w:t>
            </w:r>
          </w:p>
        </w:tc>
      </w:tr>
      <w:tr>
        <w:tblPrEx>
          <w:tblCellMar>
            <w:top w:w="0" w:type="dxa"/>
            <w:left w:w="70" w:type="dxa"/>
            <w:bottom w:w="0" w:type="dxa"/>
            <w:right w:w="70" w:type="dxa"/>
          </w:tblCellMar>
        </w:tblPrEx>
        <w:trPr>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16.8</w:t>
            </w:r>
          </w:p>
        </w:tc>
      </w:tr>
      <w:tr>
        <w:tblPrEx>
          <w:tblCellMar>
            <w:top w:w="0" w:type="dxa"/>
            <w:left w:w="70" w:type="dxa"/>
            <w:bottom w:w="0" w:type="dxa"/>
            <w:right w:w="70" w:type="dxa"/>
          </w:tblCellMar>
        </w:tblPrEx>
        <w:trPr>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17.3</w:t>
            </w:r>
          </w:p>
        </w:tc>
      </w:tr>
      <w:tr>
        <w:tblPrEx>
          <w:tblCellMar>
            <w:top w:w="0" w:type="dxa"/>
            <w:left w:w="70" w:type="dxa"/>
            <w:bottom w:w="0" w:type="dxa"/>
            <w:right w:w="70" w:type="dxa"/>
          </w:tblCellMar>
        </w:tblPrEx>
        <w:trPr>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0.5</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19.5</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16.8</w:t>
            </w:r>
          </w:p>
        </w:tc>
      </w:tr>
      <w:tr>
        <w:tblPrEx>
          <w:tblCellMar>
            <w:top w:w="0" w:type="dxa"/>
            <w:left w:w="70" w:type="dxa"/>
            <w:bottom w:w="0" w:type="dxa"/>
            <w:right w:w="70" w:type="dxa"/>
          </w:tblCellMar>
        </w:tblPrEx>
        <w:trPr>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4</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16.3</w:t>
            </w:r>
          </w:p>
        </w:tc>
      </w:tr>
      <w:tr>
        <w:tblPrEx>
          <w:tblCellMar>
            <w:top w:w="0" w:type="dxa"/>
            <w:left w:w="70" w:type="dxa"/>
            <w:bottom w:w="0" w:type="dxa"/>
            <w:right w:w="70" w:type="dxa"/>
          </w:tblCellMar>
        </w:tblPrEx>
        <w:trPr>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19</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16.3</w:t>
            </w:r>
          </w:p>
        </w:tc>
      </w:tr>
      <w:tr>
        <w:tblPrEx>
          <w:tblCellMar>
            <w:top w:w="0" w:type="dxa"/>
            <w:left w:w="70" w:type="dxa"/>
            <w:bottom w:w="0" w:type="dxa"/>
            <w:right w:w="70" w:type="dxa"/>
          </w:tblCellMar>
        </w:tblPrEx>
        <w:trPr>
          <w:trHeight w:val="20" w:hRule="atLeast"/>
        </w:trPr>
        <w:tc>
          <w:tcPr>
            <w:tcW w:w="86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c>
          <w:tcPr>
            <w:tcW w:w="77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567" w:type="dxa"/>
            <w:tcBorders>
              <w:top w:val="single" w:color="auto" w:sz="4" w:space="0"/>
              <w:left w:val="single" w:color="auto" w:sz="4" w:space="0"/>
              <w:bottom w:val="single" w:color="auto" w:sz="4" w:space="0"/>
              <w:right w:val="single" w:color="auto" w:sz="4" w:space="0"/>
            </w:tcBorders>
          </w:tcPr>
          <w:p>
            <w:pPr>
              <w:pStyle w:val="105"/>
            </w:pPr>
            <w:r>
              <w:t>3.5</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19.5</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3.5</w:t>
            </w:r>
          </w:p>
        </w:tc>
        <w:tc>
          <w:tcPr>
            <w:tcW w:w="99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25.7</w:t>
            </w:r>
          </w:p>
        </w:tc>
        <w:tc>
          <w:tcPr>
            <w:tcW w:w="99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cs="Arial"/>
              </w:rPr>
              <w:t>15.3</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18</w:t>
            </w:r>
          </w:p>
        </w:tc>
        <w:tc>
          <w:tcPr>
            <w:tcW w:w="85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2.0</w:t>
            </w:r>
          </w:p>
        </w:tc>
        <w:tc>
          <w:tcPr>
            <w:tcW w:w="99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t>22.7</w:t>
            </w:r>
          </w:p>
        </w:tc>
        <w:tc>
          <w:tcPr>
            <w:tcW w:w="70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15.3</w:t>
            </w:r>
          </w:p>
        </w:tc>
      </w:tr>
      <w:tr>
        <w:tblPrEx>
          <w:tblCellMar>
            <w:top w:w="0" w:type="dxa"/>
            <w:left w:w="70" w:type="dxa"/>
            <w:bottom w:w="0" w:type="dxa"/>
            <w:right w:w="70" w:type="dxa"/>
          </w:tblCellMar>
        </w:tblPrEx>
        <w:trPr>
          <w:trHeight w:val="20" w:hRule="atLeast"/>
        </w:trPr>
        <w:tc>
          <w:tcPr>
            <w:tcW w:w="910" w:type="dxa"/>
            <w:gridSpan w:val="2"/>
            <w:tcBorders>
              <w:top w:val="single" w:color="auto" w:sz="4" w:space="0"/>
              <w:left w:val="single" w:color="auto" w:sz="8" w:space="0"/>
              <w:bottom w:val="single" w:color="auto" w:sz="4" w:space="0"/>
              <w:right w:val="single" w:color="auto" w:sz="4" w:space="0"/>
            </w:tcBorders>
          </w:tcPr>
          <w:p>
            <w:pPr>
              <w:pStyle w:val="118"/>
              <w:rPr>
                <w:rFonts w:cs="Arial"/>
                <w:szCs w:val="18"/>
              </w:rPr>
            </w:pPr>
          </w:p>
        </w:tc>
        <w:tc>
          <w:tcPr>
            <w:tcW w:w="8663" w:type="dxa"/>
            <w:gridSpan w:val="10"/>
            <w:tcBorders>
              <w:top w:val="single" w:color="auto" w:sz="4" w:space="0"/>
              <w:left w:val="single" w:color="auto" w:sz="8" w:space="0"/>
              <w:bottom w:val="single" w:color="auto" w:sz="4" w:space="0"/>
              <w:right w:val="single" w:color="auto" w:sz="4" w:space="0"/>
            </w:tcBorders>
            <w:shd w:val="clear" w:color="auto" w:fill="auto"/>
            <w:vAlign w:val="center"/>
          </w:tcPr>
          <w:p>
            <w:pPr>
              <w:pStyle w:val="118"/>
            </w:pPr>
            <w:r>
              <w:rPr>
                <w:rFonts w:cs="Arial"/>
                <w:szCs w:val="18"/>
              </w:rPr>
              <w:t>NOTE 1:</w:t>
            </w:r>
            <w:r>
              <w:tab/>
            </w:r>
            <w:r>
              <w:t>P</w:t>
            </w:r>
            <w:r>
              <w:rPr>
                <w:vertAlign w:val="subscript"/>
              </w:rPr>
              <w:t xml:space="preserve">CMAX,c </w:t>
            </w:r>
            <w:r>
              <w:t>and T(P</w:t>
            </w:r>
            <w:r>
              <w:rPr>
                <w:vertAlign w:val="subscript"/>
              </w:rPr>
              <w:t>CMAX_L,c</w:t>
            </w:r>
            <w:r>
              <w:t>) are defined in TS 36.101 [7]  clause 6.2.5F</w:t>
            </w:r>
          </w:p>
        </w:tc>
      </w:tr>
    </w:tbl>
    <w:p>
      <w:pPr>
        <w:rPr>
          <w:i/>
          <w:color w:val="FF0000"/>
          <w:lang w:eastAsia="zh-TW"/>
        </w:rPr>
      </w:pPr>
    </w:p>
    <w:p>
      <w:pPr>
        <w:pStyle w:val="5"/>
      </w:pPr>
      <w:bookmarkStart w:id="293" w:name="_Toc408323042"/>
      <w:bookmarkStart w:id="294" w:name="_Toc11912"/>
      <w:bookmarkStart w:id="295" w:name="_Toc16153"/>
      <w:bookmarkStart w:id="296" w:name="_Toc111062038"/>
      <w:bookmarkStart w:id="297" w:name="_Toc2180"/>
      <w:bookmarkStart w:id="298" w:name="_Toc121162825"/>
      <w:bookmarkStart w:id="299" w:name="_Toc120570033"/>
      <w:r>
        <w:t>6.2B.4</w:t>
      </w:r>
      <w:r>
        <w:tab/>
      </w:r>
      <w:r>
        <w:t>Configured transmitted Power</w:t>
      </w:r>
      <w:bookmarkEnd w:id="293"/>
      <w:r>
        <w:t xml:space="preserve"> for category NB1 and NB2</w:t>
      </w:r>
      <w:bookmarkEnd w:id="294"/>
      <w:bookmarkEnd w:id="295"/>
      <w:bookmarkEnd w:id="296"/>
      <w:bookmarkEnd w:id="297"/>
      <w:bookmarkEnd w:id="298"/>
      <w:bookmarkEnd w:id="299"/>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p>
    <w:p>
      <w:pPr>
        <w:pStyle w:val="9"/>
      </w:pPr>
      <w:r>
        <w:t>6.2B.4.1</w:t>
      </w:r>
      <w:r>
        <w:tab/>
      </w:r>
      <w:r>
        <w:t>Test purpose</w:t>
      </w:r>
    </w:p>
    <w:p>
      <w:r>
        <w:t>To verify the UE does not exceed the minimum between the P</w:t>
      </w:r>
      <w:r>
        <w:rPr>
          <w:vertAlign w:val="subscript"/>
        </w:rPr>
        <w:t>EMAX</w:t>
      </w:r>
      <w:r>
        <w:t xml:space="preserve"> maximum allowed UL TX Power signalled by the E-UTRAN and the P</w:t>
      </w:r>
      <w:r>
        <w:rPr>
          <w:vertAlign w:val="subscript"/>
        </w:rPr>
        <w:t>UMAX</w:t>
      </w:r>
      <w:r>
        <w:t xml:space="preserve"> maximum UE power for the UE power class.</w:t>
      </w:r>
    </w:p>
    <w:p>
      <w:pPr>
        <w:pStyle w:val="9"/>
      </w:pPr>
      <w:r>
        <w:t>6.2B.4.2</w:t>
      </w:r>
      <w:r>
        <w:tab/>
      </w:r>
      <w:r>
        <w:t>Test applicability</w:t>
      </w:r>
    </w:p>
    <w:p>
      <w:pPr>
        <w:rPr>
          <w:lang w:eastAsia="zh-TW"/>
        </w:rPr>
      </w:pPr>
      <w:r>
        <w:t>This test case applies to all types of NB-IoT UE release 17</w:t>
      </w:r>
      <w:r>
        <w:rPr>
          <w:lang w:eastAsia="zh-CN"/>
        </w:rPr>
        <w:t xml:space="preserve"> </w:t>
      </w:r>
      <w:r>
        <w:t>and forward of category NB1 and NB</w:t>
      </w:r>
      <w:r>
        <w:rPr>
          <w:lang w:eastAsia="zh-CN"/>
        </w:rPr>
        <w:t>2 that support satellite access operation</w:t>
      </w:r>
      <w:r>
        <w:t>.</w:t>
      </w:r>
    </w:p>
    <w:p>
      <w:pPr>
        <w:pStyle w:val="9"/>
      </w:pPr>
      <w:r>
        <w:t>6.2B.4.3</w:t>
      </w:r>
      <w:r>
        <w:tab/>
      </w:r>
      <w:r>
        <w:t>Minimum conformance requirements</w:t>
      </w:r>
    </w:p>
    <w:p>
      <w:bookmarkStart w:id="300" w:name="_Hlk128126262"/>
      <w:r>
        <w:t>For category M1 UE, the configured transmitted power requirements in clause 6.2.5F of TS 36.101 [7] shall apply, wherein</w:t>
      </w:r>
    </w:p>
    <w:p>
      <w:pPr>
        <w:pStyle w:val="111"/>
        <w:rPr>
          <w:lang w:eastAsia="zh-CN"/>
        </w:rPr>
      </w:pPr>
      <w:r>
        <w:t>-</w:t>
      </w:r>
      <w:r>
        <w:tab/>
      </w:r>
      <w:r>
        <w:rPr>
          <w:lang w:eastAsia="zh-CN"/>
        </w:rPr>
        <w:t xml:space="preserve">The Maximum output power requirements are specified in </w:t>
      </w:r>
      <w:r>
        <w:t xml:space="preserve">TS 36.102 [11] </w:t>
      </w:r>
      <w:r>
        <w:rPr>
          <w:lang w:eastAsia="zh-CN"/>
        </w:rPr>
        <w:t>subclause 6.2B.1</w:t>
      </w:r>
    </w:p>
    <w:p>
      <w:pPr>
        <w:pStyle w:val="111"/>
        <w:rPr>
          <w:lang w:eastAsia="zh-CN"/>
        </w:rPr>
      </w:pPr>
      <w:r>
        <w:t>-</w:t>
      </w:r>
      <w:r>
        <w:tab/>
      </w:r>
      <w:r>
        <w:rPr>
          <w:lang w:eastAsia="zh-CN"/>
        </w:rPr>
        <w:t xml:space="preserve">The MPR requirements are specified in </w:t>
      </w:r>
      <w:r>
        <w:t xml:space="preserve">TS 36.102 [11] </w:t>
      </w:r>
      <w:r>
        <w:rPr>
          <w:lang w:eastAsia="zh-CN"/>
        </w:rPr>
        <w:t>subclause 6.2</w:t>
      </w:r>
      <w:r>
        <w:rPr>
          <w:lang w:eastAsia="zh-TW"/>
        </w:rPr>
        <w:t>B</w:t>
      </w:r>
      <w:r>
        <w:rPr>
          <w:lang w:eastAsia="zh-CN"/>
        </w:rPr>
        <w:t>.2</w:t>
      </w:r>
    </w:p>
    <w:p>
      <w:pPr>
        <w:pStyle w:val="111"/>
        <w:rPr>
          <w:lang w:eastAsia="zh-CN"/>
        </w:rPr>
      </w:pPr>
      <w:r>
        <w:rPr>
          <w:lang w:eastAsia="zh-CN"/>
        </w:rPr>
        <w:t>-</w:t>
      </w:r>
      <w:r>
        <w:rPr>
          <w:lang w:eastAsia="zh-CN"/>
        </w:rPr>
        <w:tab/>
      </w:r>
      <w:r>
        <w:rPr>
          <w:lang w:eastAsia="zh-CN"/>
        </w:rPr>
        <w:t xml:space="preserve">The A-MPR requirements are specified in </w:t>
      </w:r>
      <w:r>
        <w:t xml:space="preserve">TS 36.102 [11] </w:t>
      </w:r>
      <w:r>
        <w:rPr>
          <w:lang w:eastAsia="zh-CN"/>
        </w:rPr>
        <w:t>subclause 6.2</w:t>
      </w:r>
      <w:r>
        <w:rPr>
          <w:lang w:eastAsia="zh-TW"/>
        </w:rPr>
        <w:t>B</w:t>
      </w:r>
      <w:r>
        <w:rPr>
          <w:lang w:eastAsia="zh-CN"/>
        </w:rPr>
        <w:t>.3.</w:t>
      </w:r>
    </w:p>
    <w:bookmarkEnd w:id="300"/>
    <w:p>
      <w:pPr>
        <w:pStyle w:val="9"/>
      </w:pPr>
      <w:r>
        <w:t>6.2B.4.4</w:t>
      </w:r>
      <w:r>
        <w:tab/>
      </w:r>
      <w:r>
        <w:t>Test description</w:t>
      </w:r>
    </w:p>
    <w:p>
      <w:pPr>
        <w:pStyle w:val="9"/>
      </w:pPr>
      <w:r>
        <w:t>6.2B.4.4.1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and test frequencies based on the subset of E-UTRA operating bands defined for NB-IoT in clause 5.2. All of these configurations shall be tested with applicable test parameters for each channel bandwidth and are shown in table 6.2B.4.4.1-1. The details of the uplink reference measurement channels (RMC</w:t>
      </w:r>
      <w:r>
        <w:rPr>
          <w:lang w:eastAsia="ja-JP"/>
        </w:rPr>
        <w:t>s</w:t>
      </w:r>
      <w:r>
        <w:t>) are specified in TS 36.521-1[14] A.2.4</w:t>
      </w:r>
      <w:r>
        <w:rPr>
          <w:lang w:eastAsia="ja-JP"/>
        </w:rPr>
        <w:t xml:space="preserve">. </w:t>
      </w:r>
      <w:r>
        <w:rPr>
          <w:rFonts w:cs="v5.0.0"/>
          <w:lang w:eastAsia="ja-JP"/>
        </w:rPr>
        <w:t>Configurations of NPDSCH and NPDCCH</w:t>
      </w:r>
      <w:r>
        <w:rPr>
          <w:rFonts w:cs="v5.0.0"/>
        </w:rPr>
        <w:t xml:space="preserve"> </w:t>
      </w:r>
      <w:r>
        <w:rPr>
          <w:rFonts w:cs="v5.0.0"/>
          <w:lang w:eastAsia="ja-JP"/>
        </w:rPr>
        <w:t xml:space="preserve">before measurement are specified in TS 36.521-1[14] </w:t>
      </w:r>
      <w:r>
        <w:rPr>
          <w:rFonts w:cs="v5.0.0"/>
          <w:lang w:eastAsia="zh-CN"/>
        </w:rPr>
        <w:t>Annex C.2</w:t>
      </w:r>
      <w:r>
        <w:rPr>
          <w:rFonts w:cs="v5.0.0"/>
          <w:lang w:eastAsia="ja-JP"/>
        </w:rPr>
        <w:t>.</w:t>
      </w:r>
    </w:p>
    <w:p>
      <w:pPr>
        <w:pStyle w:val="113"/>
        <w:rPr>
          <w:lang w:eastAsia="zh-CN"/>
        </w:rPr>
      </w:pPr>
      <w:r>
        <w:t>Table 6.2B.4.4.1-1: Test Configuration T</w:t>
      </w:r>
      <w:r>
        <w:rPr>
          <w:lang w:eastAsia="zh-CN"/>
        </w:rPr>
        <w:t>able for FDD &amp; TDD</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986"/>
        <w:gridCol w:w="1841"/>
        <w:gridCol w:w="1701"/>
        <w:gridCol w:w="1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Environment as specified in</w:t>
            </w:r>
          </w:p>
          <w:p>
            <w:pPr>
              <w:pStyle w:val="103"/>
              <w:rPr>
                <w:lang w:eastAsia="zh-CN"/>
              </w:rPr>
            </w:pPr>
            <w:r>
              <w:rPr>
                <w:rFonts w:eastAsia="微软雅黑" w:cs="Arial"/>
                <w:szCs w:val="18"/>
                <w:lang w:eastAsia="zh-CN"/>
              </w:rPr>
              <w:t>TS 36.508 [12] subclause 8.1.1</w:t>
            </w:r>
          </w:p>
        </w:tc>
        <w:tc>
          <w:tcPr>
            <w:tcW w:w="5494" w:type="dxa"/>
            <w:gridSpan w:val="3"/>
          </w:tcPr>
          <w:p>
            <w:pPr>
              <w:pStyle w:val="103"/>
              <w:rPr>
                <w:lang w:eastAsia="zh-CN"/>
              </w:rPr>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512" w:type="dxa"/>
            <w:gridSpan w:val="2"/>
          </w:tcPr>
          <w:p>
            <w:pPr>
              <w:keepNext/>
              <w:spacing w:after="0" w:line="163" w:lineRule="atLeast"/>
              <w:rPr>
                <w:rFonts w:ascii="Arial" w:hAnsi="Arial" w:eastAsia="微软雅黑" w:cs="Arial"/>
                <w:sz w:val="18"/>
                <w:szCs w:val="18"/>
                <w:lang w:eastAsia="zh-CN"/>
              </w:rPr>
            </w:pPr>
            <w:r>
              <w:rPr>
                <w:rFonts w:ascii="Arial" w:hAnsi="Arial" w:eastAsia="微软雅黑" w:cs="Arial"/>
                <w:sz w:val="18"/>
                <w:szCs w:val="18"/>
                <w:lang w:eastAsia="zh-CN"/>
              </w:rPr>
              <w:t>Test Frequencies as specified in</w:t>
            </w:r>
          </w:p>
          <w:p>
            <w:pPr>
              <w:pStyle w:val="103"/>
            </w:pPr>
            <w:r>
              <w:rPr>
                <w:rFonts w:eastAsia="微软雅黑" w:cs="Arial"/>
                <w:szCs w:val="18"/>
                <w:lang w:eastAsia="zh-CN"/>
              </w:rPr>
              <w:t>TS 36.508 [12] subclause 8.1.3.1</w:t>
            </w:r>
          </w:p>
        </w:tc>
        <w:tc>
          <w:tcPr>
            <w:tcW w:w="5494" w:type="dxa"/>
            <w:gridSpan w:val="3"/>
          </w:tcPr>
          <w:p>
            <w:pPr>
              <w:pStyle w:val="103"/>
            </w:pPr>
            <w:r>
              <w:rPr>
                <w:rFonts w:eastAsia="微软雅黑" w:cs="Arial"/>
                <w:szCs w:val="18"/>
                <w:lang w:eastAsia="zh-CN"/>
              </w:rPr>
              <w:t xml:space="preserve">Frequency ranges defined in Annex K.1.1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bottom w:val="nil"/>
            </w:tcBorders>
          </w:tcPr>
          <w:p>
            <w:pPr>
              <w:pStyle w:val="103"/>
              <w:jc w:val="center"/>
              <w:rPr>
                <w:b/>
              </w:rPr>
            </w:pPr>
            <w:r>
              <w:rPr>
                <w:rFonts w:eastAsia="微软雅黑" w:cs="Arial"/>
                <w:b/>
                <w:bCs/>
                <w:szCs w:val="18"/>
                <w:lang w:eastAsia="zh-CN"/>
              </w:rPr>
              <w:t>Configuration ID</w:t>
            </w:r>
          </w:p>
        </w:tc>
        <w:tc>
          <w:tcPr>
            <w:tcW w:w="1986" w:type="dxa"/>
            <w:tcBorders>
              <w:bottom w:val="single" w:color="auto" w:sz="4" w:space="0"/>
            </w:tcBorders>
          </w:tcPr>
          <w:p>
            <w:pPr>
              <w:pStyle w:val="103"/>
              <w:jc w:val="center"/>
              <w:rPr>
                <w:b/>
              </w:rPr>
            </w:pPr>
            <w:r>
              <w:rPr>
                <w:b/>
              </w:rPr>
              <w:t>Downlink Configuration</w:t>
            </w:r>
          </w:p>
        </w:tc>
        <w:tc>
          <w:tcPr>
            <w:tcW w:w="5494" w:type="dxa"/>
            <w:gridSpan w:val="3"/>
          </w:tcPr>
          <w:p>
            <w:pPr>
              <w:pStyle w:val="103"/>
              <w:jc w:val="center"/>
              <w:rPr>
                <w:b/>
                <w:lang w:eastAsia="zh-CN"/>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Borders>
              <w:top w:val="nil"/>
            </w:tcBorders>
          </w:tcPr>
          <w:p>
            <w:pPr>
              <w:pStyle w:val="103"/>
              <w:jc w:val="center"/>
            </w:pPr>
          </w:p>
        </w:tc>
        <w:tc>
          <w:tcPr>
            <w:tcW w:w="1986" w:type="dxa"/>
            <w:tcBorders>
              <w:bottom w:val="nil"/>
            </w:tcBorders>
          </w:tcPr>
          <w:p>
            <w:pPr>
              <w:pStyle w:val="103"/>
              <w:jc w:val="center"/>
              <w:rPr>
                <w:lang w:eastAsia="zh-CN"/>
              </w:rPr>
            </w:pPr>
            <w:r>
              <w:t>N/A</w:t>
            </w:r>
          </w:p>
        </w:tc>
        <w:tc>
          <w:tcPr>
            <w:tcW w:w="1841" w:type="dxa"/>
          </w:tcPr>
          <w:p>
            <w:pPr>
              <w:pStyle w:val="104"/>
            </w:pPr>
            <w:r>
              <w:rPr>
                <w:rFonts w:eastAsia="微软雅黑"/>
                <w:lang w:eastAsia="zh-CN"/>
              </w:rPr>
              <w:t>Modulation</w:t>
            </w:r>
          </w:p>
        </w:tc>
        <w:tc>
          <w:tcPr>
            <w:tcW w:w="1701" w:type="dxa"/>
          </w:tcPr>
          <w:p>
            <w:pPr>
              <w:pStyle w:val="104"/>
              <w:rPr>
                <w:lang w:eastAsia="zh-CN"/>
              </w:rPr>
            </w:pPr>
            <w:r>
              <w:rPr>
                <w:rFonts w:eastAsia="微软雅黑"/>
                <w:lang w:eastAsia="zh-CN"/>
              </w:rPr>
              <w:t>N</w:t>
            </w:r>
            <w:r>
              <w:rPr>
                <w:rFonts w:eastAsia="微软雅黑"/>
                <w:vertAlign w:val="subscript"/>
                <w:lang w:eastAsia="zh-CN"/>
              </w:rPr>
              <w:t>tones</w:t>
            </w:r>
          </w:p>
        </w:tc>
        <w:tc>
          <w:tcPr>
            <w:tcW w:w="1952" w:type="dxa"/>
          </w:tcPr>
          <w:p>
            <w:pPr>
              <w:pStyle w:val="104"/>
              <w:rPr>
                <w:lang w:eastAsia="zh-CN"/>
              </w:rPr>
            </w:pPr>
            <w:r>
              <w:rPr>
                <w:rFonts w:eastAsia="微软雅黑"/>
                <w:lang w:eastAsia="zh-CN"/>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1</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pPr>
            <w:r>
              <w:rPr>
                <w:lang w:eastAsia="zh-CN"/>
              </w:rPr>
              <w:t>2</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1@47</w:t>
            </w:r>
          </w:p>
        </w:tc>
        <w:tc>
          <w:tcPr>
            <w:tcW w:w="1952" w:type="dxa"/>
          </w:tcPr>
          <w:p>
            <w:pPr>
              <w:pStyle w:val="105"/>
              <w:rPr>
                <w:rFonts w:eastAsia="微软雅黑" w:cs="Arial"/>
                <w:szCs w:val="18"/>
                <w:lang w:eastAsia="zh-CN"/>
              </w:rPr>
            </w:pPr>
            <w:r>
              <w:rPr>
                <w:lang w:eastAsia="zh-CN"/>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3</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rFonts w:eastAsia="微软雅黑" w:cs="Arial"/>
                <w:szCs w:val="18"/>
                <w:lang w:eastAsia="zh-CN"/>
              </w:rPr>
              <w:t>1@0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4</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1@11</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26" w:type="dxa"/>
          </w:tcPr>
          <w:p>
            <w:pPr>
              <w:pStyle w:val="105"/>
              <w:rPr>
                <w:lang w:eastAsia="zh-CN"/>
              </w:rPr>
            </w:pPr>
            <w:r>
              <w:rPr>
                <w:lang w:eastAsia="zh-CN"/>
              </w:rPr>
              <w:t xml:space="preserve">5 </w:t>
            </w:r>
            <w:r>
              <w:rPr>
                <w:rFonts w:cs="Arial"/>
                <w:lang w:eastAsia="zh-CN"/>
              </w:rPr>
              <w:t>(</w:t>
            </w:r>
            <w:r>
              <w:rPr>
                <w:rFonts w:eastAsia="微软雅黑" w:cs="Arial"/>
                <w:szCs w:val="18"/>
                <w:lang w:eastAsia="zh-CN"/>
              </w:rPr>
              <w:t>Note 1</w:t>
            </w:r>
            <w:r>
              <w:rPr>
                <w:rFonts w:cs="Arial"/>
                <w:lang w:eastAsia="zh-CN"/>
              </w:rPr>
              <w:t>)</w:t>
            </w:r>
          </w:p>
        </w:tc>
        <w:tc>
          <w:tcPr>
            <w:tcW w:w="1986" w:type="dxa"/>
            <w:tcBorders>
              <w:top w:val="nil"/>
              <w:bottom w:val="nil"/>
            </w:tcBorders>
          </w:tcPr>
          <w:p>
            <w:pPr>
              <w:pStyle w:val="105"/>
            </w:pPr>
          </w:p>
        </w:tc>
        <w:tc>
          <w:tcPr>
            <w:tcW w:w="1841" w:type="dxa"/>
          </w:tcPr>
          <w:p>
            <w:pPr>
              <w:pStyle w:val="105"/>
              <w:rPr>
                <w:rFonts w:eastAsia="微软雅黑" w:cs="Arial"/>
                <w:szCs w:val="18"/>
                <w:lang w:eastAsia="zh-CN"/>
              </w:rPr>
            </w:pPr>
            <w:r>
              <w:rPr>
                <w:lang w:eastAsia="zh-CN"/>
              </w:rPr>
              <w:t>QPSK</w:t>
            </w:r>
          </w:p>
        </w:tc>
        <w:tc>
          <w:tcPr>
            <w:tcW w:w="1701" w:type="dxa"/>
          </w:tcPr>
          <w:p>
            <w:pPr>
              <w:pStyle w:val="105"/>
              <w:rPr>
                <w:rFonts w:eastAsia="微软雅黑" w:cs="Arial"/>
                <w:szCs w:val="18"/>
                <w:lang w:eastAsia="zh-CN"/>
              </w:rPr>
            </w:pPr>
            <w:r>
              <w:rPr>
                <w:lang w:eastAsia="zh-CN"/>
              </w:rPr>
              <w:t>12@0</w:t>
            </w:r>
          </w:p>
        </w:tc>
        <w:tc>
          <w:tcPr>
            <w:tcW w:w="1952" w:type="dxa"/>
          </w:tcPr>
          <w:p>
            <w:pPr>
              <w:pStyle w:val="105"/>
              <w:rPr>
                <w:rFonts w:eastAsia="微软雅黑" w:cs="Arial"/>
                <w:szCs w:val="18"/>
                <w:lang w:eastAsia="zh-CN"/>
              </w:rPr>
            </w:pPr>
            <w:r>
              <w:rPr>
                <w:lang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rPr>
                <w:rFonts w:eastAsiaTheme="minorEastAsia"/>
                <w:lang w:eastAsia="zh-CN"/>
              </w:rPr>
            </w:pPr>
            <w:r>
              <w:rPr>
                <w:rFonts w:hint="eastAsia" w:eastAsiaTheme="minorEastAsia"/>
                <w:lang w:eastAsia="zh-CN"/>
              </w:rPr>
              <w:t>NOTE 1:</w:t>
            </w:r>
            <w:r>
              <w:rPr>
                <w:rFonts w:eastAsiaTheme="minorEastAsia"/>
                <w:lang w:eastAsia="zh-CN"/>
              </w:rPr>
              <w:tab/>
            </w:r>
            <w:r>
              <w:rPr>
                <w:rFonts w:eastAsia="微软雅黑" w:cs="Arial"/>
                <w:szCs w:val="18"/>
                <w:lang w:eastAsia="zh-CN"/>
              </w:rPr>
              <w:t>Applicable to UE supporting UL multi-tone transmissions.</w:t>
            </w:r>
          </w:p>
        </w:tc>
      </w:tr>
    </w:tbl>
    <w:p>
      <w:pPr>
        <w:rPr>
          <w:lang w:eastAsia="zh-CN"/>
        </w:rPr>
      </w:pPr>
    </w:p>
    <w:p>
      <w:pPr>
        <w:pStyle w:val="111"/>
        <w:overflowPunct w:val="0"/>
        <w:autoSpaceDE w:val="0"/>
        <w:autoSpaceDN w:val="0"/>
        <w:adjustRightInd w:val="0"/>
        <w:contextualSpacing w:val="0"/>
        <w:textAlignment w:val="baseline"/>
        <w:rPr>
          <w:lang w:eastAsia="zh-CN"/>
        </w:rPr>
      </w:pPr>
      <w:r>
        <w:t>1.</w:t>
      </w:r>
      <w:r>
        <w:tab/>
      </w:r>
      <w:r>
        <w:t>Connect the SS to the UE antenna connectors as shown in TS 36.508 [12] Annex A, in Figure A.3 using only main UE Tx/Rx antenna.</w:t>
      </w:r>
    </w:p>
    <w:p>
      <w:pPr>
        <w:pStyle w:val="111"/>
        <w:overflowPunct w:val="0"/>
        <w:autoSpaceDE w:val="0"/>
        <w:autoSpaceDN w:val="0"/>
        <w:adjustRightInd w:val="0"/>
        <w:contextualSpacing w:val="0"/>
        <w:textAlignment w:val="baseline"/>
      </w:pPr>
      <w:r>
        <w:t>2.</w:t>
      </w:r>
      <w:r>
        <w:tab/>
      </w:r>
      <w:r>
        <w:t>The parameter settings for the cell are set up according to TS 36.508 [12] subclause 8.1.4.3.</w:t>
      </w:r>
    </w:p>
    <w:p>
      <w:pPr>
        <w:pStyle w:val="111"/>
        <w:overflowPunct w:val="0"/>
        <w:autoSpaceDE w:val="0"/>
        <w:autoSpaceDN w:val="0"/>
        <w:adjustRightInd w:val="0"/>
        <w:contextualSpacing w:val="0"/>
        <w:textAlignment w:val="baseline"/>
        <w:rPr>
          <w:lang w:eastAsia="ko-KR"/>
        </w:rPr>
      </w:pPr>
      <w:r>
        <w:t>3.</w:t>
      </w:r>
      <w:r>
        <w:tab/>
      </w:r>
      <w:r>
        <w:t>Downlink signals are initially set up according to Annex C, and uplink signals according to Annex H of TS 36.521-1 [14].</w:t>
      </w:r>
    </w:p>
    <w:p>
      <w:pPr>
        <w:pStyle w:val="111"/>
        <w:overflowPunct w:val="0"/>
        <w:autoSpaceDE w:val="0"/>
        <w:autoSpaceDN w:val="0"/>
        <w:adjustRightInd w:val="0"/>
        <w:contextualSpacing w:val="0"/>
        <w:textAlignment w:val="baseline"/>
      </w:pPr>
      <w:r>
        <w:t>4.</w:t>
      </w:r>
      <w:r>
        <w:tab/>
      </w:r>
      <w:r>
        <w:t>The UL Reference Measurement channel is set according to Table 6.2B.4.4.1-1</w:t>
      </w:r>
    </w:p>
    <w:p>
      <w:pPr>
        <w:pStyle w:val="111"/>
        <w:overflowPunct w:val="0"/>
        <w:autoSpaceDE w:val="0"/>
        <w:autoSpaceDN w:val="0"/>
        <w:adjustRightInd w:val="0"/>
        <w:contextualSpacing w:val="0"/>
        <w:textAlignment w:val="baseline"/>
      </w:pPr>
      <w:r>
        <w:t>5.</w:t>
      </w:r>
      <w:r>
        <w:tab/>
      </w:r>
      <w:r>
        <w:t>Propagation conditions are set according to TS 36.521-1[14] Annex B.0.</w:t>
      </w:r>
    </w:p>
    <w:p>
      <w:pPr>
        <w:pStyle w:val="111"/>
        <w:overflowPunct w:val="0"/>
        <w:autoSpaceDE w:val="0"/>
        <w:autoSpaceDN w:val="0"/>
        <w:adjustRightInd w:val="0"/>
        <w:contextualSpacing w:val="0"/>
        <w:textAlignment w:val="baseline"/>
        <w:rPr>
          <w:rFonts w:hint="eastAsia"/>
        </w:rPr>
      </w:pPr>
      <w:r>
        <w:rPr>
          <w:rFonts w:hint="eastAsia"/>
        </w:rPr>
        <w:t>6.</w:t>
      </w:r>
      <w:r>
        <w:rPr>
          <w:rFonts w:hint="eastAsia"/>
        </w:rPr>
        <w:tab/>
      </w:r>
      <w:r>
        <w:rPr>
          <w:rFonts w:hint="eastAsia"/>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rPr>
      </w:pPr>
      <w:r>
        <w:rPr>
          <w:rFonts w:hint="eastAsia"/>
        </w:rPr>
        <w:t>7.</w:t>
      </w:r>
      <w:r>
        <w:rPr>
          <w:rFonts w:hint="eastAsia"/>
        </w:rPr>
        <w:tab/>
      </w:r>
      <w:r>
        <w:rPr>
          <w:rFonts w:hint="eastAsia"/>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pPr>
      <w:r>
        <w:rPr>
          <w:rFonts w:hint="eastAsia"/>
        </w:rPr>
        <w:t>8.</w:t>
      </w:r>
      <w:r>
        <w:rPr>
          <w:rFonts w:hint="eastAsia"/>
        </w:rPr>
        <w:tab/>
      </w:r>
      <w:r>
        <w:rPr>
          <w:rFonts w:hint="eastAsia"/>
        </w:rPr>
        <w:t>Ensure the UE is in State 2A-NB with CP CIoT Optimisation according to TS 36.508 [12] clause 8.1.5. Message contents are defined in clause 6.2B.4.4.3.</w:t>
      </w:r>
    </w:p>
    <w:p>
      <w:pPr>
        <w:pStyle w:val="9"/>
      </w:pPr>
      <w:r>
        <w:t>6.2B.4.4.2</w:t>
      </w:r>
      <w:r>
        <w:tab/>
      </w:r>
      <w:r>
        <w:t>Test procedure</w:t>
      </w:r>
    </w:p>
    <w:p>
      <w:pPr>
        <w:pStyle w:val="111"/>
        <w:overflowPunct w:val="0"/>
        <w:autoSpaceDE w:val="0"/>
        <w:autoSpaceDN w:val="0"/>
        <w:adjustRightInd w:val="0"/>
        <w:contextualSpacing w:val="0"/>
        <w:textAlignment w:val="baseline"/>
      </w:pPr>
      <w:r>
        <w:t>1.</w:t>
      </w:r>
      <w:r>
        <w:rPr>
          <w:lang w:eastAsia="ko-KR"/>
        </w:rPr>
        <w:tab/>
      </w:r>
      <w:r>
        <w:t>S</w:t>
      </w:r>
      <w:r>
        <w:rPr>
          <w:lang w:eastAsia="zh-CN"/>
        </w:rPr>
        <w:t xml:space="preserve">S sends uplink scheduling information for UL HARQ process via NPDCCH DCI format N0 for C_RNTI to schedule the UL RMC according to Table </w:t>
      </w:r>
      <w:r>
        <w:t>6.2B.4.4.1-1.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pPr>
      <w:r>
        <w:t>2.</w:t>
      </w:r>
      <w:r>
        <w:tab/>
      </w:r>
      <w:r>
        <w:rPr>
          <w:lang w:eastAsia="zh-CN"/>
        </w:rPr>
        <w:t>Configure</w:t>
      </w:r>
      <w:r>
        <w:t xml:space="preserve"> UE </w:t>
      </w:r>
      <w:r>
        <w:rPr>
          <w:lang w:eastAsia="zh-CN"/>
        </w:rPr>
        <w:t>to</w:t>
      </w:r>
      <w:r>
        <w:t xml:space="preserve"> transmit NPUSCH with the Pumax level of</w:t>
      </w:r>
      <w:r>
        <w:rPr>
          <w:lang w:eastAsia="zh-CN"/>
        </w:rPr>
        <w:t xml:space="preserve"> each</w:t>
      </w:r>
      <w:r>
        <w:t xml:space="preserve"> test point</w:t>
      </w:r>
      <w:r>
        <w:rPr>
          <w:lang w:eastAsia="zh-CN"/>
        </w:rPr>
        <w:t>s</w:t>
      </w:r>
      <w:r>
        <w:t>.</w:t>
      </w:r>
    </w:p>
    <w:p>
      <w:pPr>
        <w:pStyle w:val="111"/>
        <w:overflowPunct w:val="0"/>
        <w:autoSpaceDE w:val="0"/>
        <w:autoSpaceDN w:val="0"/>
        <w:adjustRightInd w:val="0"/>
        <w:contextualSpacing w:val="0"/>
        <w:textAlignment w:val="baseline"/>
        <w:rPr>
          <w:lang w:eastAsia="zh-CN"/>
        </w:rPr>
      </w:pPr>
      <w:r>
        <w:t>3.</w:t>
      </w:r>
      <w:r>
        <w:rPr>
          <w:lang w:eastAsia="ko-KR"/>
        </w:rPr>
        <w:tab/>
      </w:r>
      <w:r>
        <w:rPr>
          <w:lang w:eastAsia="ko-KR"/>
        </w:rPr>
        <w:t>Measure the mean power of the UE in the channel bandwidth for each test point in table 6.2B.4.4-1 a</w:t>
      </w:r>
      <w:r>
        <w:t xml:space="preserve">ccording to the test configuration from </w:t>
      </w:r>
      <w:r>
        <w:rPr>
          <w:lang w:eastAsia="ko-KR"/>
        </w:rPr>
        <w:t>table 6.2B.4.4-1</w:t>
      </w:r>
      <w:r>
        <w:t>. The period of measurement shall be at least continuous duration of</w:t>
      </w:r>
      <w:r>
        <w:rPr>
          <w:b/>
        </w:rPr>
        <w:t xml:space="preserve"> </w:t>
      </w:r>
      <w:r>
        <w:t>one sub-frame</w:t>
      </w:r>
      <w:r>
        <w:rPr>
          <w:b/>
        </w:rPr>
        <w:t xml:space="preserve"> (</w:t>
      </w:r>
      <w:r>
        <w:t>1ms) for 15 KHz channel spacing, and at least a 2ms slot (excluding the 2304Ts gap when UE is not transmitting) respectively for the 3.75 KHz channel spacing. For TDD slots with transient periods are not under test.</w:t>
      </w:r>
    </w:p>
    <w:p>
      <w:pPr>
        <w:pStyle w:val="9"/>
      </w:pPr>
      <w:r>
        <w:t>6.2B.4.4.3</w:t>
      </w:r>
      <w:r>
        <w:tab/>
      </w:r>
      <w:r>
        <w:t>Message contents</w:t>
      </w:r>
    </w:p>
    <w:p>
      <w:pPr>
        <w:rPr>
          <w:lang w:eastAsia="ja-JP"/>
        </w:rPr>
      </w:pPr>
      <w:r>
        <w:t xml:space="preserve">Message contents are according to TS 36.508 [12] subclause </w:t>
      </w:r>
      <w:r>
        <w:rPr>
          <w:lang w:eastAsia="zh-CN"/>
        </w:rPr>
        <w:t>8.1.6</w:t>
      </w:r>
      <w:r>
        <w:t xml:space="preserve"> with the following exception</w:t>
      </w:r>
      <w:r>
        <w:rPr>
          <w:lang w:eastAsia="ja-JP"/>
        </w:rPr>
        <w:t>s:</w:t>
      </w:r>
    </w:p>
    <w:p>
      <w:pPr>
        <w:pStyle w:val="113"/>
      </w:pPr>
      <w:r>
        <w:t>Table 6.2B.4.4.3-1: SystemInformationBlockType1: Test point 1 for power class 3</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Pr>
        <w:rPr>
          <w:lang w:eastAsia="ja-JP"/>
        </w:rPr>
      </w:pPr>
    </w:p>
    <w:p>
      <w:pPr>
        <w:pStyle w:val="113"/>
      </w:pPr>
      <w:r>
        <w:t>Table 6.2B.4.4.3-2: SystemInformationBlockType1: Test point 2 for power class 3</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pPr>
      <w:r>
        <w:t>Table 6.2B.4.4.3-3: SystemInformationBlockType1: Test point 3 for power class 3</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p-Max</w:t>
            </w:r>
          </w:p>
        </w:tc>
        <w:tc>
          <w:tcPr>
            <w:tcW w:w="2267" w:type="dxa"/>
          </w:tcPr>
          <w:p>
            <w:pPr>
              <w:pStyle w:val="103"/>
            </w:pPr>
            <w:r>
              <w:t>15</w:t>
            </w:r>
          </w:p>
        </w:tc>
        <w:tc>
          <w:tcPr>
            <w:tcW w:w="1700" w:type="dxa"/>
          </w:tcPr>
          <w:p>
            <w:pPr>
              <w:spacing w:after="0"/>
            </w:pPr>
          </w:p>
        </w:tc>
        <w:tc>
          <w:tcPr>
            <w:tcW w:w="1133" w:type="dxa"/>
          </w:tcPr>
          <w:p>
            <w:pPr>
              <w:pStyle w:val="103"/>
            </w:pPr>
          </w:p>
        </w:tc>
      </w:tr>
    </w:tbl>
    <w:p/>
    <w:p>
      <w:pPr>
        <w:pStyle w:val="113"/>
        <w:rPr>
          <w:lang w:eastAsia="zh-CN"/>
        </w:rPr>
      </w:pPr>
      <w:r>
        <w:t>Table 6.2B.4.4.3-4: SystemInformationBlockType1: Test point 1</w:t>
      </w:r>
      <w:r>
        <w:rPr>
          <w:lang w:eastAsia="zh-CN"/>
        </w:rPr>
        <w:t xml:space="preserve"> </w:t>
      </w:r>
      <w:r>
        <w:t xml:space="preserve">for power class </w:t>
      </w:r>
      <w:r>
        <w:rPr>
          <w:lang w:eastAsia="zh-CN"/>
        </w:rPr>
        <w:t>5</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Pr>
          <w:p>
            <w:pPr>
              <w:pStyle w:val="103"/>
            </w:pPr>
            <w:r>
              <w:t>p-Max</w:t>
            </w:r>
          </w:p>
        </w:tc>
        <w:tc>
          <w:tcPr>
            <w:tcW w:w="2267" w:type="dxa"/>
          </w:tcPr>
          <w:p>
            <w:pPr>
              <w:pStyle w:val="103"/>
            </w:pPr>
            <w:r>
              <w:t>-10</w:t>
            </w:r>
          </w:p>
        </w:tc>
        <w:tc>
          <w:tcPr>
            <w:tcW w:w="1700" w:type="dxa"/>
          </w:tcPr>
          <w:p>
            <w:pPr>
              <w:spacing w:after="0"/>
            </w:pPr>
          </w:p>
        </w:tc>
        <w:tc>
          <w:tcPr>
            <w:tcW w:w="1133" w:type="dxa"/>
          </w:tcPr>
          <w:p>
            <w:pPr>
              <w:pStyle w:val="103"/>
            </w:pPr>
          </w:p>
        </w:tc>
      </w:tr>
    </w:tbl>
    <w:p/>
    <w:p>
      <w:pPr>
        <w:pStyle w:val="113"/>
        <w:rPr>
          <w:lang w:eastAsia="zh-CN"/>
        </w:rPr>
      </w:pPr>
      <w:r>
        <w:t>Table 6.2B.4.4.3: SystemInformationBlockType1: Test point 2</w:t>
      </w:r>
      <w:r>
        <w:rPr>
          <w:lang w:eastAsia="zh-CN"/>
        </w:rPr>
        <w:t xml:space="preserve"> </w:t>
      </w:r>
      <w:r>
        <w:t xml:space="preserve">for power class </w:t>
      </w:r>
      <w:r>
        <w:rPr>
          <w:lang w:eastAsia="zh-CN"/>
        </w:rPr>
        <w:t>5</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Pr>
          <w:p>
            <w:pPr>
              <w:pStyle w:val="103"/>
            </w:pPr>
            <w:r>
              <w:t>p-Max</w:t>
            </w:r>
          </w:p>
        </w:tc>
        <w:tc>
          <w:tcPr>
            <w:tcW w:w="2267" w:type="dxa"/>
          </w:tcPr>
          <w:p>
            <w:pPr>
              <w:pStyle w:val="103"/>
              <w:rPr>
                <w:lang w:eastAsia="zh-CN"/>
              </w:rPr>
            </w:pPr>
            <w:r>
              <w:rPr>
                <w:lang w:eastAsia="zh-CN"/>
              </w:rPr>
              <w:t>7</w:t>
            </w:r>
          </w:p>
        </w:tc>
        <w:tc>
          <w:tcPr>
            <w:tcW w:w="1700" w:type="dxa"/>
          </w:tcPr>
          <w:p>
            <w:pPr>
              <w:spacing w:after="0"/>
            </w:pPr>
          </w:p>
        </w:tc>
        <w:tc>
          <w:tcPr>
            <w:tcW w:w="1133" w:type="dxa"/>
          </w:tcPr>
          <w:p>
            <w:pPr>
              <w:pStyle w:val="103"/>
            </w:pPr>
          </w:p>
        </w:tc>
      </w:tr>
    </w:tbl>
    <w:p/>
    <w:p>
      <w:pPr>
        <w:pStyle w:val="113"/>
        <w:rPr>
          <w:lang w:eastAsia="zh-CN"/>
        </w:rPr>
      </w:pPr>
      <w:r>
        <w:t>Table 6.2B.4.4.3: SystemInformationBlockType1: Test point 3</w:t>
      </w:r>
      <w:r>
        <w:rPr>
          <w:lang w:eastAsia="zh-CN"/>
        </w:rPr>
        <w:t xml:space="preserve"> </w:t>
      </w:r>
      <w:r>
        <w:t xml:space="preserve">for power class </w:t>
      </w:r>
      <w:r>
        <w:rPr>
          <w:lang w:eastAsia="zh-CN"/>
        </w:rPr>
        <w:t>5</w:t>
      </w:r>
    </w:p>
    <w:tbl>
      <w:tblPr>
        <w:tblStyle w:val="89"/>
        <w:tblW w:w="9635"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8.1.4, Table 8.1.4.3.2-3 SystemInformationBlockType1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Pr>
          <w:p>
            <w:pPr>
              <w:pStyle w:val="103"/>
            </w:pPr>
            <w:r>
              <w:t>p-Max</w:t>
            </w:r>
          </w:p>
        </w:tc>
        <w:tc>
          <w:tcPr>
            <w:tcW w:w="2267" w:type="dxa"/>
          </w:tcPr>
          <w:p>
            <w:pPr>
              <w:pStyle w:val="103"/>
              <w:rPr>
                <w:lang w:eastAsia="zh-CN"/>
              </w:rPr>
            </w:pPr>
            <w:r>
              <w:t>1</w:t>
            </w:r>
            <w:r>
              <w:rPr>
                <w:lang w:eastAsia="zh-CN"/>
              </w:rPr>
              <w:t>2</w:t>
            </w:r>
          </w:p>
        </w:tc>
        <w:tc>
          <w:tcPr>
            <w:tcW w:w="1700" w:type="dxa"/>
          </w:tcPr>
          <w:p>
            <w:pPr>
              <w:spacing w:after="0"/>
            </w:pPr>
          </w:p>
        </w:tc>
        <w:tc>
          <w:tcPr>
            <w:tcW w:w="1133" w:type="dxa"/>
          </w:tcPr>
          <w:p>
            <w:pPr>
              <w:pStyle w:val="103"/>
            </w:pPr>
          </w:p>
        </w:tc>
      </w:tr>
    </w:tbl>
    <w:p/>
    <w:p>
      <w:pPr>
        <w:pStyle w:val="9"/>
      </w:pPr>
      <w:r>
        <w:t>6.2B.5</w:t>
      </w:r>
      <w:r>
        <w:tab/>
      </w:r>
      <w:r>
        <w:t>Test requirement</w:t>
      </w:r>
    </w:p>
    <w:p>
      <w:pPr>
        <w:rPr>
          <w:rFonts w:cs="v5.0.0"/>
        </w:rPr>
      </w:pPr>
      <w:r>
        <w:t>The maximum output power measured shall not exceed the values specified in Table 6.2B.5-1.</w:t>
      </w:r>
    </w:p>
    <w:p>
      <w:pPr>
        <w:pStyle w:val="113"/>
        <w:rPr>
          <w:rFonts w:cs="v5.0.0"/>
        </w:rPr>
      </w:pPr>
      <w:r>
        <w:t>Table 6.2B.5-1: P</w:t>
      </w:r>
      <w:r>
        <w:rPr>
          <w:vertAlign w:val="subscript"/>
        </w:rPr>
        <w:t>CMAX</w:t>
      </w:r>
      <w:r>
        <w:t xml:space="preserve"> configured UE output power </w:t>
      </w:r>
      <w:r>
        <w:rPr>
          <w:lang w:eastAsia="zh-CN"/>
        </w:rPr>
        <w:t>for power class 3</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5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tcPr>
          <w:p>
            <w:pPr>
              <w:pStyle w:val="104"/>
            </w:pPr>
          </w:p>
        </w:tc>
        <w:tc>
          <w:tcPr>
            <w:tcW w:w="5538" w:type="dxa"/>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26" w:type="dxa"/>
            <w:vAlign w:val="center"/>
          </w:tcPr>
          <w:p>
            <w:pPr>
              <w:pStyle w:val="103"/>
            </w:pPr>
            <w:r>
              <w:t>Measured UE output power test point 1</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126" w:type="dxa"/>
            <w:vAlign w:val="center"/>
          </w:tcPr>
          <w:p>
            <w:pPr>
              <w:pStyle w:val="103"/>
            </w:pPr>
            <w:r>
              <w:t>Measured UE output power test point 2</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3</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15 dBm ±</w:t>
            </w:r>
            <w:r>
              <w:rPr>
                <w:lang w:eastAsia="zh-CN"/>
              </w:rPr>
              <w:t xml:space="preserve"> 5.7</w:t>
            </w:r>
          </w:p>
        </w:tc>
      </w:tr>
    </w:tbl>
    <w:p/>
    <w:p>
      <w:pPr>
        <w:pStyle w:val="113"/>
        <w:rPr>
          <w:rFonts w:cs="v5.0.0"/>
          <w:lang w:eastAsia="zh-CN"/>
        </w:rPr>
      </w:pPr>
      <w:r>
        <w:t>Table 6.2B.5-2: P</w:t>
      </w:r>
      <w:r>
        <w:rPr>
          <w:vertAlign w:val="subscript"/>
        </w:rPr>
        <w:t>CMAX</w:t>
      </w:r>
      <w:r>
        <w:t xml:space="preserve"> configured UE output power</w:t>
      </w:r>
      <w:r>
        <w:rPr>
          <w:lang w:eastAsia="zh-CN"/>
        </w:rPr>
        <w:t xml:space="preserve"> for power class 5</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55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tcPr>
          <w:p>
            <w:pPr>
              <w:pStyle w:val="104"/>
            </w:pPr>
          </w:p>
        </w:tc>
        <w:tc>
          <w:tcPr>
            <w:tcW w:w="5538" w:type="dxa"/>
          </w:tcPr>
          <w:p>
            <w:pPr>
              <w:pStyle w:val="104"/>
            </w:pPr>
            <w:r>
              <w:t>maximum output power</w:t>
            </w:r>
            <w:r>
              <w:rPr>
                <w:vertAlign w:val="subscript"/>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1</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-10 dBm ± </w:t>
            </w:r>
            <w:r>
              <w:rPr>
                <w:lang w:eastAsia="zh-CN"/>
              </w:rPr>
              <w:t>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2</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7 dBm ± </w:t>
            </w:r>
            <w:r>
              <w:rPr>
                <w:lang w:eastAsia="zh-CN"/>
              </w:rPr>
              <w:t>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26" w:type="dxa"/>
            <w:vAlign w:val="center"/>
          </w:tcPr>
          <w:p>
            <w:pPr>
              <w:pStyle w:val="103"/>
            </w:pPr>
            <w:r>
              <w:t>Measured UE output power test point 3</w:t>
            </w:r>
          </w:p>
        </w:tc>
        <w:tc>
          <w:tcPr>
            <w:tcW w:w="5538" w:type="dxa"/>
            <w:vAlign w:val="center"/>
          </w:tcPr>
          <w:p>
            <w:pPr>
              <w:pStyle w:val="105"/>
              <w:jc w:val="left"/>
              <w:rPr>
                <w:lang w:eastAsia="zh-CN"/>
              </w:rPr>
            </w:pPr>
            <w:r>
              <w:rPr>
                <w:rFonts w:cs="v4.2.0"/>
              </w:rPr>
              <w:t xml:space="preserve">For carrier frequency f </w:t>
            </w:r>
            <w:r>
              <w:rPr>
                <w:rFonts w:cs="Arial"/>
              </w:rPr>
              <w:t>≤</w:t>
            </w:r>
            <w:r>
              <w:rPr>
                <w:rFonts w:cs="v4.2.0"/>
              </w:rPr>
              <w:t xml:space="preserve"> 3.0GHz:</w:t>
            </w:r>
            <w:r>
              <w:t xml:space="preserve"> 12 dBm ±</w:t>
            </w:r>
            <w:r>
              <w:rPr>
                <w:lang w:eastAsia="zh-CN"/>
              </w:rPr>
              <w:t xml:space="preserve"> 5.7</w:t>
            </w:r>
          </w:p>
        </w:tc>
      </w:tr>
    </w:tbl>
    <w:p/>
    <w:p>
      <w:pPr>
        <w:pStyle w:val="4"/>
        <w:rPr>
          <w:rFonts w:cs="v5.0.0"/>
        </w:rPr>
      </w:pPr>
      <w:bookmarkStart w:id="301" w:name="_Toc111062039"/>
      <w:bookmarkStart w:id="302" w:name="_Toc4736"/>
      <w:bookmarkStart w:id="303" w:name="_Toc8436"/>
      <w:bookmarkStart w:id="304" w:name="_Toc120570034"/>
      <w:bookmarkStart w:id="305" w:name="_Toc121162826"/>
      <w:bookmarkStart w:id="306" w:name="_Toc2373"/>
      <w:bookmarkStart w:id="307" w:name="_Toc368026234"/>
      <w:r>
        <w:rPr>
          <w:rFonts w:cs="v5.0.0"/>
        </w:rPr>
        <w:t>6.3</w:t>
      </w:r>
      <w:r>
        <w:rPr>
          <w:rFonts w:cs="v5.0.0"/>
        </w:rPr>
        <w:tab/>
      </w:r>
      <w:r>
        <w:rPr>
          <w:rFonts w:cs="v5.0.0"/>
        </w:rPr>
        <w:t>Output power dynamics</w:t>
      </w:r>
      <w:bookmarkEnd w:id="301"/>
      <w:bookmarkEnd w:id="302"/>
      <w:bookmarkEnd w:id="303"/>
      <w:bookmarkEnd w:id="304"/>
      <w:bookmarkEnd w:id="305"/>
      <w:bookmarkEnd w:id="306"/>
      <w:bookmarkEnd w:id="307"/>
    </w:p>
    <w:p>
      <w:r>
        <w:t>This clause is reserved.</w:t>
      </w:r>
    </w:p>
    <w:p>
      <w:pPr>
        <w:pStyle w:val="4"/>
        <w:rPr>
          <w:rFonts w:cs="v5.0.0"/>
        </w:rPr>
      </w:pPr>
      <w:bookmarkStart w:id="308" w:name="_Toc120570035"/>
      <w:bookmarkStart w:id="309" w:name="_Toc121162827"/>
      <w:bookmarkStart w:id="310" w:name="_Toc27857"/>
      <w:bookmarkStart w:id="311" w:name="_Toc2122"/>
      <w:bookmarkStart w:id="312" w:name="_Toc2744"/>
      <w:r>
        <w:rPr>
          <w:rFonts w:cs="v5.0.0"/>
        </w:rPr>
        <w:t>6.3A</w:t>
      </w:r>
      <w:r>
        <w:rPr>
          <w:rFonts w:cs="v5.0.0"/>
        </w:rPr>
        <w:tab/>
      </w:r>
      <w:r>
        <w:rPr>
          <w:rFonts w:cs="v5.0.0"/>
        </w:rPr>
        <w:t>Output power dynamics for category M1</w:t>
      </w:r>
      <w:bookmarkEnd w:id="308"/>
      <w:bookmarkEnd w:id="309"/>
      <w:bookmarkEnd w:id="310"/>
      <w:bookmarkEnd w:id="311"/>
      <w:bookmarkEnd w:id="312"/>
    </w:p>
    <w:p>
      <w:pPr>
        <w:pStyle w:val="5"/>
      </w:pPr>
      <w:bookmarkStart w:id="313" w:name="_Toc120570036"/>
      <w:bookmarkStart w:id="314" w:name="_Toc25542"/>
      <w:bookmarkStart w:id="315" w:name="_Toc159"/>
      <w:bookmarkStart w:id="316" w:name="_Toc29359"/>
      <w:bookmarkStart w:id="317" w:name="_Toc121162828"/>
      <w:r>
        <w:t>6.3A.1</w:t>
      </w:r>
      <w:r>
        <w:tab/>
      </w:r>
      <w:r>
        <w:t>UE Minimum output power for category M1</w:t>
      </w:r>
      <w:bookmarkEnd w:id="313"/>
      <w:bookmarkEnd w:id="314"/>
      <w:bookmarkEnd w:id="315"/>
      <w:bookmarkEnd w:id="316"/>
      <w:bookmarkEnd w:id="317"/>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6.3A.1.1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r>
        <w:t>.</w:t>
      </w:r>
    </w:p>
    <w:p>
      <w:pPr>
        <w:pStyle w:val="9"/>
      </w:pPr>
      <w:r>
        <w:t>6.3A.1.2</w:t>
      </w:r>
      <w:r>
        <w:tab/>
      </w:r>
      <w:r>
        <w:t>Test applicability</w:t>
      </w:r>
    </w:p>
    <w:p>
      <w:r>
        <w:t>This test case applies to all types of E-UTRA UE release 17 and forward of UE category M1 that support satellite access operation.</w:t>
      </w:r>
    </w:p>
    <w:p>
      <w:pPr>
        <w:pStyle w:val="9"/>
      </w:pPr>
      <w:r>
        <w:t>6.3A.1.3</w:t>
      </w:r>
      <w:r>
        <w:tab/>
      </w:r>
      <w:r>
        <w:t>Minimum conformance requirements</w:t>
      </w:r>
    </w:p>
    <w:p>
      <w:pPr>
        <w:rPr>
          <w:rFonts w:eastAsiaTheme="minorEastAsia"/>
        </w:rPr>
      </w:pPr>
      <w:r>
        <w:rPr>
          <w:rFonts w:eastAsiaTheme="minorEastAsia"/>
        </w:rPr>
        <w:t>The minimum output power is defined as the mean power in one sub-frame (1ms). The minimum output power shall not exceed the values specified in Table 6.3A.1-1.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Table 6.3A.1-1: Minimum output power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795" w:type="dxa"/>
            <w:vMerge w:val="restart"/>
          </w:tcPr>
          <w:p>
            <w:pPr>
              <w:keepNext/>
              <w:keepLines/>
              <w:spacing w:after="0"/>
              <w:jc w:val="center"/>
              <w:rPr>
                <w:rFonts w:ascii="Arial" w:hAnsi="Arial" w:eastAsia="Batang"/>
                <w:color w:val="000000"/>
                <w:sz w:val="18"/>
                <w:lang w:eastAsia="ja-JP"/>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6.3A.1.</w:t>
      </w:r>
    </w:p>
    <w:p>
      <w:pPr>
        <w:rPr>
          <w:rFonts w:eastAsiaTheme="minorEastAsia"/>
        </w:rPr>
      </w:pPr>
      <w:r>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pPr>
        <w:rPr>
          <w:rFonts w:eastAsiaTheme="minorEastAsia"/>
        </w:rPr>
      </w:pPr>
      <w:r>
        <w:rPr>
          <w:rFonts w:eastAsiaTheme="minorEastAsia"/>
        </w:rPr>
        <w:t>An excess minimum output power potentially increases the Rise Over Thermal (RoT) and therefore reduces the cell coverage area for other UEs.</w:t>
      </w:r>
    </w:p>
    <w:p>
      <w:pPr>
        <w:pStyle w:val="9"/>
      </w:pPr>
      <w:r>
        <w:t>6.3A.1.4</w:t>
      </w:r>
      <w:r>
        <w:tab/>
      </w:r>
      <w:r>
        <w:t>Test description</w:t>
      </w:r>
    </w:p>
    <w:p>
      <w:pPr>
        <w:pStyle w:val="9"/>
      </w:pPr>
      <w:r>
        <w:t>6.3A.1.4.1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pPr>
        <w:rPr>
          <w:rFonts w:eastAsiaTheme="minorEastAsia"/>
        </w:rPr>
      </w:pPr>
      <w:r>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TS 36.521-1[14] Annex A.2. Configurations of PDSCH and MPDCCH before measurement are specified in TS 36.521-1[14] Annex C.2.</w:t>
      </w:r>
    </w:p>
    <w:p>
      <w:pPr>
        <w:keepNext/>
        <w:keepLines/>
        <w:spacing w:before="60"/>
        <w:jc w:val="center"/>
        <w:rPr>
          <w:rFonts w:ascii="Arial" w:hAnsi="Arial" w:eastAsia="Batang"/>
          <w:b/>
          <w:color w:val="000000"/>
        </w:rPr>
      </w:pPr>
      <w:r>
        <w:rPr>
          <w:rFonts w:ascii="Arial" w:hAnsi="Arial" w:eastAsia="Batang"/>
          <w:b/>
          <w:color w:val="000000"/>
          <w:lang w:eastAsia="ja-JP"/>
        </w:rPr>
        <w:t>Table 6.3A.1.4.1-1: Test Configuration T</w:t>
      </w:r>
      <w:r>
        <w:rPr>
          <w:rFonts w:ascii="Arial" w:hAnsi="Arial" w:eastAsia="Batang"/>
          <w:b/>
          <w:color w:val="000000"/>
        </w:rPr>
        <w:t>able</w:t>
      </w:r>
    </w:p>
    <w:tbl>
      <w:tblPr>
        <w:tblStyle w:val="89"/>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0" w:type="dxa"/>
          <w:left w:w="108" w:type="dxa"/>
          <w:bottom w:w="0" w:type="dxa"/>
          <w:right w:w="108" w:type="dxa"/>
        </w:tblCellMar>
      </w:tblPr>
      <w:tblGrid>
        <w:gridCol w:w="1166"/>
        <w:gridCol w:w="2330"/>
        <w:gridCol w:w="1165"/>
        <w:gridCol w:w="1146"/>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Test Environment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Frequencies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3496" w:type="dxa"/>
            <w:gridSpan w:val="2"/>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Test Channel Bandwidths as specified in</w:t>
            </w:r>
          </w:p>
          <w:p>
            <w:pPr>
              <w:keepNext/>
              <w:keepLines/>
              <w:spacing w:after="0"/>
              <w:jc w:val="center"/>
              <w:rPr>
                <w:rFonts w:ascii="Arial" w:hAnsi="Arial"/>
                <w:color w:val="000000"/>
                <w:sz w:val="18"/>
                <w:lang w:eastAsia="ja-JP"/>
              </w:rPr>
            </w:pPr>
            <w:r>
              <w:rPr>
                <w:rFonts w:ascii="Arial" w:hAnsi="Arial"/>
                <w:color w:val="000000"/>
                <w:sz w:val="18"/>
                <w:lang w:eastAsia="ja-JP"/>
              </w:rPr>
              <w:t>TS 36.508 [12] subclause 4.3.1</w:t>
            </w:r>
          </w:p>
        </w:tc>
        <w:tc>
          <w:tcPr>
            <w:tcW w:w="5004" w:type="dxa"/>
            <w:gridSpan w:val="3"/>
            <w:shd w:val="clear" w:color="auto" w:fill="FFFFFF"/>
          </w:tcPr>
          <w:p>
            <w:pPr>
              <w:keepNext/>
              <w:keepLines/>
              <w:spacing w:after="0"/>
              <w:rPr>
                <w:rFonts w:ascii="Arial" w:hAnsi="Arial"/>
                <w:color w:val="000000"/>
                <w:sz w:val="18"/>
                <w:lang w:eastAsia="ja-JP"/>
              </w:rPr>
            </w:pPr>
            <w:r>
              <w:rPr>
                <w:rFonts w:ascii="Arial" w:hAnsi="Arial"/>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8500" w:type="dxa"/>
            <w:gridSpan w:val="5"/>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Downlink Configuration</w:t>
            </w:r>
          </w:p>
        </w:tc>
        <w:tc>
          <w:tcPr>
            <w:tcW w:w="3839" w:type="dxa"/>
            <w:gridSpan w:val="2"/>
            <w:shd w:val="clear" w:color="auto" w:fill="FFFFFF"/>
          </w:tcPr>
          <w:p>
            <w:pPr>
              <w:keepNext/>
              <w:keepLines/>
              <w:spacing w:after="0"/>
              <w:jc w:val="center"/>
              <w:rPr>
                <w:rFonts w:ascii="Arial" w:hAnsi="Arial"/>
                <w:b/>
                <w:color w:val="000000"/>
                <w:sz w:val="18"/>
                <w:lang w:eastAsia="ja-JP"/>
              </w:rPr>
            </w:pPr>
            <w:r>
              <w:rPr>
                <w:rFonts w:ascii="Arial" w:hAnsi="Arial"/>
                <w:b/>
                <w:color w:val="000000"/>
                <w:sz w:val="18"/>
                <w:lang w:eastAsia="ja-JP"/>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Ch BW</w:t>
            </w:r>
          </w:p>
        </w:tc>
        <w:tc>
          <w:tcPr>
            <w:tcW w:w="3495" w:type="dxa"/>
            <w:gridSpan w:val="2"/>
            <w:vMerge w:val="restart"/>
            <w:shd w:val="clear" w:color="auto" w:fill="FFFFFF"/>
          </w:tcPr>
          <w:p>
            <w:pPr>
              <w:keepNext/>
              <w:keepLines/>
              <w:spacing w:after="0"/>
              <w:jc w:val="center"/>
              <w:rPr>
                <w:rFonts w:ascii="Arial" w:hAnsi="Arial"/>
                <w:color w:val="000000"/>
                <w:sz w:val="18"/>
                <w:lang w:eastAsia="ja-JP"/>
              </w:rPr>
            </w:pPr>
            <w:r>
              <w:rPr>
                <w:rFonts w:ascii="Arial" w:hAnsi="Arial"/>
                <w:color w:val="000000"/>
                <w:sz w:val="18"/>
                <w:lang w:eastAsia="ja-JP"/>
              </w:rPr>
              <w:t>N/A for min output power test</w:t>
            </w:r>
          </w:p>
        </w:tc>
        <w:tc>
          <w:tcPr>
            <w:tcW w:w="1146"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Mod'n</w:t>
            </w:r>
          </w:p>
        </w:tc>
        <w:tc>
          <w:tcPr>
            <w:tcW w:w="2693" w:type="dxa"/>
            <w:shd w:val="clear" w:color="auto" w:fill="FFFFFF"/>
          </w:tcPr>
          <w:p>
            <w:pPr>
              <w:keepNext/>
              <w:keepLines/>
              <w:spacing w:after="0"/>
              <w:jc w:val="center"/>
              <w:rPr>
                <w:rFonts w:ascii="Arial" w:hAnsi="Arial" w:cs="v5.0.0"/>
                <w:color w:val="000000"/>
                <w:sz w:val="18"/>
                <w:lang w:eastAsia="ja-JP"/>
              </w:rPr>
            </w:pPr>
            <w:r>
              <w:rPr>
                <w:rFonts w:ascii="Arial" w:hAnsi="Arial" w:cs="v5.0.0"/>
                <w:color w:val="000000"/>
                <w:sz w:val="18"/>
                <w:lang w:eastAsia="ja-JP"/>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jc w:val="center"/>
        </w:trPr>
        <w:tc>
          <w:tcPr>
            <w:tcW w:w="1166" w:type="dxa"/>
            <w:shd w:val="clear" w:color="auto" w:fill="FFFFFF"/>
          </w:tcPr>
          <w:p>
            <w:pPr>
              <w:keepNext/>
              <w:keepLines/>
              <w:spacing w:after="0"/>
              <w:jc w:val="center"/>
              <w:rPr>
                <w:rFonts w:ascii="Arial" w:hAnsi="Arial" w:eastAsia="Batang"/>
                <w:color w:val="000000"/>
                <w:sz w:val="18"/>
                <w:lang w:eastAsia="ja-JP"/>
              </w:rPr>
            </w:pPr>
          </w:p>
        </w:tc>
        <w:tc>
          <w:tcPr>
            <w:tcW w:w="3495" w:type="dxa"/>
            <w:gridSpan w:val="2"/>
            <w:vMerge w:val="continue"/>
            <w:shd w:val="clear" w:color="auto" w:fill="FFFFFF"/>
          </w:tcPr>
          <w:p>
            <w:pPr>
              <w:rPr>
                <w:rFonts w:eastAsia="Batang"/>
                <w:lang w:eastAsia="ja-JP"/>
              </w:rPr>
            </w:pPr>
          </w:p>
        </w:tc>
        <w:tc>
          <w:tcPr>
            <w:tcW w:w="1146" w:type="dxa"/>
            <w:shd w:val="clear" w:color="auto" w:fill="FFFFFF"/>
          </w:tcPr>
          <w:p>
            <w:pPr>
              <w:keepNext/>
              <w:keepLines/>
              <w:spacing w:after="0"/>
              <w:jc w:val="center"/>
              <w:rPr>
                <w:rFonts w:ascii="Arial" w:hAnsi="Arial" w:eastAsia="Batang"/>
                <w:color w:val="000000"/>
                <w:sz w:val="18"/>
                <w:lang w:eastAsia="ja-JP"/>
              </w:rPr>
            </w:pPr>
          </w:p>
        </w:tc>
        <w:tc>
          <w:tcPr>
            <w:tcW w:w="2693" w:type="dxa"/>
            <w:shd w:val="clear" w:color="auto" w:fill="FFFFFF"/>
          </w:tcPr>
          <w:p>
            <w:pPr>
              <w:keepNext/>
              <w:keepLines/>
              <w:spacing w:after="0"/>
              <w:jc w:val="center"/>
              <w:rPr>
                <w:rFonts w:ascii="Arial" w:hAnsi="Arial"/>
                <w:color w:val="000000"/>
                <w:sz w:val="18"/>
                <w:lang w:eastAsia="ja-JP"/>
              </w:rPr>
            </w:pPr>
            <w:r>
              <w:rPr>
                <w:rFonts w:ascii="Arial" w:hAnsi="Arial" w:cs="v5.0.0"/>
                <w:color w:val="000000"/>
                <w:sz w:val="18"/>
                <w:lang w:eastAsia="ja-JP"/>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trHeight w:val="105" w:hRule="atLeast"/>
          <w:jc w:val="center"/>
        </w:trPr>
        <w:tc>
          <w:tcPr>
            <w:tcW w:w="1166" w:type="dxa"/>
            <w:vMerge w:val="restart"/>
            <w:shd w:val="clear" w:color="auto" w:fill="FFFFFF"/>
            <w:vAlign w:val="center"/>
          </w:tcPr>
          <w:p>
            <w:pPr>
              <w:keepNext/>
              <w:keepLines/>
              <w:spacing w:after="0"/>
              <w:jc w:val="center"/>
              <w:rPr>
                <w:rFonts w:ascii="Arial" w:hAnsi="Arial" w:eastAsia="Malgun Gothic"/>
                <w:color w:val="000000"/>
                <w:sz w:val="18"/>
                <w:lang w:eastAsia="ko-KR"/>
              </w:rPr>
            </w:pPr>
            <w:r>
              <w:rPr>
                <w:rFonts w:ascii="Arial" w:hAnsi="Arial"/>
                <w:color w:val="000000"/>
                <w:sz w:val="18"/>
                <w:lang w:eastAsia="ja-JP"/>
              </w:rPr>
              <w:t>1.4MHz</w:t>
            </w:r>
          </w:p>
        </w:tc>
        <w:tc>
          <w:tcPr>
            <w:tcW w:w="3495" w:type="dxa"/>
            <w:gridSpan w:val="2"/>
            <w:vMerge w:val="continue"/>
            <w:shd w:val="clear" w:color="auto" w:fill="FFFFFF"/>
          </w:tcPr>
          <w:p>
            <w:pPr>
              <w:rPr>
                <w:rFonts w:cs="v5.0.0"/>
              </w:rPr>
            </w:pPr>
          </w:p>
        </w:tc>
        <w:tc>
          <w:tcPr>
            <w:tcW w:w="1146" w:type="dxa"/>
            <w:vMerge w:val="restart"/>
            <w:shd w:val="clear" w:color="auto" w:fill="FFFFFF"/>
            <w:vAlign w:val="center"/>
          </w:tcPr>
          <w:p>
            <w:pPr>
              <w:keepNext/>
              <w:keepLines/>
              <w:spacing w:after="0"/>
              <w:jc w:val="center"/>
              <w:rPr>
                <w:rFonts w:ascii="Arial" w:hAnsi="Arial"/>
                <w:color w:val="000000"/>
                <w:sz w:val="18"/>
                <w:lang w:eastAsia="ja-JP"/>
              </w:rPr>
            </w:pPr>
            <w:r>
              <w:rPr>
                <w:rFonts w:ascii="Arial" w:hAnsi="Arial"/>
                <w:color w:val="000000"/>
                <w:sz w:val="18"/>
                <w:lang w:eastAsia="ja-JP"/>
              </w:rPr>
              <w:t>QPSK</w:t>
            </w:r>
          </w:p>
        </w:tc>
        <w:tc>
          <w:tcPr>
            <w:tcW w:w="2693" w:type="dxa"/>
            <w:shd w:val="clear" w:color="auto" w:fill="FFFFFF"/>
          </w:tcPr>
          <w:p>
            <w:pPr>
              <w:keepNext/>
              <w:keepLines/>
              <w:spacing w:after="0"/>
              <w:jc w:val="center"/>
              <w:rPr>
                <w:rFonts w:ascii="Arial" w:hAnsi="Arial" w:eastAsia="Batang"/>
                <w:color w:val="000000"/>
                <w:sz w:val="18"/>
                <w:lang w:eastAsia="ko-KR"/>
              </w:rPr>
            </w:pPr>
            <w:r>
              <w:rPr>
                <w:rFonts w:ascii="Arial" w:hAnsi="Arial" w:eastAsiaTheme="minorEastAsia"/>
                <w:color w:val="000000"/>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108" w:type="dxa"/>
            <w:bottom w:w="0" w:type="dxa"/>
            <w:right w:w="108" w:type="dxa"/>
          </w:tblCellMar>
        </w:tblPrEx>
        <w:trPr>
          <w:cantSplit/>
          <w:trHeight w:val="105" w:hRule="atLeast"/>
          <w:jc w:val="center"/>
        </w:trPr>
        <w:tc>
          <w:tcPr>
            <w:tcW w:w="1166" w:type="dxa"/>
            <w:vMerge w:val="continue"/>
            <w:shd w:val="clear" w:color="auto" w:fill="FFFFFF"/>
          </w:tcPr>
          <w:p>
            <w:pPr>
              <w:keepNext/>
              <w:keepLines/>
              <w:spacing w:after="0"/>
              <w:jc w:val="center"/>
              <w:rPr>
                <w:rFonts w:ascii="Arial" w:hAnsi="Arial" w:eastAsiaTheme="minorEastAsia"/>
                <w:color w:val="000000"/>
                <w:sz w:val="18"/>
              </w:rPr>
            </w:pPr>
          </w:p>
        </w:tc>
        <w:tc>
          <w:tcPr>
            <w:tcW w:w="3495" w:type="dxa"/>
            <w:gridSpan w:val="2"/>
            <w:vMerge w:val="continue"/>
            <w:shd w:val="clear" w:color="auto" w:fill="FFFFFF"/>
          </w:tcPr>
          <w:p>
            <w:pPr>
              <w:rPr>
                <w:rFonts w:cs="v5.0.0"/>
              </w:rPr>
            </w:pPr>
          </w:p>
        </w:tc>
        <w:tc>
          <w:tcPr>
            <w:tcW w:w="1146" w:type="dxa"/>
            <w:vMerge w:val="continue"/>
            <w:shd w:val="clear" w:color="auto" w:fill="FFFFFF"/>
          </w:tcPr>
          <w:p>
            <w:pPr>
              <w:keepNext/>
              <w:keepLines/>
              <w:spacing w:after="0"/>
              <w:jc w:val="center"/>
              <w:rPr>
                <w:rFonts w:ascii="Arial" w:hAnsi="Arial"/>
                <w:color w:val="000000"/>
                <w:sz w:val="18"/>
                <w:lang w:eastAsia="ja-JP"/>
              </w:rPr>
            </w:pPr>
          </w:p>
        </w:tc>
        <w:tc>
          <w:tcPr>
            <w:tcW w:w="2693" w:type="dxa"/>
            <w:shd w:val="clear" w:color="auto" w:fill="FFFFFF"/>
          </w:tcPr>
          <w:p>
            <w:pPr>
              <w:keepNext/>
              <w:keepLines/>
              <w:spacing w:after="0"/>
              <w:jc w:val="center"/>
              <w:rPr>
                <w:rFonts w:ascii="Arial" w:hAnsi="Arial" w:cs="v5.0.0" w:eastAsiaTheme="minorEastAsia"/>
                <w:color w:val="000000"/>
                <w:sz w:val="18"/>
              </w:rPr>
            </w:pPr>
            <w:r>
              <w:rPr>
                <w:rFonts w:hint="eastAsia" w:ascii="Arial" w:hAnsi="Arial" w:eastAsiaTheme="minorEastAsia"/>
                <w:color w:val="000000"/>
                <w:sz w:val="18"/>
              </w:rPr>
              <w:t>2</w:t>
            </w:r>
          </w:p>
        </w:tc>
      </w:tr>
    </w:tbl>
    <w:p>
      <w:pPr>
        <w:rPr>
          <w:lang w:eastAsia="ja-JP"/>
        </w:rPr>
      </w:pP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1.</w:t>
      </w:r>
      <w:r>
        <w:rPr>
          <w:rFonts w:hint="eastAsia" w:eastAsia="Times New Roman"/>
          <w:lang w:eastAsia="en-GB"/>
        </w:rPr>
        <w:tab/>
      </w:r>
      <w:r>
        <w:rPr>
          <w:rFonts w:hint="eastAsia" w:eastAsia="Times New Roman"/>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w:t>
      </w:r>
      <w:r>
        <w:rPr>
          <w:rFonts w:hint="eastAsia" w:eastAsia="Times New Roman"/>
          <w:lang w:eastAsia="en-GB"/>
        </w:rPr>
        <w:tab/>
      </w:r>
      <w:r>
        <w:rPr>
          <w:rFonts w:hint="eastAsia" w:eastAsia="Times New Roman"/>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w:t>
      </w:r>
      <w:r>
        <w:rPr>
          <w:rFonts w:hint="eastAsia" w:eastAsia="Times New Roman"/>
          <w:lang w:eastAsia="en-GB"/>
        </w:rPr>
        <w:tab/>
      </w:r>
      <w:r>
        <w:rPr>
          <w:rFonts w:hint="eastAsia" w:eastAsia="Times New Roman"/>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4.</w:t>
      </w:r>
      <w:r>
        <w:rPr>
          <w:rFonts w:hint="eastAsia" w:eastAsia="Times New Roman"/>
          <w:lang w:eastAsia="en-GB"/>
        </w:rPr>
        <w:tab/>
      </w:r>
      <w:r>
        <w:rPr>
          <w:rFonts w:hint="eastAsia" w:eastAsia="Times New Roman"/>
          <w:lang w:eastAsia="en-GB"/>
        </w:rPr>
        <w:t>The UL Reference Measurement channel is set according to Table 6.3A.1.4.1-1.</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eastAsia="Times New Roman"/>
          <w:lang w:eastAsia="en-GB"/>
        </w:rPr>
        <w:tab/>
      </w:r>
      <w:r>
        <w:rPr>
          <w:rFonts w:hint="eastAsia" w:eastAsia="Times New Roman"/>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eastAsia="Times New Roman"/>
          <w:lang w:eastAsia="en-GB"/>
        </w:rPr>
        <w:tab/>
      </w:r>
      <w:r>
        <w:rPr>
          <w:rFonts w:hint="eastAsia" w:eastAsia="Times New Roman"/>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8.</w:t>
      </w:r>
      <w:r>
        <w:rPr>
          <w:rFonts w:hint="eastAsia" w:eastAsia="Times New Roman"/>
          <w:lang w:eastAsia="en-GB"/>
        </w:rPr>
        <w:tab/>
      </w:r>
      <w:r>
        <w:rPr>
          <w:rFonts w:hint="eastAsia" w:eastAsia="Times New Roman"/>
          <w:lang w:eastAsia="en-GB"/>
        </w:rPr>
        <w:t xml:space="preserve">Ensure the UE is in State 3A-RF-CE according to TS 36.508 [12] clause 5.2A.2AA. Message contents are defined in clause 6.3A.1.4.3. </w:t>
      </w:r>
    </w:p>
    <w:p>
      <w:pPr>
        <w:pStyle w:val="9"/>
      </w:pPr>
      <w:r>
        <w:t>6.3A.1.4.2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eastAsia="Times New Roman"/>
          <w:color w:val="auto"/>
          <w:lang w:eastAsia="en-GB"/>
        </w:rPr>
        <w:t>Send continuous uplink power control "down" commands in the uplink scheduling information to the UE to ensure that the UE transmits at its minimum output power.</w:t>
      </w:r>
      <w:r>
        <w:rPr>
          <w:rFonts w:hint="eastAsia"/>
          <w:lang w:eastAsia="en-GB"/>
        </w:rPr>
        <w:t xml:space="preserve"> </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eastAsia="Times New Roman"/>
          <w:color w:val="auto"/>
          <w:lang w:eastAsia="en-GB"/>
        </w:rPr>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pPr>
        <w:pStyle w:val="9"/>
      </w:pPr>
      <w:r>
        <w:t>6.3A.1.4.3</w:t>
      </w:r>
      <w:r>
        <w:tab/>
      </w:r>
      <w:r>
        <w:t>Message contents</w:t>
      </w:r>
    </w:p>
    <w:p>
      <w:pPr>
        <w:rPr>
          <w:lang w:eastAsia="ja-JP"/>
        </w:rPr>
      </w:pPr>
      <w:r>
        <w:t>Message contents are according to TS 36.508 [12] subclause 4.6</w:t>
      </w:r>
    </w:p>
    <w:p>
      <w:pPr>
        <w:pStyle w:val="9"/>
      </w:pPr>
      <w:r>
        <w:t>6.3A.1.5</w:t>
      </w:r>
      <w:r>
        <w:tab/>
      </w:r>
      <w:r>
        <w:t>Test requirement</w:t>
      </w:r>
    </w:p>
    <w:p>
      <w:pPr>
        <w:rPr>
          <w:rFonts w:eastAsia="Batang" w:cs="v5.0.0"/>
        </w:rPr>
      </w:pPr>
      <w:r>
        <w:rPr>
          <w:rFonts w:eastAsia="Batang"/>
        </w:rPr>
        <w:t>The minimum output power measured shall not exceed the values specified in Table 6.3A.1.5-1.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 xml:space="preserve">Table 6.3A.1.5-1: Minimum output power for </w:t>
      </w:r>
      <w:r>
        <w:rPr>
          <w:rFonts w:ascii="Arial" w:hAnsi="Arial" w:eastAsia="Batang"/>
          <w:b/>
          <w:color w:val="000000"/>
          <w:lang w:eastAsia="ko-KR"/>
        </w:rPr>
        <w:t>UE c</w:t>
      </w:r>
      <w:r>
        <w:rPr>
          <w:rFonts w:ascii="Arial" w:hAnsi="Arial" w:eastAsia="Batang"/>
          <w:b/>
          <w:color w:val="000000"/>
          <w:lang w:eastAsia="ja-JP"/>
        </w:rPr>
        <w:t>ategory M1</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pPr>
              <w:keepNext/>
              <w:keepLines/>
              <w:spacing w:after="0"/>
              <w:jc w:val="center"/>
              <w:rPr>
                <w:rFonts w:ascii="Arial" w:hAnsi="Arial"/>
                <w:b/>
                <w:color w:val="000000"/>
                <w:sz w:val="18"/>
                <w:lang w:eastAsia="ja-JP"/>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pPr>
              <w:rPr>
                <w:rFonts w:eastAsia="Batang"/>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hint="eastAsia" w:ascii="Arial" w:hAnsi="Arial" w:eastAsia="MS Mincho"/>
                <w:b/>
                <w:color w:val="000000"/>
                <w:sz w:val="18"/>
                <w:lang w:eastAsia="ja-JP"/>
              </w:rPr>
              <w:t xml:space="preserve"> </w:t>
            </w:r>
            <w:r>
              <w:rPr>
                <w:rFonts w:ascii="Arial" w:hAnsi="Arial"/>
                <w:b/>
                <w:color w:val="000000"/>
                <w:sz w:val="18"/>
                <w:lang w:eastAsia="ja-JP"/>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-39 dBm</w:t>
            </w:r>
          </w:p>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-38.7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 (Note 1)</w:t>
            </w:r>
          </w:p>
        </w:tc>
        <w:tc>
          <w:tcPr>
            <w:tcW w:w="5869"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64" w:type="dxa"/>
            <w:gridSpan w:val="2"/>
            <w:vAlign w:val="center"/>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Different implementations such as FFT or spectrum analyzer approach are allowed. For spectrum analyzer approach the measurement bandwidth is defined as an equivalent noise bandwidth.</w:t>
            </w:r>
          </w:p>
        </w:tc>
      </w:tr>
    </w:tbl>
    <w:p>
      <w:pPr>
        <w:rPr>
          <w:lang w:eastAsia="zh-TW"/>
        </w:rPr>
      </w:pPr>
    </w:p>
    <w:p>
      <w:pPr>
        <w:pStyle w:val="5"/>
      </w:pPr>
      <w:bookmarkStart w:id="318" w:name="_Toc27075"/>
      <w:bookmarkStart w:id="319" w:name="_Toc121162830"/>
      <w:bookmarkStart w:id="320" w:name="_Toc15525"/>
      <w:bookmarkStart w:id="321" w:name="_Toc27607"/>
      <w:bookmarkStart w:id="322" w:name="_Toc120570038"/>
      <w:bookmarkStart w:id="323" w:name="_Toc111062041"/>
      <w:r>
        <w:t>6.3A.2</w:t>
      </w:r>
      <w:r>
        <w:tab/>
      </w:r>
      <w:r>
        <w:t>Transmit OFF power for category M1</w:t>
      </w:r>
      <w:bookmarkEnd w:id="318"/>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Message exceptions specific to satellite access is TBD</w:t>
      </w:r>
    </w:p>
    <w:p>
      <w:pPr>
        <w:pStyle w:val="9"/>
      </w:pPr>
      <w:r>
        <w:t>6.3A.2.1</w:t>
      </w:r>
      <w:r>
        <w:tab/>
      </w:r>
      <w:r>
        <w:t>Test purpose</w:t>
      </w:r>
    </w:p>
    <w:p>
      <w:pPr>
        <w:rPr>
          <w:rFonts w:eastAsiaTheme="minorEastAsia"/>
        </w:rPr>
      </w:pPr>
      <w:r>
        <w:rPr>
          <w:rFonts w:eastAsiaTheme="minorEastAsia"/>
        </w:rPr>
        <w:t>To verify that the UE transmit OFF power is lower than the value specified in the test requirement.</w:t>
      </w:r>
    </w:p>
    <w:p>
      <w:pPr>
        <w:pStyle w:val="9"/>
      </w:pPr>
      <w:r>
        <w:t>6.3A.2.2</w:t>
      </w:r>
      <w:r>
        <w:tab/>
      </w:r>
      <w:r>
        <w:t>Test applicability</w:t>
      </w:r>
    </w:p>
    <w:p>
      <w:pPr>
        <w:rPr>
          <w:rFonts w:eastAsiaTheme="minorEastAsia"/>
        </w:rPr>
      </w:pPr>
      <w:r>
        <w:rPr>
          <w:rFonts w:eastAsiaTheme="minorEastAsia"/>
        </w:rPr>
        <w:t>The requirements of this test apply in test cases 6.3A.3.1 ON/OFF time mask and 6.3A.3.2 PRACH and SRS time mask to all types of E-UTRA UE release 17 and forward that support satellite access operation.</w:t>
      </w:r>
    </w:p>
    <w:p>
      <w:pPr>
        <w:pStyle w:val="9"/>
      </w:pPr>
      <w:r>
        <w:t>6.3A.2.3</w:t>
      </w:r>
      <w:r>
        <w:tab/>
      </w:r>
      <w:r>
        <w:t>Minimum conformance requirements</w:t>
      </w:r>
    </w:p>
    <w:p>
      <w:pPr>
        <w:rPr>
          <w:rFonts w:eastAsiaTheme="minorEastAsia"/>
        </w:rPr>
      </w:pPr>
      <w:r>
        <w:rPr>
          <w:rFonts w:eastAsiaTheme="minorEastAsia"/>
        </w:rPr>
        <w:t>The minimum output power is defined as the mean power in one sub-frame (1ms). The minimum output power shall not exceed the values specified in Table 6.3A.2.3-1.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Table 6.3A.2.3-1: Minimum output power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40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restart"/>
          </w:tcPr>
          <w:p>
            <w:pPr>
              <w:keepNext/>
              <w:keepLines/>
              <w:spacing w:after="0"/>
              <w:jc w:val="center"/>
              <w:rPr>
                <w:rFonts w:ascii="Arial" w:hAnsi="Arial" w:eastAsia="Batang"/>
                <w:color w:val="000000"/>
                <w:sz w:val="18"/>
                <w:lang w:eastAsia="ja-JP"/>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Merge w:val="continue"/>
          </w:tcPr>
          <w:p>
            <w:pPr>
              <w:rPr>
                <w:rFonts w:eastAsia="Batang"/>
              </w:rPr>
            </w:pPr>
          </w:p>
        </w:tc>
        <w:tc>
          <w:tcPr>
            <w:tcW w:w="4045" w:type="dxa"/>
          </w:tcPr>
          <w:p>
            <w:pPr>
              <w:keepNext/>
              <w:keepLines/>
              <w:spacing w:after="0"/>
              <w:jc w:val="center"/>
              <w:rPr>
                <w:rFonts w:ascii="Arial" w:hAnsi="Arial"/>
                <w:b/>
                <w:color w:val="000000"/>
                <w:sz w:val="18"/>
                <w:lang w:eastAsia="ja-JP"/>
              </w:rPr>
            </w:pPr>
            <w:r>
              <w:rPr>
                <w:rFonts w:ascii="Arial" w:hAnsi="Arial"/>
                <w:b/>
                <w:color w:val="000000"/>
                <w:sz w:val="18"/>
                <w:lang w:eastAsia="ja-JP"/>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-50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Measurement bandwidth</w:t>
            </w:r>
          </w:p>
        </w:tc>
        <w:tc>
          <w:tcPr>
            <w:tcW w:w="404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Pr>
        <w:rPr>
          <w:rFonts w:eastAsiaTheme="minorEastAsia"/>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6.3A.2.</w:t>
      </w:r>
    </w:p>
    <w:p>
      <w:pPr>
        <w:rPr>
          <w:rFonts w:eastAsiaTheme="minorEastAsia"/>
        </w:rPr>
      </w:pPr>
      <w:r>
        <w:rPr>
          <w:rFonts w:eastAsiaTheme="minorEastAsia"/>
        </w:rPr>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pPr>
        <w:rPr>
          <w:rFonts w:eastAsiaTheme="minorEastAsia"/>
        </w:rPr>
      </w:pPr>
      <w:r>
        <w:rPr>
          <w:rFonts w:eastAsiaTheme="minorEastAsia"/>
        </w:rPr>
        <w:t>An excess transmits OFF power potentially increases the Rise over Thermal (RoT) and therefore reduces the cell coverage area for other UEs.</w:t>
      </w:r>
    </w:p>
    <w:p>
      <w:pPr>
        <w:pStyle w:val="9"/>
      </w:pPr>
      <w:r>
        <w:t>6.3A.2.4</w:t>
      </w:r>
      <w:r>
        <w:tab/>
      </w:r>
      <w:r>
        <w:t>Test description</w:t>
      </w:r>
    </w:p>
    <w:p>
      <w:pPr>
        <w:rPr>
          <w:rFonts w:eastAsiaTheme="minorEastAsia"/>
        </w:rPr>
      </w:pPr>
      <w:r>
        <w:rPr>
          <w:rFonts w:eastAsiaTheme="minorEastAsia"/>
        </w:rPr>
        <w:t>This test is covered by clause 6.3A.3.1 ON/OFF time mask and 6.3A.3.2 PRACH and SRS time mask.</w:t>
      </w:r>
    </w:p>
    <w:p>
      <w:pPr>
        <w:pStyle w:val="9"/>
      </w:pPr>
      <w:r>
        <w:t>6.3A.2.5</w:t>
      </w:r>
      <w:r>
        <w:tab/>
      </w:r>
      <w:r>
        <w:t>Test requirement</w:t>
      </w:r>
    </w:p>
    <w:p>
      <w:pPr>
        <w:rPr>
          <w:rFonts w:eastAsia="Batang" w:cs="v5.0.0"/>
        </w:rPr>
      </w:pPr>
      <w:r>
        <w:rPr>
          <w:rFonts w:eastAsia="Batang"/>
        </w:rPr>
        <w:t>The minimum output power measured shall not exceed the values specified in Table 6.3A.2.5-1.</w:t>
      </w:r>
    </w:p>
    <w:p>
      <w:pPr>
        <w:keepNext/>
        <w:keepLines/>
        <w:spacing w:before="60"/>
        <w:jc w:val="center"/>
        <w:rPr>
          <w:rFonts w:ascii="Arial" w:hAnsi="Arial" w:eastAsia="Batang" w:cs="v5.0.0"/>
          <w:b/>
          <w:color w:val="000000"/>
          <w:lang w:eastAsia="ja-JP"/>
        </w:rPr>
      </w:pPr>
      <w:r>
        <w:rPr>
          <w:rFonts w:ascii="Arial" w:hAnsi="Arial" w:eastAsia="Batang"/>
          <w:b/>
          <w:color w:val="000000"/>
          <w:lang w:eastAsia="ja-JP"/>
        </w:rPr>
        <w:t xml:space="preserve">Table 6.3A.2.5-1: Minimum output power for </w:t>
      </w:r>
      <w:r>
        <w:rPr>
          <w:rFonts w:ascii="Arial" w:hAnsi="Arial" w:eastAsia="Batang"/>
          <w:b/>
          <w:color w:val="000000"/>
          <w:lang w:eastAsia="ko-KR"/>
        </w:rPr>
        <w:t>UE c</w:t>
      </w:r>
      <w:r>
        <w:rPr>
          <w:rFonts w:ascii="Arial" w:hAnsi="Arial" w:eastAsia="Batang"/>
          <w:b/>
          <w:color w:val="000000"/>
          <w:lang w:eastAsia="ja-JP"/>
        </w:rPr>
        <w:t>ategory M1</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pPr>
              <w:keepNext/>
              <w:keepLines/>
              <w:spacing w:after="0"/>
              <w:jc w:val="center"/>
              <w:rPr>
                <w:rFonts w:ascii="Arial" w:hAnsi="Arial"/>
                <w:b/>
                <w:color w:val="000000"/>
                <w:sz w:val="18"/>
                <w:lang w:eastAsia="ja-JP"/>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pPr>
              <w:rPr>
                <w:rFonts w:eastAsia="Batang"/>
              </w:rPr>
            </w:pPr>
          </w:p>
        </w:tc>
        <w:tc>
          <w:tcPr>
            <w:tcW w:w="5869" w:type="dxa"/>
          </w:tcPr>
          <w:p>
            <w:pPr>
              <w:keepNext/>
              <w:keepLines/>
              <w:spacing w:after="0"/>
              <w:jc w:val="center"/>
              <w:rPr>
                <w:rFonts w:ascii="Arial" w:hAnsi="Arial"/>
                <w:b/>
                <w:color w:val="000000"/>
                <w:sz w:val="18"/>
                <w:lang w:eastAsia="ja-JP"/>
              </w:rPr>
            </w:pPr>
            <w:r>
              <w:rPr>
                <w:rFonts w:ascii="Arial" w:hAnsi="Arial"/>
                <w:b/>
                <w:color w:val="000000"/>
                <w:sz w:val="18"/>
                <w:lang w:eastAsia="ja-JP"/>
              </w:rPr>
              <w:t>1.4</w:t>
            </w:r>
            <w:r>
              <w:rPr>
                <w:rFonts w:hint="eastAsia" w:ascii="Arial" w:hAnsi="Arial" w:eastAsia="MS Mincho"/>
                <w:b/>
                <w:color w:val="000000"/>
                <w:sz w:val="18"/>
                <w:lang w:eastAsia="ja-JP"/>
              </w:rPr>
              <w:t xml:space="preserve"> </w:t>
            </w:r>
            <w:r>
              <w:rPr>
                <w:rFonts w:ascii="Arial" w:hAnsi="Arial"/>
                <w:b/>
                <w:color w:val="000000"/>
                <w:sz w:val="18"/>
                <w:lang w:eastAsia="ja-JP"/>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Minimum output power</w:t>
            </w:r>
          </w:p>
        </w:tc>
        <w:tc>
          <w:tcPr>
            <w:tcW w:w="5869" w:type="dxa"/>
            <w:vAlign w:val="center"/>
          </w:tcPr>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f </w:t>
            </w:r>
            <w:r>
              <w:rPr>
                <w:rFonts w:ascii="Arial" w:hAnsi="Arial" w:cs="Arial"/>
                <w:color w:val="000000"/>
                <w:sz w:val="18"/>
                <w:lang w:eastAsia="ja-JP"/>
              </w:rPr>
              <w:t>≤</w:t>
            </w:r>
            <w:r>
              <w:rPr>
                <w:rFonts w:ascii="Arial" w:hAnsi="Arial" w:cs="v4.2.0"/>
                <w:color w:val="000000"/>
                <w:sz w:val="18"/>
                <w:lang w:eastAsia="ja-JP"/>
              </w:rPr>
              <w:t xml:space="preserve"> 3.0GHz: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-48.5 dBm</w:t>
            </w:r>
          </w:p>
          <w:p>
            <w:pPr>
              <w:keepNext/>
              <w:keepLines/>
              <w:spacing w:after="0"/>
              <w:jc w:val="center"/>
              <w:rPr>
                <w:rFonts w:ascii="Arial" w:hAnsi="Arial"/>
                <w:color w:val="000000"/>
                <w:sz w:val="18"/>
                <w:lang w:eastAsia="ja-JP"/>
              </w:rPr>
            </w:pPr>
            <w:r>
              <w:rPr>
                <w:rFonts w:ascii="Arial" w:hAnsi="Arial" w:cs="v4.2.0"/>
                <w:color w:val="000000"/>
                <w:sz w:val="18"/>
                <w:lang w:eastAsia="ja-JP"/>
              </w:rPr>
              <w:t xml:space="preserve">For carrier frequency 3.0GHz &lt; f </w:t>
            </w:r>
            <w:r>
              <w:rPr>
                <w:rFonts w:ascii="Arial" w:hAnsi="Arial" w:cs="Arial"/>
                <w:color w:val="000000"/>
                <w:sz w:val="18"/>
                <w:lang w:eastAsia="ja-JP"/>
              </w:rPr>
              <w:t>≤</w:t>
            </w:r>
            <w:r>
              <w:rPr>
                <w:rFonts w:ascii="Arial" w:hAnsi="Arial" w:cs="v4.2.0"/>
                <w:color w:val="000000"/>
                <w:sz w:val="18"/>
                <w:lang w:eastAsia="ja-JP"/>
              </w:rPr>
              <w:t xml:space="preserve"> 4.2GHz: </w:t>
            </w:r>
            <w:r>
              <w:rPr>
                <w:rFonts w:ascii="Arial" w:hAnsi="Arial" w:cs="Arial"/>
                <w:color w:val="000000"/>
                <w:sz w:val="18"/>
                <w:lang w:eastAsia="ja-JP"/>
              </w:rPr>
              <w:t>≤</w:t>
            </w:r>
            <w:r>
              <w:rPr>
                <w:rFonts w:ascii="Arial" w:hAnsi="Arial" w:cs="v4.2.0"/>
                <w:color w:val="000000"/>
                <w:sz w:val="18"/>
                <w:lang w:eastAsia="ja-JP"/>
              </w:rPr>
              <w:t xml:space="preserve"> </w:t>
            </w:r>
            <w:r>
              <w:rPr>
                <w:rFonts w:ascii="Arial" w:hAnsi="Arial"/>
                <w:color w:val="000000"/>
                <w:sz w:val="18"/>
                <w:lang w:eastAsia="ja-JP"/>
              </w:rP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 xml:space="preserve">Measurement bandwidth </w:t>
            </w:r>
          </w:p>
        </w:tc>
        <w:tc>
          <w:tcPr>
            <w:tcW w:w="5869" w:type="dxa"/>
            <w:vAlign w:val="center"/>
          </w:tcPr>
          <w:p>
            <w:pPr>
              <w:keepNext/>
              <w:keepLines/>
              <w:spacing w:after="0"/>
              <w:jc w:val="center"/>
              <w:rPr>
                <w:rFonts w:ascii="Arial" w:hAnsi="Arial"/>
                <w:color w:val="000000"/>
                <w:sz w:val="18"/>
                <w:lang w:eastAsia="ja-JP"/>
              </w:rPr>
            </w:pPr>
            <w:r>
              <w:rPr>
                <w:rFonts w:ascii="Arial" w:hAnsi="Arial"/>
                <w:color w:val="000000"/>
                <w:sz w:val="18"/>
                <w:lang w:eastAsia="ja-JP"/>
              </w:rPr>
              <w:t>1.08 MHz</w:t>
            </w:r>
          </w:p>
        </w:tc>
      </w:tr>
    </w:tbl>
    <w:p/>
    <w:p>
      <w:pPr>
        <w:pStyle w:val="5"/>
        <w:rPr>
          <w:lang w:eastAsia="zh-CN"/>
        </w:rPr>
      </w:pPr>
      <w:bookmarkStart w:id="324" w:name="_Toc23533"/>
      <w:r>
        <w:t>6.3A.3</w:t>
      </w:r>
      <w:r>
        <w:tab/>
      </w:r>
      <w:r>
        <w:t xml:space="preserve">ON/OFF time mask </w:t>
      </w:r>
      <w:r>
        <w:rPr>
          <w:lang w:eastAsia="zh-CN"/>
        </w:rPr>
        <w:t>for category M1</w:t>
      </w:r>
      <w:bookmarkEnd w:id="319"/>
      <w:bookmarkEnd w:id="320"/>
      <w:bookmarkEnd w:id="321"/>
      <w:bookmarkEnd w:id="322"/>
      <w:bookmarkEnd w:id="324"/>
    </w:p>
    <w:p>
      <w:pPr>
        <w:pStyle w:val="6"/>
      </w:pPr>
      <w:bookmarkStart w:id="325" w:name="_Toc23608"/>
      <w:bookmarkStart w:id="326" w:name="_Toc27370"/>
      <w:r>
        <w:t>6.3A.3.1</w:t>
      </w:r>
      <w:r>
        <w:tab/>
      </w:r>
      <w:r>
        <w:t>General ON/OFF time mask for category M1</w:t>
      </w:r>
      <w:bookmarkEnd w:id="325"/>
      <w:bookmarkEnd w:id="326"/>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6.3A.3.1.1</w:t>
      </w:r>
      <w:r>
        <w:tab/>
      </w:r>
      <w:r>
        <w:t>Test purpose</w:t>
      </w:r>
    </w:p>
    <w:p>
      <w:r>
        <w:t>To verify that the general ON/OFF time mask meets the requirements given in TS 36.521-1[14] clause 6.3.4.1.5.</w:t>
      </w:r>
    </w:p>
    <w:p>
      <w:pPr>
        <w:keepNext/>
        <w:keepLines/>
      </w:pPr>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6.3A.3.1.2</w:t>
      </w:r>
      <w:r>
        <w:tab/>
      </w:r>
      <w:r>
        <w:t>Test applicability</w:t>
      </w:r>
    </w:p>
    <w:p>
      <w:r>
        <w:t>This test case applies to all types of E-UTRA UE release 17 and forward of UE category M1 that support satellite access operation.</w:t>
      </w:r>
    </w:p>
    <w:p>
      <w:pPr>
        <w:pStyle w:val="9"/>
      </w:pPr>
      <w:r>
        <w:t>6.3A.3.1.3</w:t>
      </w:r>
      <w:r>
        <w:tab/>
      </w:r>
      <w:r>
        <w:t>Minimum conformance requirements</w:t>
      </w:r>
    </w:p>
    <w:p>
      <w:r>
        <w:t xml:space="preserve">The requirements for transmit ON/OFF time mask defined in clause 6.3.4 of TS 36.101 [7] shall apply. </w:t>
      </w:r>
    </w:p>
    <w:p>
      <w:pPr>
        <w:pStyle w:val="9"/>
        <w:rPr>
          <w:lang w:val="en-US"/>
        </w:rPr>
      </w:pPr>
      <w:r>
        <w:t>6.3A.3.1.4</w:t>
      </w:r>
      <w:r>
        <w:tab/>
      </w:r>
      <w:r>
        <w:t>Test description</w:t>
      </w:r>
    </w:p>
    <w:p>
      <w:pPr>
        <w:pStyle w:val="9"/>
      </w:pPr>
      <w:r>
        <w:t>6.3A.3.1.4.1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TS 36.521-1[14] Annexes A.2. Configurations of PDSCH and MPDCCH before measurement are specified in TS 36.521-1[14] Annex C.2.</w:t>
      </w:r>
    </w:p>
    <w:p>
      <w:pPr>
        <w:pStyle w:val="113"/>
      </w:pPr>
      <w:r>
        <w:t>Table 6.3A.3.1.4.1-1: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6"/>
        <w:gridCol w:w="1166"/>
        <w:gridCol w:w="3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rFonts w:cs="v5.0.0"/>
                <w:bCs/>
              </w:rPr>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5"/>
            </w:pPr>
            <w:r>
              <w:rPr>
                <w:rFonts w:eastAsia="Calibri"/>
              </w:rPr>
              <w:t>Test Environment as specified in 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Frequencies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4"/>
              <w:rPr>
                <w:rFonts w:eastAsia="Calibri"/>
                <w:b w:val="0"/>
              </w:rPr>
            </w:pPr>
            <w:r>
              <w:rPr>
                <w:rFonts w:eastAsia="Calibri"/>
                <w:b w:val="0"/>
              </w:rPr>
              <w:t>Test Channel Bandwidths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4"/>
              <w:rPr>
                <w:rFonts w:cs="v5.0.0"/>
                <w:b w:val="0"/>
                <w:bCs/>
              </w:rPr>
            </w:pPr>
            <w:r>
              <w:rPr>
                <w:rFonts w:cs="v5.0.0"/>
                <w:b w:val="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rPr>
                <w:bCs/>
              </w:rPr>
            </w:pPr>
            <w:r>
              <w:rPr>
                <w:bCs/>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4664"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Ch BW</w:t>
            </w:r>
          </w:p>
        </w:tc>
        <w:tc>
          <w:tcPr>
            <w:tcW w:w="3496" w:type="dxa"/>
            <w:gridSpan w:val="2"/>
            <w:vMerge w:val="restart"/>
            <w:tcBorders>
              <w:top w:val="single" w:color="auto" w:sz="4" w:space="0"/>
              <w:left w:val="single" w:color="auto" w:sz="4" w:space="0"/>
              <w:bottom w:val="single" w:color="auto" w:sz="4" w:space="0"/>
              <w:right w:val="single" w:color="auto" w:sz="4" w:space="0"/>
            </w:tcBorders>
          </w:tcPr>
          <w:p>
            <w:pPr>
              <w:pStyle w:val="105"/>
            </w:pPr>
            <w:r>
              <w:t>N/A for General On/Off Time Mask test case</w:t>
            </w:r>
          </w:p>
        </w:tc>
        <w:tc>
          <w:tcPr>
            <w:tcW w:w="1166" w:type="dxa"/>
            <w:tcBorders>
              <w:top w:val="single" w:color="auto" w:sz="4" w:space="0"/>
              <w:left w:val="single" w:color="auto" w:sz="4" w:space="0"/>
              <w:bottom w:val="single" w:color="auto" w:sz="4" w:space="0"/>
              <w:right w:val="single" w:color="auto" w:sz="4" w:space="0"/>
            </w:tcBorders>
          </w:tcPr>
          <w:p>
            <w:pPr>
              <w:pStyle w:val="105"/>
            </w:pPr>
            <w:r>
              <w:rPr>
                <w:rFonts w:cs="v5.0.0"/>
              </w:rPr>
              <w:t>Mod'n</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cs="v5.0.0"/>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4"/>
            </w:pPr>
          </w:p>
        </w:tc>
        <w:tc>
          <w:tcPr>
            <w:tcW w:w="3498" w:type="dxa"/>
            <w:tcBorders>
              <w:top w:val="single" w:color="auto" w:sz="4" w:space="0"/>
              <w:left w:val="single" w:color="auto" w:sz="4" w:space="0"/>
              <w:bottom w:val="single" w:color="auto" w:sz="4" w:space="0"/>
              <w:right w:val="single" w:color="auto" w:sz="4" w:space="0"/>
            </w:tcBorders>
          </w:tcPr>
          <w:p>
            <w:pPr>
              <w:pStyle w:val="105"/>
            </w:pPr>
            <w:r>
              <w:rPr>
                <w:rFonts w:cs="v5.0.0"/>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3496"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olor w:val="000000"/>
                <w:sz w:val="18"/>
                <w:lang w:eastAsia="ja-JP"/>
              </w:rPr>
            </w:pPr>
          </w:p>
        </w:tc>
        <w:tc>
          <w:tcPr>
            <w:tcW w:w="1166" w:type="dxa"/>
            <w:tcBorders>
              <w:top w:val="single" w:color="auto" w:sz="4" w:space="0"/>
              <w:left w:val="single" w:color="auto" w:sz="4" w:space="0"/>
              <w:bottom w:val="single" w:color="auto" w:sz="4" w:space="0"/>
              <w:right w:val="single" w:color="auto" w:sz="4" w:space="0"/>
            </w:tcBorders>
          </w:tcPr>
          <w:p>
            <w:pPr>
              <w:pStyle w:val="105"/>
            </w:pPr>
            <w:r>
              <w:t>QPSK</w:t>
            </w:r>
          </w:p>
        </w:tc>
        <w:tc>
          <w:tcPr>
            <w:tcW w:w="3498" w:type="dxa"/>
            <w:tcBorders>
              <w:top w:val="single" w:color="auto" w:sz="4" w:space="0"/>
              <w:left w:val="single" w:color="auto" w:sz="4" w:space="0"/>
              <w:bottom w:val="single" w:color="auto" w:sz="4" w:space="0"/>
              <w:right w:val="single" w:color="auto" w:sz="4" w:space="0"/>
            </w:tcBorders>
          </w:tcPr>
          <w:p>
            <w:pPr>
              <w:pStyle w:val="105"/>
              <w:rPr>
                <w:rFonts w:cs="v5.0.0"/>
              </w:rPr>
            </w:pPr>
            <w:r>
              <w:rPr>
                <w:rFonts w:hint="eastAsia" w:cs="v5.0.0"/>
              </w:rPr>
              <w:t>6</w:t>
            </w:r>
          </w:p>
        </w:tc>
      </w:tr>
    </w:tbl>
    <w:p>
      <w:pPr>
        <w:rPr>
          <w:lang w:eastAsia="ja-JP"/>
        </w:rPr>
      </w:pP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1.</w:t>
      </w:r>
      <w:r>
        <w:rPr>
          <w:rFonts w:hint="eastAsia" w:eastAsia="Times New Roman"/>
          <w:lang w:eastAsia="en-GB"/>
        </w:rPr>
        <w:tab/>
      </w:r>
      <w:r>
        <w:rPr>
          <w:rFonts w:hint="eastAsia" w:eastAsia="Times New Roman"/>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w:t>
      </w:r>
      <w:r>
        <w:rPr>
          <w:rFonts w:hint="eastAsia" w:eastAsia="Times New Roman"/>
          <w:lang w:eastAsia="en-GB"/>
        </w:rPr>
        <w:tab/>
      </w:r>
      <w:r>
        <w:rPr>
          <w:rFonts w:hint="eastAsia" w:eastAsia="Times New Roman"/>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w:t>
      </w:r>
      <w:r>
        <w:rPr>
          <w:rFonts w:hint="eastAsia" w:eastAsia="Times New Roman"/>
          <w:lang w:eastAsia="en-GB"/>
        </w:rPr>
        <w:tab/>
      </w:r>
      <w:r>
        <w:rPr>
          <w:rFonts w:hint="eastAsia" w:eastAsia="Times New Roman"/>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4.</w:t>
      </w:r>
      <w:r>
        <w:rPr>
          <w:rFonts w:hint="eastAsia" w:eastAsia="Times New Roman"/>
          <w:lang w:eastAsia="en-GB"/>
        </w:rPr>
        <w:tab/>
      </w:r>
      <w:r>
        <w:rPr>
          <w:rFonts w:hint="eastAsia" w:eastAsia="Times New Roman"/>
          <w:lang w:eastAsia="en-GB"/>
        </w:rPr>
        <w:t>The UL Reference Measurement channel is set according to Table 6.3A.3.1.4.1-1.</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eastAsia="Times New Roman"/>
          <w:lang w:eastAsia="en-GB"/>
        </w:rPr>
        <w:tab/>
      </w:r>
      <w:r>
        <w:rPr>
          <w:rFonts w:hint="eastAsia" w:eastAsia="Times New Roman"/>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eastAsia="Times New Roman"/>
          <w:lang w:eastAsia="en-GB"/>
        </w:rPr>
        <w:tab/>
      </w:r>
      <w:r>
        <w:rPr>
          <w:rFonts w:hint="eastAsia" w:eastAsia="Times New Roman"/>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8.</w:t>
      </w:r>
      <w:r>
        <w:rPr>
          <w:rFonts w:hint="eastAsia" w:eastAsia="Times New Roman"/>
          <w:lang w:eastAsia="en-GB"/>
        </w:rPr>
        <w:tab/>
      </w:r>
      <w:r>
        <w:rPr>
          <w:rFonts w:hint="eastAsia" w:eastAsia="Times New Roman"/>
          <w:lang w:eastAsia="en-GB"/>
        </w:rPr>
        <w:t>Ensure the UE is in State 3A-RF-CE according to TS 36.508 [12] clause 5.2A.2AA. Message contents are defined in clause 6.3A.3.4.3. Note that MPDCCH DCI format 6-0A sent after resetting uplink power with RRC Connection Reconfiguration, should have TPC command 0dB.</w:t>
      </w:r>
    </w:p>
    <w:p>
      <w:pPr>
        <w:pStyle w:val="9"/>
      </w:pPr>
      <w:r>
        <w:t>6.</w:t>
      </w:r>
      <w:r>
        <w:rPr>
          <w:rFonts w:hint="eastAsia"/>
        </w:rPr>
        <w:t>3</w:t>
      </w:r>
      <w:r>
        <w:t>A.3.1.4.2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 xml:space="preserve">For FDD and HD-FDD: Measure the UE transmission OFF power during the sub-frame prior to the PUSCH subframe. </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Measure the output power of the UE PUSCH transmission during one sub-frame, excluding a transient period of 20 µs at the beginning of the subframe.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Measure the UE transmission OFF power during one sub-frame following the PUSCH subframe, excluding a transient period of 20 µs at the beginning of the subframe.</w:t>
      </w:r>
    </w:p>
    <w:p>
      <w:pPr>
        <w:pStyle w:val="9"/>
      </w:pPr>
      <w:r>
        <w:t>6.</w:t>
      </w:r>
      <w:r>
        <w:rPr>
          <w:rFonts w:hint="eastAsia"/>
        </w:rPr>
        <w:t>3</w:t>
      </w:r>
      <w:r>
        <w:t>A.3.1.4.3</w:t>
      </w:r>
      <w:r>
        <w:tab/>
      </w:r>
      <w:r>
        <w:t>Message contents</w:t>
      </w:r>
    </w:p>
    <w:p>
      <w:pPr>
        <w:rPr>
          <w:lang w:eastAsia="ja-JP"/>
        </w:rPr>
      </w:pPr>
      <w:r>
        <w:t>Message contents are according to TS 36.508 [12] subclause 4.6 with the condition CEModeA and the following exception</w:t>
      </w:r>
      <w:r>
        <w:rPr>
          <w:lang w:eastAsia="ja-JP"/>
        </w:rPr>
        <w:t>s:</w:t>
      </w:r>
    </w:p>
    <w:p>
      <w:pPr>
        <w:pStyle w:val="113"/>
      </w:pPr>
      <w:r>
        <w:t>Table 6.3A.</w:t>
      </w:r>
      <w:r>
        <w:rPr>
          <w:rFonts w:hint="eastAsia"/>
        </w:rPr>
        <w:t>3</w:t>
      </w:r>
      <w:r>
        <w:t>.1.4.3-1: UplinkPowerControlCommon: Test point 1</w:t>
      </w:r>
    </w:p>
    <w:tbl>
      <w:tblPr>
        <w:tblStyle w:val="89"/>
        <w:tblW w:w="96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3"/>
        <w:gridCol w:w="2266"/>
        <w:gridCol w:w="1699"/>
        <w:gridCol w:w="1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635"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4"/>
            </w:pPr>
            <w:r>
              <w:t>Information Element</w:t>
            </w:r>
          </w:p>
        </w:tc>
        <w:tc>
          <w:tcPr>
            <w:tcW w:w="2267" w:type="dxa"/>
            <w:tcBorders>
              <w:top w:val="single" w:color="auto" w:sz="4" w:space="0"/>
              <w:left w:val="single" w:color="auto" w:sz="4" w:space="0"/>
              <w:bottom w:val="single" w:color="auto" w:sz="4" w:space="0"/>
              <w:right w:val="single" w:color="auto" w:sz="4" w:space="0"/>
            </w:tcBorders>
          </w:tcPr>
          <w:p>
            <w:pPr>
              <w:pStyle w:val="104"/>
            </w:pPr>
            <w:r>
              <w:t>Value/remark</w:t>
            </w:r>
          </w:p>
        </w:tc>
        <w:tc>
          <w:tcPr>
            <w:tcW w:w="1700" w:type="dxa"/>
            <w:tcBorders>
              <w:top w:val="single" w:color="auto" w:sz="4" w:space="0"/>
              <w:left w:val="single" w:color="auto" w:sz="4" w:space="0"/>
              <w:bottom w:val="single" w:color="auto" w:sz="4" w:space="0"/>
              <w:right w:val="single" w:color="auto" w:sz="4" w:space="0"/>
            </w:tcBorders>
          </w:tcPr>
          <w:p>
            <w:pPr>
              <w:pStyle w:val="104"/>
            </w:pPr>
            <w:r>
              <w:t>Comment</w:t>
            </w:r>
          </w:p>
        </w:tc>
        <w:tc>
          <w:tcPr>
            <w:tcW w:w="1133" w:type="dxa"/>
            <w:tcBorders>
              <w:top w:val="single" w:color="auto" w:sz="4" w:space="0"/>
              <w:left w:val="single" w:color="auto" w:sz="4" w:space="0"/>
              <w:bottom w:val="single" w:color="auto" w:sz="4" w:space="0"/>
              <w:right w:val="single" w:color="auto" w:sz="4" w:space="0"/>
            </w:tcBorders>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35" w:type="dxa"/>
            <w:tcBorders>
              <w:top w:val="single" w:color="auto" w:sz="4" w:space="0"/>
              <w:left w:val="single" w:color="auto" w:sz="4" w:space="0"/>
              <w:bottom w:val="single" w:color="auto" w:sz="4" w:space="0"/>
              <w:right w:val="single" w:color="auto" w:sz="4" w:space="0"/>
            </w:tcBorders>
          </w:tcPr>
          <w:p>
            <w:pPr>
              <w:pStyle w:val="103"/>
            </w:pPr>
            <w:r>
              <w:t>UplinkPowerControlCommon-DEFAULT ::= SEQUENCE {</w:t>
            </w:r>
          </w:p>
          <w:p>
            <w:pPr>
              <w:pStyle w:val="103"/>
            </w:pPr>
            <w:r>
              <w:t>p0-NominalPUSCH</w:t>
            </w:r>
          </w:p>
        </w:tc>
        <w:tc>
          <w:tcPr>
            <w:tcW w:w="2267" w:type="dxa"/>
            <w:tcBorders>
              <w:top w:val="single" w:color="auto" w:sz="4" w:space="0"/>
              <w:left w:val="single" w:color="auto" w:sz="4" w:space="0"/>
              <w:bottom w:val="single" w:color="auto" w:sz="4" w:space="0"/>
              <w:right w:val="single" w:color="auto" w:sz="4" w:space="0"/>
            </w:tcBorders>
          </w:tcPr>
          <w:p>
            <w:pPr>
              <w:pStyle w:val="103"/>
            </w:pPr>
            <w:r>
              <w:t>-105</w:t>
            </w:r>
          </w:p>
        </w:tc>
        <w:tc>
          <w:tcPr>
            <w:tcW w:w="1700" w:type="dxa"/>
            <w:tcBorders>
              <w:top w:val="single" w:color="auto" w:sz="4" w:space="0"/>
              <w:left w:val="single" w:color="auto" w:sz="4" w:space="0"/>
              <w:bottom w:val="single" w:color="auto" w:sz="4" w:space="0"/>
              <w:right w:val="single" w:color="auto" w:sz="4" w:space="0"/>
            </w:tcBorders>
          </w:tcPr>
          <w:p>
            <w:pPr>
              <w:pStyle w:val="103"/>
            </w:pPr>
            <w:r>
              <w:t>Test point 1 to verify a UE relative low initial power transmission</w:t>
            </w:r>
          </w:p>
        </w:tc>
        <w:tc>
          <w:tcPr>
            <w:tcW w:w="1133" w:type="dxa"/>
            <w:tcBorders>
              <w:top w:val="single" w:color="auto" w:sz="4" w:space="0"/>
              <w:left w:val="single" w:color="auto" w:sz="4" w:space="0"/>
              <w:bottom w:val="single" w:color="auto" w:sz="4" w:space="0"/>
              <w:right w:val="single" w:color="auto" w:sz="4" w:space="0"/>
            </w:tcBorders>
          </w:tcPr>
          <w:p>
            <w:pPr>
              <w:pStyle w:val="103"/>
            </w:pPr>
          </w:p>
        </w:tc>
      </w:tr>
    </w:tbl>
    <w:p>
      <w:pPr>
        <w:rPr>
          <w:lang w:eastAsia="ja-JP"/>
        </w:rPr>
      </w:pPr>
    </w:p>
    <w:p>
      <w:pPr>
        <w:pStyle w:val="113"/>
      </w:pPr>
      <w:r>
        <w:t>Table 6.3A.</w:t>
      </w:r>
      <w:r>
        <w:rPr>
          <w:rFonts w:hint="eastAsia"/>
        </w:rPr>
        <w:t>3</w:t>
      </w:r>
      <w:r>
        <w:t>.1.4.3-2: PhysicalConfigDedicated</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gridBefore w:val="1"/>
          <w:wBefore w:w="9" w:type="dxa"/>
          <w:jc w:val="center"/>
        </w:trPr>
        <w:tc>
          <w:tcPr>
            <w:tcW w:w="9738" w:type="dxa"/>
            <w:gridSpan w:val="4"/>
            <w:tcBorders>
              <w:top w:val="single" w:color="000000" w:sz="4" w:space="0"/>
              <w:left w:val="single" w:color="000000" w:sz="4" w:space="0"/>
              <w:bottom w:val="single" w:color="000000" w:sz="4" w:space="0"/>
              <w:right w:val="single" w:color="000000" w:sz="4" w:space="0"/>
            </w:tcBorders>
          </w:tcPr>
          <w:p>
            <w:pPr>
              <w:pStyle w:val="103"/>
            </w:pPr>
            <w:r>
              <w:t>Derivation Path: TS 36.508 [</w:t>
            </w:r>
            <w:r>
              <w:rPr>
                <w:rFonts w:hint="eastAsia"/>
              </w:rPr>
              <w:t>12</w:t>
            </w:r>
            <w:r>
              <w:t>]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PhysicalConfigDedicated-DEFAULT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single" w:color="000000" w:sz="4" w:space="0"/>
              <w:left w:val="single" w:color="000000" w:sz="4" w:space="0"/>
              <w:bottom w:val="nil"/>
              <w:right w:val="single" w:color="000000" w:sz="4" w:space="0"/>
            </w:tcBorders>
            <w:tcMar>
              <w:top w:w="0" w:type="dxa"/>
              <w:left w:w="108" w:type="dxa"/>
              <w:bottom w:w="0" w:type="dxa"/>
              <w:right w:w="108" w:type="dxa"/>
            </w:tcMar>
          </w:tcPr>
          <w:p>
            <w:pPr>
              <w:pStyle w:val="103"/>
            </w:pPr>
            <w:r>
              <w:t xml:space="preserve">  UplinkPowerControlDedicated</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jc w:val="center"/>
        </w:trPr>
        <w:tc>
          <w:tcPr>
            <w:tcW w:w="4535" w:type="dxa"/>
            <w:gridSpan w:val="2"/>
            <w:tcBorders>
              <w:top w:val="nil"/>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4.6.3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RBC</w:t>
            </w:r>
          </w:p>
        </w:tc>
      </w:tr>
    </w:tbl>
    <w:p/>
    <w:p>
      <w:pPr>
        <w:pStyle w:val="113"/>
      </w:pPr>
      <w:r>
        <w:t>Table 6.3A.</w:t>
      </w:r>
      <w:r>
        <w:rPr>
          <w:rFonts w:hint="eastAsia"/>
        </w:rPr>
        <w:t>3</w:t>
      </w:r>
      <w:r>
        <w:t>.1.4.3-3: UplinkPowerControlDedicated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w:t>
            </w:r>
            <w:r>
              <w:rPr>
                <w:rFonts w:hint="eastAsia"/>
              </w:rPr>
              <w:t>12</w:t>
            </w:r>
            <w:r>
              <w:t>]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nil"/>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rPr>
          <w:jc w:val="center"/>
        </w:trPr>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6.3A.3.1.5</w:t>
      </w:r>
      <w:r>
        <w:tab/>
      </w:r>
      <w:r>
        <w:t>Test requirement</w:t>
      </w:r>
    </w:p>
    <w:p>
      <w:r>
        <w:t xml:space="preserve">The requirement for the power measured in steps (2), (3) and (4) of the test procedure shall not </w:t>
      </w:r>
      <w:r>
        <w:rPr>
          <w:rFonts w:eastAsia="香~??’c‘I"/>
        </w:rPr>
        <w:t>exceed</w:t>
      </w:r>
      <w:r>
        <w:t xml:space="preserve"> the values specified in Table 6.3A.3.5-1.</w:t>
      </w:r>
    </w:p>
    <w:p>
      <w:pPr>
        <w:pStyle w:val="113"/>
      </w:pPr>
      <w:r>
        <w:t>Table 6.3A.3.1.5-1: General ON/OFF time mask</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pPr>
              <w:pStyle w:val="104"/>
            </w:pPr>
          </w:p>
        </w:tc>
        <w:tc>
          <w:tcPr>
            <w:tcW w:w="5869"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Expected Transmission ON Measured power</w:t>
            </w:r>
          </w:p>
        </w:tc>
        <w:tc>
          <w:tcPr>
            <w:tcW w:w="5869" w:type="dxa"/>
            <w:vAlign w:val="center"/>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
      <w:pPr>
        <w:pStyle w:val="6"/>
      </w:pPr>
      <w:bookmarkStart w:id="327" w:name="_Toc20236"/>
      <w:bookmarkStart w:id="328" w:name="_Toc2675"/>
      <w:bookmarkStart w:id="329" w:name="_Toc121162831"/>
      <w:bookmarkStart w:id="330" w:name="_Toc18539"/>
      <w:bookmarkStart w:id="331" w:name="_Toc120570039"/>
      <w:r>
        <w:t>6.3A.3.2</w:t>
      </w:r>
      <w:r>
        <w:tab/>
      </w:r>
      <w:r>
        <w:t>PRACH and SRS ON/OFF time mask for UE category M1</w:t>
      </w:r>
      <w:bookmarkEnd w:id="327"/>
      <w:bookmarkEnd w:id="328"/>
    </w:p>
    <w:p>
      <w:pPr>
        <w:pStyle w:val="7"/>
        <w:rPr>
          <w:lang w:val="en-US"/>
        </w:rPr>
      </w:pPr>
      <w:bookmarkStart w:id="332" w:name="_Toc1370"/>
      <w:bookmarkStart w:id="333" w:name="_Toc3975"/>
      <w:r>
        <w:t>6.3A.3.2.1</w:t>
      </w:r>
      <w:r>
        <w:tab/>
      </w:r>
      <w:r>
        <w:t>PRACH time mask for UE category M1</w:t>
      </w:r>
      <w:bookmarkEnd w:id="332"/>
      <w:bookmarkEnd w:id="333"/>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6.3A.3.2.1.1</w:t>
      </w:r>
      <w:r>
        <w:tab/>
      </w:r>
      <w:r>
        <w:t>Test purpose</w:t>
      </w:r>
    </w:p>
    <w:p>
      <w:r>
        <w:t>To verify that the PRACH time mask meets the requirements given in TS 36.521-1[14] clause 6.3.4.2.1.5.</w:t>
      </w:r>
    </w:p>
    <w:p>
      <w:r>
        <w:t>The time mask for PRACH time mask defines the ramping time allowed for the UE between transmit OFF power and transmit ON power when transmitting the PRACH.</w:t>
      </w:r>
    </w:p>
    <w:p>
      <w:r>
        <w:t>Transmission of the wrong power increases interference to other channels or increases transmission errors in the uplink channel.</w:t>
      </w:r>
    </w:p>
    <w:p>
      <w:pPr>
        <w:pStyle w:val="9"/>
      </w:pPr>
      <w:r>
        <w:t>6.3A.3.2.1.2</w:t>
      </w:r>
      <w:r>
        <w:tab/>
      </w:r>
      <w:r>
        <w:t>Test applicability</w:t>
      </w:r>
    </w:p>
    <w:p>
      <w:r>
        <w:t>This test case applies to all types of E-UTRA UE release 17 and forward of UE category M1 that support satellite access operation.</w:t>
      </w:r>
    </w:p>
    <w:p>
      <w:pPr>
        <w:pStyle w:val="9"/>
      </w:pPr>
      <w:r>
        <w:t>6.3A.3.2.1.3</w:t>
      </w:r>
      <w:r>
        <w:tab/>
      </w:r>
      <w:r>
        <w:t>Minimum conformance requirements</w:t>
      </w:r>
    </w:p>
    <w:p>
      <w:r>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pPr>
        <w:rPr>
          <w:rFonts w:eastAsia="×–¾’©‘Ì"/>
          <w:lang w:val="en-US"/>
        </w:rPr>
      </w:pPr>
      <w:r>
        <w:t>There are no additional requirements on UE transmit power beyond that which is required in clause 6.2 and clause 6.5</w:t>
      </w:r>
    </w:p>
    <w:p>
      <w:pPr>
        <w:pStyle w:val="113"/>
      </w:pPr>
      <w:r>
        <w:t>Table 6.3A.3.2.1.3-1: 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pPr>
              <w:pStyle w:val="104"/>
            </w:pPr>
            <w:r>
              <w:rPr>
                <w:rFonts w:eastAsia="MS Mincho"/>
              </w:rPr>
              <w:t>PRACH preamble format</w:t>
            </w:r>
          </w:p>
        </w:tc>
        <w:tc>
          <w:tcPr>
            <w:tcW w:w="2518" w:type="dxa"/>
            <w:vAlign w:val="center"/>
          </w:tcPr>
          <w:p>
            <w:pPr>
              <w:pStyle w:val="104"/>
            </w:pPr>
            <w: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0</w:t>
            </w:r>
          </w:p>
        </w:tc>
        <w:tc>
          <w:tcPr>
            <w:tcW w:w="2518" w:type="dxa"/>
          </w:tcPr>
          <w:p>
            <w:pPr>
              <w:pStyle w:val="105"/>
            </w:pPr>
            <w:r>
              <w:rPr>
                <w:rFonts w:eastAsia="MS Mincho"/>
              </w:rPr>
              <w:t>0.9031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1</w:t>
            </w:r>
          </w:p>
        </w:tc>
        <w:tc>
          <w:tcPr>
            <w:tcW w:w="2518" w:type="dxa"/>
          </w:tcPr>
          <w:p>
            <w:pPr>
              <w:pStyle w:val="105"/>
            </w:pPr>
            <w:r>
              <w:rPr>
                <w:rFonts w:eastAsia="MS Mincho"/>
              </w:rPr>
              <w:t>1.4844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2</w:t>
            </w:r>
          </w:p>
        </w:tc>
        <w:tc>
          <w:tcPr>
            <w:tcW w:w="2518" w:type="dxa"/>
          </w:tcPr>
          <w:p>
            <w:pPr>
              <w:pStyle w:val="105"/>
            </w:pPr>
            <w:r>
              <w:rPr>
                <w:rFonts w:eastAsia="MS Mincho"/>
              </w:rPr>
              <w:t>1.8031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pPr>
            <w:r>
              <w:rPr>
                <w:rFonts w:eastAsia="MS Mincho"/>
              </w:rPr>
              <w:t>3</w:t>
            </w:r>
          </w:p>
        </w:tc>
        <w:tc>
          <w:tcPr>
            <w:tcW w:w="2518" w:type="dxa"/>
          </w:tcPr>
          <w:p>
            <w:pPr>
              <w:pStyle w:val="105"/>
            </w:pPr>
            <w:r>
              <w:rPr>
                <w:rFonts w:eastAsia="MS Mincho"/>
              </w:rPr>
              <w:t>2.2844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2518" w:type="dxa"/>
          </w:tcPr>
          <w:p>
            <w:pPr>
              <w:pStyle w:val="105"/>
            </w:pPr>
            <w:r>
              <w:rPr>
                <w:rFonts w:eastAsia="MS Mincho"/>
              </w:rPr>
              <w:t xml:space="preserve">4 </w:t>
            </w:r>
          </w:p>
        </w:tc>
        <w:tc>
          <w:tcPr>
            <w:tcW w:w="2518" w:type="dxa"/>
          </w:tcPr>
          <w:p>
            <w:pPr>
              <w:pStyle w:val="105"/>
            </w:pPr>
            <w:r>
              <w:rPr>
                <w:rFonts w:eastAsia="MS Mincho"/>
              </w:rPr>
              <w:t>0.1479</w:t>
            </w:r>
          </w:p>
        </w:tc>
      </w:tr>
    </w:tbl>
    <w:p/>
    <w:p>
      <w:pPr>
        <w:pStyle w:val="113"/>
      </w:pPr>
      <w:r>
        <w:drawing>
          <wp:inline distT="0" distB="0" distL="0" distR="0">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pPr>
        <w:pStyle w:val="120"/>
      </w:pPr>
      <w:r>
        <w:t>Figure 6.3A.3.2.1.3-1: PRACH ON/OFF time mask</w:t>
      </w:r>
    </w:p>
    <w:p>
      <w:r>
        <w:t>The normative reference for this requirement is TS 36.101 [7] clause 6.3.4.2.1.</w:t>
      </w:r>
    </w:p>
    <w:p>
      <w:pPr>
        <w:pStyle w:val="9"/>
      </w:pPr>
      <w:r>
        <w:t>6.3A.3.2.1.4</w:t>
      </w:r>
      <w:r>
        <w:tab/>
      </w:r>
      <w:r>
        <w:t>Test description</w:t>
      </w:r>
    </w:p>
    <w:p>
      <w:pPr>
        <w:pStyle w:val="9"/>
      </w:pPr>
      <w:r>
        <w:t>6.3A.3.2.1.4.1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TS 36.521-1[14] Annexes A.2. Configurations of PDSCH and MPDCCH before measurement are specified in TS 36.521-1[14] Annex C.2.</w:t>
      </w:r>
    </w:p>
    <w:p>
      <w:pPr>
        <w:pStyle w:val="113"/>
      </w:pPr>
      <w:r>
        <w:t>Table 6.3A.3.2.1.4.1-1: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495"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495"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495" w:type="dxa"/>
            <w:vAlign w:val="center"/>
          </w:tcPr>
          <w:p>
            <w:pPr>
              <w:pStyle w:val="105"/>
            </w:pPr>
            <w:r>
              <w:rPr>
                <w:rFonts w:cs="v5.0.0"/>
                <w:bCs/>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 xml:space="preserve">PRACH preamble format </w:t>
            </w:r>
          </w:p>
        </w:tc>
        <w:tc>
          <w:tcPr>
            <w:tcW w:w="3495"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495"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Configuration Index</w:t>
            </w:r>
          </w:p>
        </w:tc>
        <w:tc>
          <w:tcPr>
            <w:tcW w:w="3495" w:type="dxa"/>
            <w:vAlign w:val="center"/>
          </w:tcPr>
          <w:p>
            <w:pPr>
              <w:pStyle w:val="105"/>
            </w:pPr>
            <w:r>
              <w:t>3</w:t>
            </w:r>
          </w:p>
        </w:tc>
      </w:tr>
    </w:tbl>
    <w:p>
      <w:pPr>
        <w:rPr>
          <w:rFonts w:eastAsia="MS Mincho"/>
          <w:lang w:eastAsia="ja-JP"/>
        </w:rPr>
      </w:pP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1.</w:t>
      </w:r>
      <w:r>
        <w:rPr>
          <w:rFonts w:hint="eastAsia" w:eastAsia="Times New Roman"/>
          <w:lang w:eastAsia="en-GB"/>
        </w:rPr>
        <w:tab/>
      </w:r>
      <w:r>
        <w:rPr>
          <w:rFonts w:hint="eastAsia" w:eastAsia="Times New Roman"/>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w:t>
      </w:r>
      <w:r>
        <w:rPr>
          <w:rFonts w:hint="eastAsia" w:eastAsia="Times New Roman"/>
          <w:lang w:eastAsia="en-GB"/>
        </w:rPr>
        <w:tab/>
      </w:r>
      <w:r>
        <w:rPr>
          <w:rFonts w:hint="eastAsia" w:eastAsia="Times New Roman"/>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w:t>
      </w:r>
      <w:r>
        <w:rPr>
          <w:rFonts w:hint="eastAsia" w:eastAsia="Times New Roman"/>
          <w:lang w:eastAsia="en-GB"/>
        </w:rPr>
        <w:tab/>
      </w:r>
      <w:r>
        <w:rPr>
          <w:rFonts w:hint="eastAsia" w:eastAsia="Times New Roman"/>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4.</w:t>
      </w:r>
      <w:r>
        <w:rPr>
          <w:rFonts w:hint="eastAsia" w:eastAsia="Times New Roman"/>
          <w:lang w:eastAsia="en-GB"/>
        </w:rPr>
        <w:tab/>
      </w:r>
      <w:r>
        <w:rPr>
          <w:rFonts w:hint="eastAsia" w:eastAsia="Times New Roman"/>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eastAsia="Times New Roman"/>
          <w:lang w:eastAsia="en-GB"/>
        </w:rPr>
        <w:tab/>
      </w:r>
      <w:r>
        <w:rPr>
          <w:rFonts w:hint="eastAsia" w:eastAsia="Times New Roman"/>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eastAsia="Times New Roman"/>
          <w:lang w:eastAsia="en-GB"/>
        </w:rPr>
        <w:tab/>
      </w:r>
      <w:r>
        <w:rPr>
          <w:rFonts w:hint="eastAsia" w:eastAsia="Times New Roman"/>
          <w:lang w:eastAsia="en-GB"/>
        </w:rPr>
        <w:t xml:space="preserve">Ensure the UE is in State 3A-RF-CE according to TS 36.508 [12] clause 5.2A.2. Message contents are defined in clause 6.3A.3.2.1.4.3. </w:t>
      </w:r>
    </w:p>
    <w:p>
      <w:pPr>
        <w:pStyle w:val="9"/>
      </w:pPr>
      <w:r>
        <w:t>6.</w:t>
      </w:r>
      <w:r>
        <w:rPr>
          <w:rFonts w:hint="eastAsia"/>
        </w:rPr>
        <w:t>3</w:t>
      </w:r>
      <w:r>
        <w:t>A.3.2.1.4.2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The SS shall signal a Random Access Preamble ID via a MPDCCH order to the UE and initiate a Non-contention based Random Access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UE shall send the signalled preamble to the SS.</w:t>
      </w:r>
    </w:p>
    <w:p>
      <w:pPr>
        <w:pStyle w:val="111"/>
        <w:overflowPunct w:val="0"/>
        <w:autoSpaceDE w:val="0"/>
        <w:autoSpaceDN w:val="0"/>
        <w:adjustRightInd w:val="0"/>
        <w:contextualSpacing w:val="0"/>
        <w:textAlignment w:val="baseline"/>
        <w:rPr>
          <w:rFonts w:hint="eastAsia"/>
          <w:lang w:eastAsia="en-GB"/>
        </w:rPr>
      </w:pP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For FDD UE, the SS measure the UE transmission OFF power during the sub-frame preceding the PRACH preamble excluding a transient period of 20 µs according to Figure 6.3A.3.2.1.3-1.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Measure the output power of the transmitted PRACH preamble according to Figure 6.3A.3.2.1.3-1.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Measure the UE transmission OFF power, starting 20 µs after the PRACH preamble ends for a measurement period of 980 µs.</w:t>
      </w:r>
    </w:p>
    <w:p>
      <w:pPr>
        <w:pStyle w:val="9"/>
      </w:pPr>
      <w:r>
        <w:t>6.</w:t>
      </w:r>
      <w:r>
        <w:rPr>
          <w:rFonts w:hint="eastAsia"/>
        </w:rPr>
        <w:t>3</w:t>
      </w:r>
      <w:r>
        <w:t>A.3.2.1.4.3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Table 6.3A.3.2.1.4.3-1: </w:t>
      </w:r>
      <w:r>
        <w:rPr>
          <w:i/>
        </w:rPr>
        <w:t>RACH-ConfigCommon-DEFAULT:</w:t>
      </w:r>
      <w:r>
        <w:t xml:space="preserve"> PRACH measurement</w:t>
      </w:r>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TS 36.508 [12] clause 4.6.3, Table 4.6.3-12 RACH-ConfigCommon-DEFAULT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RACH-ConfigCommon-DEFAULT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powerRampingParameters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powerRampingStep</w:t>
            </w:r>
          </w:p>
        </w:tc>
        <w:tc>
          <w:tcPr>
            <w:tcW w:w="2268" w:type="dxa"/>
            <w:shd w:val="clear" w:color="auto" w:fill="auto"/>
          </w:tcPr>
          <w:p>
            <w:pPr>
              <w:pStyle w:val="103"/>
            </w:pPr>
            <w:r>
              <w:t>d</w:t>
            </w:r>
            <w:r>
              <w:rPr>
                <w:rFonts w:eastAsia="MS Mincho"/>
              </w:rPr>
              <w:t>B</w:t>
            </w:r>
            <w:r>
              <w:t>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rPr>
                <w:rFonts w:eastAsia="MS Mincho"/>
              </w:rPr>
              <w:t xml:space="preserve">    </w:t>
            </w:r>
            <w:r>
              <w:t>preambleInitialReceivedTargetPower</w:t>
            </w:r>
          </w:p>
        </w:tc>
        <w:tc>
          <w:tcPr>
            <w:tcW w:w="2268" w:type="dxa"/>
            <w:shd w:val="clear" w:color="auto" w:fill="auto"/>
          </w:tcPr>
          <w:p>
            <w:pPr>
              <w:pStyle w:val="103"/>
            </w:pPr>
            <w:r>
              <w:t>dBm-1</w:t>
            </w:r>
            <w:r>
              <w:rPr>
                <w:rFonts w:eastAsia="MS Mincho"/>
              </w:rPr>
              <w:t>04</w:t>
            </w:r>
          </w:p>
        </w:tc>
        <w:tc>
          <w:tcPr>
            <w:tcW w:w="1701" w:type="dxa"/>
            <w:shd w:val="clear" w:color="auto" w:fill="auto"/>
          </w:tcPr>
          <w:p>
            <w:pPr>
              <w:pStyle w:val="103"/>
            </w:pPr>
          </w:p>
        </w:tc>
        <w:tc>
          <w:tcPr>
            <w:tcW w:w="1275" w:type="dxa"/>
            <w:shd w:val="clear" w:color="auto" w:fill="auto"/>
          </w:tcPr>
          <w:p>
            <w:pPr>
              <w:pStyle w:val="103"/>
            </w:pP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rPr>
                <w:rFonts w:eastAsia="MS Mincho"/>
              </w:rPr>
            </w:pPr>
          </w:p>
        </w:tc>
        <w:tc>
          <w:tcPr>
            <w:tcW w:w="2268" w:type="dxa"/>
            <w:shd w:val="clear" w:color="auto" w:fill="auto"/>
          </w:tcPr>
          <w:p>
            <w:pPr>
              <w:pStyle w:val="103"/>
            </w:pPr>
            <w:r>
              <w:t>dBm-1</w:t>
            </w:r>
            <w:r>
              <w:rPr>
                <w:rFonts w:eastAsia="MS Mincho"/>
              </w:rPr>
              <w:t>12</w:t>
            </w:r>
          </w:p>
        </w:tc>
        <w:tc>
          <w:tcPr>
            <w:tcW w:w="1701" w:type="dxa"/>
            <w:shd w:val="clear" w:color="auto" w:fill="auto"/>
          </w:tcPr>
          <w:p>
            <w:pPr>
              <w:pStyle w:val="103"/>
            </w:pPr>
          </w:p>
        </w:tc>
        <w:tc>
          <w:tcPr>
            <w:tcW w:w="1275" w:type="dxa"/>
            <w:shd w:val="clear" w:color="auto" w:fill="auto"/>
          </w:tcPr>
          <w:p>
            <w:pPr>
              <w:pStyle w:val="103"/>
            </w:pPr>
            <w:r>
              <w:rPr>
                <w:rFonts w:cs="Arial"/>
              </w:rPr>
              <w:t xml:space="preserve">PRACH </w:t>
            </w:r>
            <w:r>
              <w:rPr>
                <w:rFonts w:eastAsia="MS Mincho" w:cs="Arial"/>
              </w:rPr>
              <w:t>F</w:t>
            </w:r>
            <w:r>
              <w:rPr>
                <w:rFonts w:cs="Arial"/>
              </w:rPr>
              <w:t>ormat 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Pr>
        <w:pStyle w:val="9"/>
      </w:pPr>
      <w:r>
        <w:t>6.3A.3.2.1.5</w:t>
      </w:r>
      <w:r>
        <w:tab/>
      </w:r>
      <w:r>
        <w:t>Test requirement</w:t>
      </w:r>
    </w:p>
    <w:p>
      <w:r>
        <w:t xml:space="preserve">The requirement for the power measured in steps (3), (4) and (5) of the test procedure shall not </w:t>
      </w:r>
      <w:r>
        <w:rPr>
          <w:rFonts w:eastAsia="香~??’c‘I"/>
        </w:rPr>
        <w:t>exceed</w:t>
      </w:r>
      <w:r>
        <w:t xml:space="preserve"> the values specified in Table 6.3A.3.2.1.5-1.</w:t>
      </w:r>
    </w:p>
    <w:p>
      <w:pPr>
        <w:pStyle w:val="113"/>
      </w:pPr>
      <w:r>
        <w:t>Table 6.3A.3.2.1.5-1: PRACH time mask</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restart"/>
          </w:tcPr>
          <w:p/>
        </w:tc>
        <w:tc>
          <w:tcPr>
            <w:tcW w:w="5869" w:type="dxa"/>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w:t>
            </w:r>
          </w:p>
          <w:p>
            <w:pPr>
              <w:pStyle w:val="104"/>
            </w:pPr>
            <w: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Expected PRACH Transmission ON Measured power</w:t>
            </w:r>
          </w:p>
        </w:tc>
        <w:tc>
          <w:tcPr>
            <w:tcW w:w="5869" w:type="dxa"/>
            <w:vAlign w:val="center"/>
          </w:tcPr>
          <w:p>
            <w:pPr>
              <w:pStyle w:val="105"/>
            </w:pPr>
            <w:r>
              <w:t>-1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Pr>
        <w:rPr>
          <w:lang w:val="en-US"/>
        </w:rPr>
      </w:pPr>
    </w:p>
    <w:p>
      <w:pPr>
        <w:pStyle w:val="7"/>
        <w:rPr>
          <w:lang w:val="en-US"/>
        </w:rPr>
      </w:pPr>
      <w:bookmarkStart w:id="334" w:name="_Toc26110"/>
      <w:bookmarkStart w:id="335" w:name="_Toc14770"/>
      <w:r>
        <w:t>6.3A.3.2.2</w:t>
      </w:r>
      <w:r>
        <w:tab/>
      </w:r>
      <w:r>
        <w:t>SRS time mask for UE category M1</w:t>
      </w:r>
      <w:bookmarkEnd w:id="334"/>
      <w:bookmarkEnd w:id="335"/>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6.3A.3.2.2.1</w:t>
      </w:r>
      <w:r>
        <w:tab/>
      </w:r>
      <w:r>
        <w:t>Test purpose</w:t>
      </w:r>
    </w:p>
    <w:p>
      <w:r>
        <w:t>Same test purpose as in TS 36.521-1[14] clause 6.3.4.2.2.1.</w:t>
      </w:r>
    </w:p>
    <w:p>
      <w:pPr>
        <w:pStyle w:val="9"/>
      </w:pPr>
      <w:r>
        <w:t>6.3A.3.2.2.2</w:t>
      </w:r>
      <w:r>
        <w:tab/>
      </w:r>
      <w:r>
        <w:t>Test applicability</w:t>
      </w:r>
    </w:p>
    <w:p>
      <w:r>
        <w:t>This test case applies to all types of E-UTRA UE release 17 and forward of UE category M1 that support satellite access operation.</w:t>
      </w:r>
    </w:p>
    <w:p>
      <w:pPr>
        <w:pStyle w:val="9"/>
      </w:pPr>
      <w:r>
        <w:t>6.3A.3.2.2.3</w:t>
      </w:r>
      <w:r>
        <w:tab/>
      </w:r>
      <w:r>
        <w:t>Minimum conformance requirements</w:t>
      </w:r>
    </w:p>
    <w:p>
      <w:r>
        <w:rPr>
          <w:lang w:eastAsia="ja-JP"/>
        </w:rPr>
        <w:t xml:space="preserve">Same minimum conformance requirements as in </w:t>
      </w:r>
      <w:r>
        <w:t xml:space="preserve">TS 36.521-1[14] </w:t>
      </w:r>
      <w:r>
        <w:rPr>
          <w:lang w:eastAsia="ja-JP"/>
        </w:rPr>
        <w:t>clause 6.3.4.2.2.3.</w:t>
      </w:r>
    </w:p>
    <w:p>
      <w:pPr>
        <w:pStyle w:val="9"/>
      </w:pPr>
      <w:r>
        <w:t>6.3A.3.2.2.4</w:t>
      </w:r>
      <w:r>
        <w:tab/>
      </w:r>
      <w:r>
        <w:t>Test description</w:t>
      </w:r>
    </w:p>
    <w:p>
      <w:pPr>
        <w:pStyle w:val="9"/>
      </w:pPr>
      <w:r>
        <w:t>6.3A.3.2.2.4.1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TS 36.521-1 Annexes A.2 and A.3</w:t>
      </w:r>
    </w:p>
    <w:p>
      <w:pPr>
        <w:pStyle w:val="113"/>
      </w:pPr>
      <w:r>
        <w:t>Table 6.3A.3.2.2.4.1-1: Test Configuration Table</w:t>
      </w:r>
    </w:p>
    <w:tbl>
      <w:tblPr>
        <w:tblStyle w:val="89"/>
        <w:tblW w:w="84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8472"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Test Environment</w:t>
            </w:r>
          </w:p>
          <w:p>
            <w:pPr>
              <w:pStyle w:val="103"/>
              <w:rPr>
                <w:bCs/>
              </w:rPr>
            </w:pPr>
            <w:r>
              <w:t>(as specified in TS 36.508 [12] subclause 4.1)</w:t>
            </w:r>
          </w:p>
        </w:tc>
        <w:tc>
          <w:tcPr>
            <w:tcW w:w="3811" w:type="dxa"/>
            <w:vAlign w:val="center"/>
          </w:tcPr>
          <w:p>
            <w:pPr>
              <w:pStyle w:val="105"/>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 36.508 [12] subclause 4.3.1)</w:t>
            </w:r>
          </w:p>
        </w:tc>
        <w:tc>
          <w:tcPr>
            <w:tcW w:w="3811" w:type="dxa"/>
          </w:tcPr>
          <w:p>
            <w:pPr>
              <w:pStyle w:val="105"/>
            </w:pPr>
            <w: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811" w:type="dxa"/>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 configuration</w:t>
            </w:r>
          </w:p>
        </w:tc>
        <w:tc>
          <w:tcPr>
            <w:tcW w:w="3811"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p>
        </w:tc>
        <w:tc>
          <w:tcPr>
            <w:tcW w:w="3811"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srs-BandwidthConfig</w:t>
            </w:r>
          </w:p>
        </w:tc>
        <w:tc>
          <w:tcPr>
            <w:tcW w:w="3811" w:type="dxa"/>
            <w:vAlign w:val="center"/>
          </w:tcPr>
          <w:p>
            <w:pPr>
              <w:pStyle w:val="105"/>
            </w:pPr>
            <w:r>
              <w:t>bw7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srs-SubframeConfig</w:t>
            </w:r>
          </w:p>
        </w:tc>
        <w:tc>
          <w:tcPr>
            <w:tcW w:w="3811" w:type="dxa"/>
            <w:vAlign w:val="center"/>
          </w:tcPr>
          <w:p>
            <w:pPr>
              <w:pStyle w:val="105"/>
            </w:pPr>
            <w:r>
              <w:t>sc3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ackNackSRS-SimultaneousTransmission</w:t>
            </w:r>
          </w:p>
        </w:tc>
        <w:tc>
          <w:tcPr>
            <w:tcW w:w="3811" w:type="dxa"/>
            <w:vAlign w:val="center"/>
          </w:tcPr>
          <w:p>
            <w:pPr>
              <w:pStyle w:val="105"/>
            </w:pPr>
            <w:r>
              <w:t>FALSE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srsMaxUpPts</w:t>
            </w:r>
          </w:p>
        </w:tc>
        <w:tc>
          <w:tcPr>
            <w:tcW w:w="3811" w:type="dxa"/>
            <w:vAlign w:val="center"/>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 xml:space="preserve">srs-Bandwidth </w:t>
            </w:r>
          </w:p>
        </w:tc>
        <w:tc>
          <w:tcPr>
            <w:tcW w:w="3811" w:type="dxa"/>
            <w:vAlign w:val="center"/>
          </w:tcPr>
          <w:p>
            <w:pPr>
              <w:pStyle w:val="105"/>
            </w:pPr>
            <w:r>
              <w:t>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srs-HoppingBandwidth</w:t>
            </w:r>
          </w:p>
        </w:tc>
        <w:tc>
          <w:tcPr>
            <w:tcW w:w="3811" w:type="dxa"/>
            <w:vAlign w:val="center"/>
          </w:tcPr>
          <w:p>
            <w:pPr>
              <w:pStyle w:val="105"/>
            </w:pPr>
            <w:r>
              <w:t>hbw3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freqDomainPosition</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Duration</w:t>
            </w:r>
          </w:p>
        </w:tc>
        <w:tc>
          <w:tcPr>
            <w:tcW w:w="3811" w:type="dxa"/>
            <w:vAlign w:val="center"/>
          </w:tcPr>
          <w:p>
            <w:pPr>
              <w:pStyle w:val="105"/>
            </w:pPr>
            <w:r>
              <w:t>TRUE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srs-ConfigIndex</w:t>
            </w:r>
          </w:p>
        </w:tc>
        <w:tc>
          <w:tcPr>
            <w:tcW w:w="3811" w:type="dxa"/>
            <w:vAlign w:val="center"/>
          </w:tcPr>
          <w:p>
            <w:pPr>
              <w:pStyle w:val="105"/>
            </w:pPr>
            <w: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transmissionComb</w:t>
            </w:r>
          </w:p>
        </w:tc>
        <w:tc>
          <w:tcPr>
            <w:tcW w:w="3811" w:type="dxa"/>
            <w:vAlign w:val="center"/>
          </w:tcPr>
          <w:p>
            <w:pPr>
              <w:pStyle w:val="105"/>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vAlign w:val="center"/>
          </w:tcPr>
          <w:p>
            <w:pPr>
              <w:pStyle w:val="103"/>
            </w:pPr>
            <w:r>
              <w:rPr>
                <w:bCs/>
              </w:rPr>
              <w:t>cyclicShift</w:t>
            </w:r>
          </w:p>
        </w:tc>
        <w:tc>
          <w:tcPr>
            <w:tcW w:w="3811" w:type="dxa"/>
            <w:vAlign w:val="center"/>
          </w:tcPr>
          <w:p>
            <w:pPr>
              <w:pStyle w:val="105"/>
            </w:pPr>
            <w:r>
              <w:t>cs0</w:t>
            </w:r>
          </w:p>
        </w:tc>
      </w:tr>
    </w:tbl>
    <w:p>
      <w:pPr>
        <w:rPr>
          <w:rFonts w:eastAsia="MS Mincho"/>
          <w:lang w:eastAsia="ja-JP"/>
        </w:rPr>
      </w:pP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1.</w:t>
      </w:r>
      <w:r>
        <w:rPr>
          <w:rFonts w:hint="eastAsia" w:eastAsia="Times New Roman"/>
          <w:lang w:eastAsia="en-GB"/>
        </w:rPr>
        <w:tab/>
      </w:r>
      <w:r>
        <w:rPr>
          <w:rFonts w:hint="eastAsia" w:eastAsia="Times New Roman"/>
          <w:lang w:eastAsia="en-GB"/>
        </w:rPr>
        <w:t xml:space="preserve">Connect the SS to the UE antenna connectors as shown in TS 36.508 [12] Annex A Figure A.3 </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w:t>
      </w:r>
      <w:r>
        <w:rPr>
          <w:rFonts w:hint="eastAsia" w:eastAsia="Times New Roman"/>
          <w:lang w:eastAsia="en-GB"/>
        </w:rPr>
        <w:tab/>
      </w:r>
      <w:r>
        <w:rPr>
          <w:rFonts w:hint="eastAsia" w:eastAsia="Times New Roman"/>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w:t>
      </w:r>
      <w:r>
        <w:rPr>
          <w:rFonts w:hint="eastAsia" w:eastAsia="Times New Roman"/>
          <w:lang w:eastAsia="en-GB"/>
        </w:rPr>
        <w:tab/>
      </w:r>
      <w:r>
        <w:rPr>
          <w:rFonts w:hint="eastAsia" w:eastAsia="Times New Roman"/>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4.</w:t>
      </w:r>
      <w:r>
        <w:rPr>
          <w:rFonts w:hint="eastAsia" w:eastAsia="Times New Roman"/>
          <w:lang w:eastAsia="en-GB"/>
        </w:rPr>
        <w:tab/>
      </w:r>
      <w:r>
        <w:rPr>
          <w:rFonts w:hint="eastAsia" w:eastAsia="Times New Roman"/>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eastAsia="Times New Roman"/>
          <w:lang w:eastAsia="en-GB"/>
        </w:rPr>
        <w:tab/>
      </w:r>
      <w:r>
        <w:rPr>
          <w:rFonts w:hint="eastAsia" w:eastAsia="Times New Roman"/>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eastAsia="Times New Roman"/>
          <w:lang w:eastAsia="en-GB"/>
        </w:rPr>
        <w:tab/>
      </w:r>
      <w:r>
        <w:rPr>
          <w:rFonts w:hint="eastAsia" w:eastAsia="Times New Roman"/>
          <w:lang w:eastAsia="en-GB"/>
        </w:rPr>
        <w:t>Ensure the UE is in State 3A-RF-CE according to TS 36.508 [12] clause 5.2A.2AA. Message contents are defined in clause 6.3A.3.2.2.4.3. Note that MPDCCH DCI format 6-0A sent after resetting uplink power with RRC Connection Reconfiguration, should have TPC command 0dB.</w:t>
      </w:r>
    </w:p>
    <w:p>
      <w:pPr>
        <w:pStyle w:val="9"/>
      </w:pPr>
      <w:r>
        <w:t>6.3A.3.2.2.4.2</w:t>
      </w:r>
      <w:r>
        <w:tab/>
      </w:r>
      <w:r>
        <w:t>Test procedure</w:t>
      </w:r>
    </w:p>
    <w:p>
      <w:pPr>
        <w:pStyle w:val="111"/>
        <w:overflowPunct w:val="0"/>
        <w:autoSpaceDE w:val="0"/>
        <w:autoSpaceDN w:val="0"/>
        <w:adjustRightInd w:val="0"/>
        <w:contextualSpacing w:val="0"/>
        <w:textAlignment w:val="baseline"/>
        <w:rPr>
          <w:rFonts w:hint="eastAsia"/>
          <w:lang w:val="en-US" w:eastAsia="en-GB"/>
        </w:rPr>
      </w:pPr>
      <w:r>
        <w:rPr>
          <w:rFonts w:hint="eastAsia"/>
          <w:lang w:eastAsia="en-GB"/>
        </w:rPr>
        <w:t>1.</w:t>
      </w:r>
      <w:r>
        <w:rPr>
          <w:rFonts w:hint="eastAsia"/>
          <w:lang w:eastAsia="en-GB"/>
        </w:rPr>
        <w:tab/>
      </w:r>
      <w:r>
        <w:rPr>
          <w:rFonts w:hint="eastAsia"/>
          <w:lang w:eastAsia="en-GB"/>
        </w:rPr>
        <w:t xml:space="preserve">For FDD UE, the SS measure the UE transmission OFF power during the 13 symbols preceding the SRS symbol excluding a transient period of 20 µs according to </w:t>
      </w:r>
      <w:r>
        <w:rPr>
          <w:rFonts w:hint="eastAsia" w:eastAsia="Times New Roman"/>
          <w:lang w:eastAsia="en-GB"/>
        </w:rPr>
        <w:t xml:space="preserve">TS 36.521-1[14] </w:t>
      </w:r>
      <w:r>
        <w:rPr>
          <w:rFonts w:hint="eastAsia"/>
          <w:lang w:eastAsia="en-GB"/>
        </w:rPr>
        <w:t>Figure 6.3.4.2.2.3-1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 xml:space="preserve">Measure the output power of the transmitted SRS according to </w:t>
      </w:r>
      <w:r>
        <w:rPr>
          <w:rFonts w:hint="eastAsia" w:eastAsia="Times New Roman"/>
          <w:lang w:eastAsia="en-GB"/>
        </w:rPr>
        <w:t xml:space="preserve">TS 36.521-1[14] </w:t>
      </w:r>
      <w:r>
        <w:rPr>
          <w:rFonts w:hint="eastAsia"/>
          <w:lang w:eastAsia="en-GB"/>
        </w:rPr>
        <w:t>Figure 6.3.4.2.2.3-1 for FDD and HD-FDD UE and the transient periods are excluded from measurement accordingly.</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 xml:space="preserve">Measure the UE transmission OFF power during the sub-frame following the SRS under test, excluding a transient period of 20 µs according to </w:t>
      </w:r>
      <w:r>
        <w:rPr>
          <w:rFonts w:hint="eastAsia" w:eastAsia="Times New Roman"/>
          <w:lang w:eastAsia="en-GB"/>
        </w:rPr>
        <w:t xml:space="preserve">TS 36.521-1[14] </w:t>
      </w:r>
      <w:r>
        <w:rPr>
          <w:rFonts w:hint="eastAsia"/>
          <w:lang w:eastAsia="en-GB"/>
        </w:rPr>
        <w:t>Figure 6.3A.3.2.2.3-1 for FDD and HD-FDD UE</w:t>
      </w:r>
    </w:p>
    <w:p>
      <w:pPr>
        <w:pStyle w:val="9"/>
      </w:pPr>
      <w:r>
        <w:t>6.3A.3.2.2.4.3</w:t>
      </w:r>
      <w:r>
        <w:tab/>
      </w:r>
      <w:r>
        <w:t>Message contents</w:t>
      </w:r>
    </w:p>
    <w:p>
      <w:pPr>
        <w:rPr>
          <w:lang w:eastAsia="ja-JP"/>
        </w:rPr>
      </w:pPr>
      <w:r>
        <w:rPr>
          <w:lang w:eastAsia="ja-JP"/>
        </w:rPr>
        <w:t xml:space="preserve">Same message contents as in </w:t>
      </w:r>
      <w:r>
        <w:rPr>
          <w:rFonts w:eastAsia="Malgun Gothic"/>
          <w:lang w:eastAsia="en-GB"/>
        </w:rPr>
        <w:t xml:space="preserve">TS 36.521-1[14] </w:t>
      </w:r>
      <w:r>
        <w:rPr>
          <w:lang w:eastAsia="ja-JP"/>
        </w:rPr>
        <w:t>clause 6.3.4.2.2.4.3 with the following exception.</w:t>
      </w:r>
    </w:p>
    <w:p>
      <w:pPr>
        <w:pStyle w:val="113"/>
      </w:pPr>
      <w:r>
        <w:t>Table 6.3A.3.2.2.4.3-1: SchedulingRequest-Config</w:t>
      </w:r>
    </w:p>
    <w:tbl>
      <w:tblPr>
        <w:tblStyle w:val="89"/>
        <w:tblW w:w="0" w:type="auto"/>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36.331[6]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SchedulingRequest-Config-DEFAULT ::= CHOICE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setup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right w:val="single" w:color="auto" w:sz="4" w:space="0"/>
            </w:tcBorders>
          </w:tcPr>
          <w:p>
            <w:pPr>
              <w:pStyle w:val="103"/>
            </w:pPr>
            <w:r>
              <w:t xml:space="preserve">    sr-ConfigIndex</w:t>
            </w:r>
          </w:p>
        </w:tc>
        <w:tc>
          <w:tcPr>
            <w:tcW w:w="2268" w:type="dxa"/>
            <w:tcBorders>
              <w:top w:val="single" w:color="auto" w:sz="4" w:space="0"/>
              <w:left w:val="single" w:color="auto" w:sz="4" w:space="0"/>
              <w:bottom w:val="single" w:color="auto" w:sz="4" w:space="0"/>
              <w:right w:val="single" w:color="auto" w:sz="4" w:space="0"/>
            </w:tcBorders>
          </w:tcPr>
          <w:p>
            <w:pPr>
              <w:pStyle w:val="103"/>
            </w:pPr>
            <w:r>
              <w:t>33</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r>
              <w:t>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1701"/>
        <w:gridCol w:w="7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Pr>
          <w:p>
            <w:pPr>
              <w:pStyle w:val="104"/>
              <w:keepNext w:val="0"/>
              <w:keepLines w:val="0"/>
            </w:pPr>
            <w:r>
              <w:t>Condition</w:t>
            </w:r>
          </w:p>
        </w:tc>
        <w:tc>
          <w:tcPr>
            <w:tcW w:w="7229" w:type="dxa"/>
          </w:tcPr>
          <w:p>
            <w:pPr>
              <w:pStyle w:val="104"/>
              <w:keepNext w:val="0"/>
              <w:keepLines w:val="0"/>
            </w:pPr>
            <w:r>
              <w:t>Explanation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1" w:type="dxa"/>
            <w:tcBorders>
              <w:top w:val="single" w:color="auto" w:sz="4" w:space="0"/>
              <w:left w:val="single" w:color="auto" w:sz="4" w:space="0"/>
              <w:bottom w:val="single" w:color="auto" w:sz="4" w:space="0"/>
              <w:right w:val="single" w:color="auto" w:sz="4" w:space="0"/>
            </w:tcBorders>
          </w:tcPr>
          <w:p>
            <w:pPr>
              <w:pStyle w:val="104"/>
              <w:keepNext w:val="0"/>
              <w:keepLines w:val="0"/>
            </w:pPr>
            <w:r>
              <w:t>HD-FDD</w:t>
            </w:r>
          </w:p>
        </w:tc>
        <w:tc>
          <w:tcPr>
            <w:tcW w:w="7229" w:type="dxa"/>
            <w:tcBorders>
              <w:top w:val="single" w:color="auto" w:sz="4" w:space="0"/>
              <w:left w:val="single" w:color="auto" w:sz="4" w:space="0"/>
              <w:bottom w:val="single" w:color="auto" w:sz="4" w:space="0"/>
              <w:right w:val="single" w:color="auto" w:sz="4" w:space="0"/>
            </w:tcBorders>
          </w:tcPr>
          <w:p>
            <w:pPr>
              <w:pStyle w:val="104"/>
              <w:keepNext w:val="0"/>
              <w:keepLines w:val="0"/>
            </w:pPr>
            <w:r>
              <w:t>Half Duplex FDD cell environment</w:t>
            </w:r>
          </w:p>
        </w:tc>
      </w:tr>
    </w:tbl>
    <w:p/>
    <w:p>
      <w:pPr>
        <w:pStyle w:val="9"/>
      </w:pPr>
      <w:r>
        <w:t>6.3A.3.2.2.5</w:t>
      </w:r>
      <w:r>
        <w:tab/>
      </w:r>
      <w:r>
        <w:t>Test requirement</w:t>
      </w:r>
    </w:p>
    <w:p>
      <w:r>
        <w:t xml:space="preserve">The requirement for the power measured in steps (1), (2) and (3) of the test procedure shall not </w:t>
      </w:r>
      <w:r>
        <w:rPr>
          <w:rFonts w:eastAsia="香~??’c‘I"/>
        </w:rPr>
        <w:t>exceed</w:t>
      </w:r>
      <w:r>
        <w:t xml:space="preserve"> the values specified in Table 6.3A.3.2.2.5-1.</w:t>
      </w:r>
    </w:p>
    <w:p>
      <w:pPr>
        <w:pStyle w:val="113"/>
      </w:pPr>
      <w:r>
        <w:t>Table 6.3A.3.2.2.5-1: SRS time mask</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5"/>
        <w:gridCol w:w="58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95" w:type="dxa"/>
            <w:vMerge w:val="restart"/>
          </w:tcPr>
          <w:p/>
        </w:tc>
        <w:tc>
          <w:tcPr>
            <w:tcW w:w="5869" w:type="dxa"/>
          </w:tcPr>
          <w:p>
            <w:pPr>
              <w:pStyle w:val="104"/>
            </w:pPr>
            <w:r>
              <w:t>Channel bandwidth / Output Power [dBm]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Merge w:val="continue"/>
          </w:tcPr>
          <w:p/>
        </w:tc>
        <w:tc>
          <w:tcPr>
            <w:tcW w:w="5869" w:type="dxa"/>
          </w:tcPr>
          <w:p>
            <w:pPr>
              <w:pStyle w:val="104"/>
            </w:pPr>
            <w: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Transmit OFF power</w:t>
            </w:r>
          </w:p>
        </w:tc>
        <w:tc>
          <w:tcPr>
            <w:tcW w:w="5869" w:type="dxa"/>
            <w:vAlign w:val="center"/>
          </w:tcPr>
          <w:p>
            <w:pPr>
              <w:pStyle w:val="105"/>
            </w:pPr>
            <w:r>
              <w:rPr>
                <w:rFonts w:cs="v4.2.0"/>
              </w:rPr>
              <w:t xml:space="preserve">For carrier frequency f </w:t>
            </w:r>
            <w:r>
              <w:rPr>
                <w:rFonts w:cs="Arial"/>
              </w:rPr>
              <w:t>≤</w:t>
            </w:r>
            <w:r>
              <w:rPr>
                <w:rFonts w:cs="v4.2.0"/>
              </w:rPr>
              <w:t xml:space="preserve"> 3.0GHz: </w:t>
            </w:r>
            <w:r>
              <w:rPr/>
              <w:sym w:font="Symbol" w:char="F0A3"/>
            </w:r>
            <w:r>
              <w:t xml:space="preserve"> -48.5 dBm</w:t>
            </w:r>
          </w:p>
          <w:p>
            <w:pPr>
              <w:pStyle w:val="105"/>
            </w:pPr>
            <w:r>
              <w:rPr>
                <w:rFonts w:cs="v4.2.0"/>
              </w:rPr>
              <w:t xml:space="preserve">For carrier frequency 3.0GHz &lt; f </w:t>
            </w:r>
            <w:r>
              <w:rPr>
                <w:rFonts w:cs="Arial"/>
              </w:rPr>
              <w:t>≤</w:t>
            </w:r>
            <w:r>
              <w:rPr>
                <w:rFonts w:cs="v4.2.0"/>
              </w:rPr>
              <w:t xml:space="preserve"> 4.2GHz: </w:t>
            </w:r>
            <w:r>
              <w:rPr>
                <w:rFonts w:cs="Arial"/>
              </w:rPr>
              <w:t>≤</w:t>
            </w:r>
            <w:r>
              <w:rPr>
                <w:rFonts w:cs="v4.2.0"/>
              </w:rPr>
              <w:t xml:space="preserve"> </w:t>
            </w:r>
            <w:r>
              <w:t>-48.2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Transmission OFF Measurement bandwidth</w:t>
            </w:r>
          </w:p>
        </w:tc>
        <w:tc>
          <w:tcPr>
            <w:tcW w:w="5869" w:type="dxa"/>
            <w:vAlign w:val="center"/>
          </w:tcPr>
          <w:p>
            <w:pPr>
              <w:pStyle w:val="105"/>
            </w:pPr>
            <w: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Expected SRS Transmission ON Measured power</w:t>
            </w:r>
          </w:p>
        </w:tc>
        <w:tc>
          <w:tcPr>
            <w:tcW w:w="5869" w:type="dxa"/>
            <w:vAlign w:val="center"/>
          </w:tcPr>
          <w:p>
            <w:pPr>
              <w:pStyle w:val="105"/>
            </w:pPr>
            <w:r>
              <w:t>-2.6 dBm</w:t>
            </w:r>
            <w:r>
              <w:rPr>
                <w:snapToGrid w:val="0"/>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95" w:type="dxa"/>
            <w:vAlign w:val="center"/>
          </w:tcPr>
          <w:p>
            <w:pPr>
              <w:pStyle w:val="105"/>
            </w:pPr>
            <w:r>
              <w:t>ON power tolerance</w:t>
            </w:r>
          </w:p>
          <w:p>
            <w:pPr>
              <w:pStyle w:val="103"/>
            </w:pPr>
            <w:r>
              <w:rPr>
                <w:rFonts w:cs="v4.2.0"/>
              </w:rPr>
              <w:t xml:space="preserve">f </w:t>
            </w:r>
            <w:r>
              <w:rPr>
                <w:rFonts w:cs="Arial"/>
              </w:rPr>
              <w:t>≤</w:t>
            </w:r>
            <w:r>
              <w:rPr>
                <w:rFonts w:cs="v4.2.0"/>
              </w:rPr>
              <w:t xml:space="preserve"> 3.0GHz</w:t>
            </w:r>
          </w:p>
          <w:p>
            <w:pPr>
              <w:pStyle w:val="103"/>
              <w:rPr>
                <w:rFonts w:cs="v4.2.0"/>
              </w:rPr>
            </w:pPr>
            <w:r>
              <w:t xml:space="preserve">3.0GHz &lt; f </w:t>
            </w:r>
            <w:r>
              <w:rPr>
                <w:rFonts w:cs="Arial"/>
              </w:rPr>
              <w:t>≤</w:t>
            </w:r>
            <w:r>
              <w:t xml:space="preserve"> 4.2GHz</w:t>
            </w:r>
          </w:p>
        </w:tc>
        <w:tc>
          <w:tcPr>
            <w:tcW w:w="5869" w:type="dxa"/>
            <w:vAlign w:val="center"/>
          </w:tcPr>
          <w:p>
            <w:pPr>
              <w:pStyle w:val="105"/>
            </w:pPr>
            <w:r>
              <w:rPr>
                <w:snapToGrid w:val="0"/>
              </w:rPr>
              <w:t>±</w:t>
            </w:r>
            <w:r>
              <w:t xml:space="preserve"> 7.5dB</w:t>
            </w:r>
          </w:p>
          <w:p>
            <w:pPr>
              <w:pStyle w:val="105"/>
            </w:pPr>
            <w:r>
              <w:rPr>
                <w:snapToGrid w:val="0"/>
              </w:rPr>
              <w:t>±</w:t>
            </w:r>
            <w:r>
              <w:t xml:space="preserve"> 7.8dB</w:t>
            </w:r>
          </w:p>
        </w:tc>
      </w:tr>
    </w:tbl>
    <w:p/>
    <w:p>
      <w:pPr>
        <w:pStyle w:val="5"/>
        <w:rPr>
          <w:lang w:eastAsia="zh-CN"/>
        </w:rPr>
      </w:pPr>
      <w:bookmarkStart w:id="336" w:name="_Toc27031"/>
      <w:bookmarkStart w:id="337" w:name="_Toc8626"/>
      <w:r>
        <w:t>6.3A.4</w:t>
      </w:r>
      <w:r>
        <w:tab/>
      </w:r>
      <w:r>
        <w:t>Power control</w:t>
      </w:r>
      <w:r>
        <w:rPr>
          <w:lang w:eastAsia="zh-CN"/>
        </w:rPr>
        <w:t xml:space="preserve"> for category M1</w:t>
      </w:r>
      <w:bookmarkEnd w:id="329"/>
      <w:bookmarkEnd w:id="330"/>
      <w:bookmarkEnd w:id="331"/>
      <w:bookmarkEnd w:id="336"/>
      <w:bookmarkEnd w:id="337"/>
    </w:p>
    <w:p>
      <w:pPr>
        <w:pStyle w:val="6"/>
        <w:rPr>
          <w:lang w:val="en-US"/>
        </w:rPr>
      </w:pPr>
      <w:bookmarkStart w:id="338" w:name="_Toc15900"/>
      <w:bookmarkStart w:id="339" w:name="_Toc7597"/>
      <w:r>
        <w:t>6.3A.</w:t>
      </w:r>
      <w:r>
        <w:rPr>
          <w:rFonts w:hint="eastAsia"/>
        </w:rPr>
        <w:t>4</w:t>
      </w:r>
      <w:r>
        <w:t>.</w:t>
      </w:r>
      <w:r>
        <w:rPr>
          <w:rFonts w:hint="eastAsia"/>
        </w:rPr>
        <w:t>1</w:t>
      </w:r>
      <w:r>
        <w:tab/>
      </w:r>
      <w:r>
        <w:t>Power Control Absolute power tolerance for UE category M1</w:t>
      </w:r>
      <w:bookmarkEnd w:id="338"/>
      <w:bookmarkEnd w:id="339"/>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6.3A.</w:t>
      </w:r>
      <w:r>
        <w:rPr>
          <w:rFonts w:hint="eastAsia"/>
        </w:rPr>
        <w:t>4</w:t>
      </w:r>
      <w:r>
        <w:t>.</w:t>
      </w:r>
      <w:r>
        <w:rPr>
          <w:rFonts w:hint="eastAsia"/>
        </w:rPr>
        <w:t>1</w:t>
      </w:r>
      <w:r>
        <w:t>.1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6.3A.</w:t>
      </w:r>
      <w:r>
        <w:rPr>
          <w:rFonts w:hint="eastAsia"/>
        </w:rPr>
        <w:t>4</w:t>
      </w:r>
      <w:r>
        <w:t>.</w:t>
      </w:r>
      <w:r>
        <w:rPr>
          <w:rFonts w:hint="eastAsia"/>
        </w:rPr>
        <w:t>1</w:t>
      </w:r>
      <w:r>
        <w:t>.2</w:t>
      </w:r>
      <w:r>
        <w:tab/>
      </w:r>
      <w:r>
        <w:t>Test applicability</w:t>
      </w:r>
    </w:p>
    <w:p>
      <w:pPr>
        <w:rPr>
          <w:lang w:val="en-US"/>
        </w:rPr>
      </w:pPr>
      <w:r>
        <w:t>This test case applies to all types of E-UTRA UE release 17 and forward of UE category M1 that support satellite access operation.</w:t>
      </w:r>
    </w:p>
    <w:p>
      <w:pPr>
        <w:pStyle w:val="9"/>
        <w:rPr>
          <w:lang w:val="en-US"/>
        </w:rPr>
      </w:pPr>
      <w:r>
        <w:t>6.3A.</w:t>
      </w:r>
      <w:r>
        <w:rPr>
          <w:rFonts w:hint="eastAsia"/>
        </w:rPr>
        <w:t>4</w:t>
      </w:r>
      <w:r>
        <w:t>.</w:t>
      </w:r>
      <w:r>
        <w:rPr>
          <w:rFonts w:hint="eastAsia"/>
        </w:rPr>
        <w:t>1</w:t>
      </w:r>
      <w:r>
        <w:t>.</w:t>
      </w:r>
      <w:r>
        <w:rPr>
          <w:rFonts w:hint="eastAsia"/>
        </w:rPr>
        <w:t>3</w:t>
      </w:r>
      <w:r>
        <w:tab/>
      </w:r>
      <w:r>
        <w:t>Minimum conformance requirements</w:t>
      </w:r>
    </w:p>
    <w:p>
      <w:pPr>
        <w:rPr>
          <w:snapToGrid w:val="0"/>
        </w:rPr>
      </w:pPr>
      <w:r>
        <w:t>Absolute power tolerance is the ability of the UE transmitter to set its initial output power to a specific value for the first sub-frame at the start of a contiguous transmission</w:t>
      </w:r>
      <w:r>
        <w:rPr>
          <w:snapToGrid w:val="0"/>
        </w:rPr>
        <w:t xml:space="preserve"> or non-contiguous transmission with a transmission gap larger than 20ms.</w:t>
      </w:r>
    </w:p>
    <w:p>
      <w:r>
        <w:t>The minimum requirement on absolute power tolerance is given in Table 6.3</w:t>
      </w:r>
      <w:r>
        <w:rPr>
          <w:rFonts w:eastAsia="PMingLiU"/>
          <w:lang w:eastAsia="zh-TW"/>
        </w:rPr>
        <w:t>A.4</w:t>
      </w:r>
      <w:r>
        <w:t>.1.3-1 over the power range bounded by the Maximum output power as defined in sub-clause 6.2</w:t>
      </w:r>
      <w:r>
        <w:rPr>
          <w:rFonts w:eastAsia="PMingLiU"/>
          <w:lang w:eastAsia="zh-TW"/>
        </w:rPr>
        <w:t>A</w:t>
      </w:r>
      <w:r>
        <w:rPr>
          <w:rFonts w:asciiTheme="minorEastAsia" w:hAnsiTheme="minorEastAsia" w:eastAsiaTheme="minorEastAsia"/>
          <w:lang w:val="en-US"/>
        </w:rPr>
        <w:t>.1</w:t>
      </w:r>
      <w:r>
        <w:t xml:space="preserve"> and the Minimum output power as defined in sub clause 6.3A.1.</w:t>
      </w:r>
    </w:p>
    <w:p>
      <w:pPr>
        <w:pStyle w:val="113"/>
      </w:pPr>
      <w:r>
        <w:t>Table 6.3</w:t>
      </w:r>
      <w:r>
        <w:rPr>
          <w:rFonts w:eastAsia="PMingLiU"/>
          <w:lang w:eastAsia="zh-TW"/>
        </w:rPr>
        <w:t>A</w:t>
      </w:r>
      <w:r>
        <w:t>.4.1.</w:t>
      </w:r>
      <w:r>
        <w:rPr>
          <w:rFonts w:eastAsia="PMingLiU"/>
          <w:lang w:eastAsia="zh-TW"/>
        </w:rPr>
        <w:t>3</w:t>
      </w:r>
      <w:r>
        <w:t>-1: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4"/>
            </w:pPr>
            <w:r>
              <w:t>Conditions</w:t>
            </w:r>
          </w:p>
        </w:tc>
        <w:tc>
          <w:tcPr>
            <w:tcW w:w="1827" w:type="dxa"/>
            <w:vAlign w:val="center"/>
          </w:tcPr>
          <w:p>
            <w:pPr>
              <w:pStyle w:val="104"/>
              <w:rPr>
                <w:snapToGrid w:val="0"/>
              </w:rPr>
            </w:pPr>
            <w:r>
              <w:rPr>
                <w:snapToGrid w:val="0"/>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Normal conditions</w:t>
            </w:r>
          </w:p>
        </w:tc>
        <w:tc>
          <w:tcPr>
            <w:tcW w:w="1827" w:type="dxa"/>
            <w:vAlign w:val="center"/>
          </w:tcPr>
          <w:p>
            <w:pPr>
              <w:pStyle w:val="105"/>
            </w:pPr>
            <w:r>
              <w:rPr>
                <w:snapToGrid w:val="0"/>
              </w:rPr>
              <w:t>±</w:t>
            </w:r>
            <w: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70" w:type="dxa"/>
            <w:vAlign w:val="center"/>
          </w:tcPr>
          <w:p>
            <w:pPr>
              <w:pStyle w:val="105"/>
            </w:pPr>
            <w:r>
              <w:t>Extreme conditions</w:t>
            </w:r>
          </w:p>
        </w:tc>
        <w:tc>
          <w:tcPr>
            <w:tcW w:w="1827" w:type="dxa"/>
            <w:vAlign w:val="center"/>
          </w:tcPr>
          <w:p>
            <w:pPr>
              <w:pStyle w:val="105"/>
            </w:pPr>
            <w:r>
              <w:rPr>
                <w:snapToGrid w:val="0"/>
              </w:rPr>
              <w:t>±</w:t>
            </w:r>
            <w:r>
              <w:t xml:space="preserve"> 12.0 dB</w:t>
            </w:r>
          </w:p>
        </w:tc>
      </w:tr>
    </w:tbl>
    <w:p/>
    <w:p>
      <w:pPr>
        <w:rPr>
          <w:lang w:eastAsia="ja-JP"/>
        </w:rPr>
      </w:pPr>
      <w:r>
        <w:t>The normative reference for this requirement is TS 36.102 [11] clause 6.3A.4.</w:t>
      </w:r>
    </w:p>
    <w:p>
      <w:pPr>
        <w:pStyle w:val="9"/>
      </w:pPr>
      <w:r>
        <w:t>6.3A.4.1.4</w:t>
      </w:r>
      <w:r>
        <w:tab/>
      </w:r>
      <w:r>
        <w:t>Test description</w:t>
      </w:r>
    </w:p>
    <w:p>
      <w:pPr>
        <w:pStyle w:val="9"/>
      </w:pPr>
      <w:r>
        <w:t>6.3A.4.1.4.1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TS 36.521-1[14]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TS 36.521-1[14] Annex C.2.</w:t>
      </w:r>
    </w:p>
    <w:p>
      <w:pPr>
        <w:pStyle w:val="113"/>
      </w:pPr>
      <w:r>
        <w:t>Table 6.3A.4.1.4.1-1: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rPr>
                <w:rFonts w:eastAsia="PMingLiU"/>
                <w:lang w:eastAsia="zh-TW"/>
              </w:rPr>
              <w:t>6</w:t>
            </w:r>
          </w:p>
        </w:tc>
      </w:tr>
    </w:tbl>
    <w:p>
      <w:pPr>
        <w:rPr>
          <w:rFonts w:eastAsia="MS Mincho"/>
          <w:lang w:eastAsia="ja-JP"/>
        </w:rPr>
      </w:pPr>
    </w:p>
    <w:p>
      <w:pPr>
        <w:pStyle w:val="111"/>
        <w:overflowPunct w:val="0"/>
        <w:autoSpaceDE w:val="0"/>
        <w:autoSpaceDN w:val="0"/>
        <w:adjustRightInd w:val="0"/>
        <w:ind w:left="0" w:firstLine="284"/>
        <w:contextualSpacing w:val="0"/>
        <w:textAlignment w:val="baseline"/>
        <w:rPr>
          <w:rFonts w:hint="eastAsia"/>
          <w:lang w:eastAsia="en-GB"/>
        </w:rPr>
      </w:pPr>
      <w:r>
        <w:rPr>
          <w:rFonts w:hint="eastAsia" w:eastAsia="Times New Roman"/>
          <w:lang w:eastAsia="en-GB"/>
        </w:rPr>
        <w:t>1.</w:t>
      </w:r>
      <w:r>
        <w:rPr>
          <w:rFonts w:hint="eastAsia" w:eastAsia="Times New Roman"/>
          <w:lang w:eastAsia="en-GB"/>
        </w:rPr>
        <w:tab/>
      </w:r>
      <w:r>
        <w:rPr>
          <w:rFonts w:hint="eastAsia" w:eastAsia="Times New Roman"/>
          <w:lang w:eastAsia="en-GB"/>
        </w:rPr>
        <w:t xml:space="preserve">Connect the SS to the UE antenna connectors as shown in TS 36.508 [12] Annex A, Figure A.3 </w:t>
      </w:r>
      <w:r>
        <w:rPr>
          <w:rFonts w:hint="eastAsia"/>
          <w:lang w:eastAsia="en-GB"/>
        </w:rPr>
        <w:t>using only main UE Tx/Rx antenna.</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w:t>
      </w:r>
      <w:r>
        <w:rPr>
          <w:rFonts w:hint="eastAsia" w:eastAsia="Times New Roman"/>
          <w:lang w:eastAsia="en-GB"/>
        </w:rPr>
        <w:tab/>
      </w:r>
      <w:r>
        <w:rPr>
          <w:rFonts w:hint="eastAsia" w:eastAsia="Times New Roman"/>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w:t>
      </w:r>
      <w:r>
        <w:rPr>
          <w:rFonts w:hint="eastAsia" w:eastAsia="Times New Roman"/>
          <w:lang w:eastAsia="en-GB"/>
        </w:rPr>
        <w:tab/>
      </w:r>
      <w:r>
        <w:rPr>
          <w:rFonts w:hint="eastAsia" w:eastAsia="Times New Roman"/>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4.</w:t>
      </w:r>
      <w:r>
        <w:rPr>
          <w:rFonts w:hint="eastAsia" w:eastAsia="Times New Roman"/>
          <w:lang w:eastAsia="en-GB"/>
        </w:rPr>
        <w:tab/>
      </w:r>
      <w:r>
        <w:rPr>
          <w:rFonts w:hint="eastAsia"/>
          <w:lang w:eastAsia="en-GB"/>
        </w:rPr>
        <w:t>The UL Reference Measurement channel is set according to Table 6.3</w:t>
      </w:r>
      <w:r>
        <w:rPr>
          <w:rFonts w:hint="eastAsia" w:eastAsia="Times New Roman"/>
          <w:lang w:eastAsia="en-GB"/>
        </w:rPr>
        <w:t>A</w:t>
      </w:r>
      <w:r>
        <w:rPr>
          <w:rFonts w:hint="eastAsia"/>
          <w:lang w:eastAsia="en-GB"/>
        </w:rPr>
        <w:t>.4.1.4.1-1.</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eastAsia="Times New Roman"/>
          <w:lang w:eastAsia="en-GB"/>
        </w:rPr>
        <w:tab/>
      </w:r>
      <w:r>
        <w:rPr>
          <w:rFonts w:hint="eastAsia" w:eastAsia="Times New Roman"/>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eastAsia="Times New Roman"/>
          <w:lang w:eastAsia="en-GB"/>
        </w:rPr>
        <w:tab/>
      </w:r>
      <w:r>
        <w:rPr>
          <w:rFonts w:hint="eastAsia" w:eastAsia="Times New Roman"/>
          <w:lang w:eastAsia="en-GB"/>
        </w:rPr>
        <w:t>Ensure the UE is in State 3A-RF-CE according to TS 36.508 [12] clause 5.2A. 2 AA. Message contents are defined in clause 6.3A.4.1.4.3. Note that MPDCCH DCI format 6-0A sent after resetting uplink power with RRC Connection Reconfiguration, should have TPC command 0dB.</w:t>
      </w:r>
    </w:p>
    <w:p>
      <w:pPr>
        <w:pStyle w:val="9"/>
      </w:pPr>
      <w:r>
        <w:t>6.3A.4.1.4.2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eastAsia="Times New Roman"/>
          <w:lang w:eastAsia="en-GB"/>
        </w:rPr>
        <w:t>SS sends uplink scheduling information via MPDCCH DCI format 6-0A with TPC command 0dB for C_RNTI to schedule the UL RMC according to Table 6.3A.4.1.4.1-1.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lang w:eastAsia="en-GB"/>
        </w:rPr>
        <w:t>2.</w:t>
      </w:r>
      <w:r>
        <w:rPr>
          <w:rFonts w:hint="eastAsia"/>
          <w:lang w:eastAsia="en-GB"/>
        </w:rPr>
        <w:tab/>
      </w:r>
      <w:r>
        <w:rPr>
          <w:rFonts w:hint="eastAsia" w:eastAsia="Times New Roman"/>
          <w:lang w:eastAsia="en-GB"/>
        </w:rPr>
        <w:t>Measure the initial output power of the first subframe of UE PUSCH first transmission. The transient periods of 20us are excluded.</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eastAsia="Times New Roman"/>
          <w:lang w:eastAsia="en-GB"/>
        </w:rPr>
        <w:t>Repeat for the two test points as indicated in section 6.3A.4.1.4.3. The timing of the execution between the two test points shall be larger than 20ms.</w:t>
      </w:r>
    </w:p>
    <w:p>
      <w:pPr>
        <w:pStyle w:val="9"/>
      </w:pPr>
      <w:r>
        <w:t>6.3A.4.1.4.3</w:t>
      </w:r>
      <w:r>
        <w:tab/>
      </w:r>
      <w:r>
        <w:t>Message contents</w:t>
      </w:r>
    </w:p>
    <w:p>
      <w:pPr>
        <w:rPr>
          <w:lang w:eastAsia="ja-JP"/>
        </w:rPr>
      </w:pPr>
      <w:r>
        <w:t>Message contents are according to TS 36.508 [12] subclause 4.6 with the following exception</w:t>
      </w:r>
      <w:r>
        <w:rPr>
          <w:lang w:eastAsia="ja-JP"/>
        </w:rPr>
        <w:t>s:</w:t>
      </w:r>
    </w:p>
    <w:p>
      <w:pPr>
        <w:pStyle w:val="113"/>
      </w:pPr>
      <w:r>
        <w:t xml:space="preserve"> Table 6.3</w:t>
      </w:r>
      <w:r>
        <w:rPr>
          <w:rFonts w:eastAsia="PMingLiU"/>
          <w:lang w:eastAsia="zh-TW"/>
        </w:rPr>
        <w:t>A</w:t>
      </w:r>
      <w:r>
        <w:t>.4.1.4.3-1: UplinkPowerControlCommon: Test point 1</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UplinkPowerControlCommon-DEFAULT ::= SEQUENCE {</w:t>
            </w:r>
          </w:p>
          <w:p>
            <w:pPr>
              <w:pStyle w:val="103"/>
            </w:pPr>
            <w:r>
              <w:t>p0-NominalPUSCH</w:t>
            </w:r>
          </w:p>
        </w:tc>
        <w:tc>
          <w:tcPr>
            <w:tcW w:w="2267" w:type="dxa"/>
          </w:tcPr>
          <w:p>
            <w:pPr>
              <w:pStyle w:val="103"/>
            </w:pPr>
            <w:r>
              <w:t>-105</w:t>
            </w:r>
          </w:p>
        </w:tc>
        <w:tc>
          <w:tcPr>
            <w:tcW w:w="1700" w:type="dxa"/>
          </w:tcPr>
          <w:p>
            <w:pPr>
              <w:pStyle w:val="103"/>
            </w:pPr>
            <w:r>
              <w:t>Test point 1 to verify a UE relative low initial power transmission</w:t>
            </w:r>
          </w:p>
        </w:tc>
        <w:tc>
          <w:tcPr>
            <w:tcW w:w="1133" w:type="dxa"/>
          </w:tcPr>
          <w:p>
            <w:pPr>
              <w:pStyle w:val="103"/>
            </w:pPr>
          </w:p>
        </w:tc>
      </w:tr>
    </w:tbl>
    <w:p/>
    <w:p>
      <w:pPr>
        <w:pStyle w:val="113"/>
      </w:pPr>
      <w:r>
        <w:t>Table 6.3</w:t>
      </w:r>
      <w:r>
        <w:rPr>
          <w:rFonts w:eastAsia="PMingLiU"/>
          <w:lang w:eastAsia="zh-TW"/>
        </w:rPr>
        <w:t>A</w:t>
      </w:r>
      <w:r>
        <w:t>.4.1.4.3-2: UplinkPowerControlCommon: Test point 2</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c>
          <w:tcPr>
            <w:tcW w:w="9635" w:type="dxa"/>
            <w:gridSpan w:val="4"/>
          </w:tcPr>
          <w:p>
            <w:pPr>
              <w:pStyle w:val="103"/>
            </w:pPr>
            <w:r>
              <w:t>Derivation Path: TS 36.508 [12] clause 4.6.3, Table 4.6.3-25 UplinkPowerControlCommon-DEFAULT</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PrEx>
        <w:tc>
          <w:tcPr>
            <w:tcW w:w="4535" w:type="dxa"/>
            <w:tcBorders>
              <w:right w:val="single" w:color="auto" w:sz="4" w:space="0"/>
            </w:tcBorders>
          </w:tcPr>
          <w:p>
            <w:pPr>
              <w:pStyle w:val="104"/>
            </w:pPr>
            <w:r>
              <w:t>Information Element</w:t>
            </w:r>
          </w:p>
        </w:tc>
        <w:tc>
          <w:tcPr>
            <w:tcW w:w="2267" w:type="dxa"/>
            <w:tcBorders>
              <w:left w:val="single" w:color="auto" w:sz="4" w:space="0"/>
              <w:right w:val="single" w:color="auto" w:sz="4" w:space="0"/>
            </w:tcBorders>
          </w:tcPr>
          <w:p>
            <w:pPr>
              <w:pStyle w:val="104"/>
            </w:pPr>
            <w:r>
              <w:t>Value/remark</w:t>
            </w:r>
          </w:p>
        </w:tc>
        <w:tc>
          <w:tcPr>
            <w:tcW w:w="1700" w:type="dxa"/>
            <w:tcBorders>
              <w:left w:val="single" w:color="auto" w:sz="4" w:space="0"/>
              <w:right w:val="single" w:color="auto" w:sz="4" w:space="0"/>
            </w:tcBorders>
          </w:tcPr>
          <w:p>
            <w:pPr>
              <w:pStyle w:val="104"/>
            </w:pPr>
            <w:r>
              <w:t>Comment</w:t>
            </w:r>
          </w:p>
        </w:tc>
        <w:tc>
          <w:tcPr>
            <w:tcW w:w="1133" w:type="dxa"/>
            <w:tcBorders>
              <w:left w:val="single" w:color="auto" w:sz="4" w:space="0"/>
            </w:tcBorders>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108" w:type="dxa"/>
            <w:bottom w:w="0" w:type="dxa"/>
            <w:right w:w="108" w:type="dxa"/>
          </w:tblCellMar>
        </w:tblPrEx>
        <w:tc>
          <w:tcPr>
            <w:tcW w:w="4535" w:type="dxa"/>
            <w:tcBorders>
              <w:right w:val="single" w:color="auto" w:sz="4" w:space="0"/>
            </w:tcBorders>
          </w:tcPr>
          <w:p>
            <w:pPr>
              <w:pStyle w:val="103"/>
            </w:pPr>
            <w:r>
              <w:t>UplinkPowerControlCommon-DEFAULT ::= SEQUENCE {</w:t>
            </w:r>
          </w:p>
          <w:p>
            <w:pPr>
              <w:pStyle w:val="103"/>
            </w:pPr>
            <w:r>
              <w:t>p0-NominalPUSCH</w:t>
            </w:r>
          </w:p>
        </w:tc>
        <w:tc>
          <w:tcPr>
            <w:tcW w:w="2267" w:type="dxa"/>
            <w:tcBorders>
              <w:left w:val="single" w:color="auto" w:sz="4" w:space="0"/>
              <w:right w:val="single" w:color="auto" w:sz="4" w:space="0"/>
            </w:tcBorders>
          </w:tcPr>
          <w:p>
            <w:pPr>
              <w:pStyle w:val="103"/>
            </w:pPr>
            <w:r>
              <w:t>-93</w:t>
            </w:r>
          </w:p>
        </w:tc>
        <w:tc>
          <w:tcPr>
            <w:tcW w:w="1700" w:type="dxa"/>
            <w:tcBorders>
              <w:left w:val="single" w:color="auto" w:sz="4" w:space="0"/>
              <w:right w:val="single" w:color="auto" w:sz="4" w:space="0"/>
            </w:tcBorders>
          </w:tcPr>
          <w:p>
            <w:pPr>
              <w:pStyle w:val="103"/>
            </w:pPr>
            <w:r>
              <w:t>Test point 2 to verify a UE relative high initial power transmission</w:t>
            </w:r>
          </w:p>
        </w:tc>
        <w:tc>
          <w:tcPr>
            <w:tcW w:w="1133" w:type="dxa"/>
            <w:tcBorders>
              <w:left w:val="single" w:color="auto" w:sz="4" w:space="0"/>
            </w:tcBorders>
          </w:tcPr>
          <w:p>
            <w:pPr>
              <w:pStyle w:val="103"/>
            </w:pPr>
          </w:p>
        </w:tc>
      </w:tr>
    </w:tbl>
    <w:p>
      <w:pPr>
        <w:rPr>
          <w:lang w:eastAsia="ja-JP"/>
        </w:rPr>
      </w:pPr>
    </w:p>
    <w:p>
      <w:pPr>
        <w:pStyle w:val="113"/>
      </w:pPr>
      <w:r>
        <w:t>Table 6.3</w:t>
      </w:r>
      <w:r>
        <w:rPr>
          <w:rFonts w:eastAsia="PMingLiU"/>
          <w:lang w:eastAsia="zh-TW"/>
        </w:rPr>
        <w:t>A</w:t>
      </w:r>
      <w:r>
        <w:t>.4.1.4.3-3: PhysicalConfigDedicated</w:t>
      </w:r>
    </w:p>
    <w:tbl>
      <w:tblPr>
        <w:tblStyle w:val="89"/>
        <w:tblW w:w="0" w:type="auto"/>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pPr>
            <w:r>
              <w:t>Derivation Path: TS 36.508 [12] clause 5.5.1.2, Table 5.5.1.2.1 PhysicalConfigDedicated-DEFAULT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Pr>
          <w:p>
            <w:pPr>
              <w:pStyle w:val="104"/>
            </w:pPr>
            <w:r>
              <w:t>Information Element</w:t>
            </w:r>
          </w:p>
        </w:tc>
        <w:tc>
          <w:tcPr>
            <w:tcW w:w="2267" w:type="dxa"/>
          </w:tcPr>
          <w:p>
            <w:pPr>
              <w:pStyle w:val="104"/>
            </w:pPr>
            <w:r>
              <w:t>Value/remark</w:t>
            </w:r>
          </w:p>
        </w:tc>
        <w:tc>
          <w:tcPr>
            <w:tcW w:w="1700" w:type="dxa"/>
          </w:tcPr>
          <w:p>
            <w:pPr>
              <w:pStyle w:val="104"/>
            </w:pPr>
            <w:r>
              <w:t>Comment</w:t>
            </w:r>
          </w:p>
        </w:tc>
        <w:tc>
          <w:tcPr>
            <w:tcW w:w="1245"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tcPr>
          <w:p>
            <w:pPr>
              <w:pStyle w:val="103"/>
            </w:pPr>
            <w:r>
              <w:t>PhysicalConfigDedicated-DEFAULT ::= SEQUENCE {</w:t>
            </w:r>
          </w:p>
        </w:tc>
        <w:tc>
          <w:tcPr>
            <w:tcW w:w="2267" w:type="dxa"/>
          </w:tcPr>
          <w:p/>
        </w:tc>
        <w:tc>
          <w:tcPr>
            <w:tcW w:w="1700" w:type="dxa"/>
          </w:tcPr>
          <w:p/>
        </w:tc>
        <w:tc>
          <w:tcPr>
            <w:tcW w:w="1245" w:type="dxa"/>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tcPr>
          <w:p>
            <w:pPr>
              <w:pStyle w:val="103"/>
            </w:pPr>
            <w:r>
              <w:t xml:space="preserve">  uplinkPowerControlDedicated</w:t>
            </w:r>
          </w:p>
        </w:tc>
        <w:tc>
          <w:tcPr>
            <w:tcW w:w="2267" w:type="dxa"/>
          </w:tcPr>
          <w:p>
            <w:pPr>
              <w:pStyle w:val="103"/>
            </w:pPr>
            <w:r>
              <w:t>UplinkPowerControlDedicated-DEFAULT</w:t>
            </w:r>
          </w:p>
        </w:tc>
        <w:tc>
          <w:tcPr>
            <w:tcW w:w="1700" w:type="dxa"/>
          </w:tcPr>
          <w:p>
            <w:pPr>
              <w:pStyle w:val="103"/>
            </w:pPr>
            <w:r>
              <w:t>See subclause 4.6.3</w:t>
            </w:r>
          </w:p>
        </w:tc>
        <w:tc>
          <w:tcPr>
            <w:tcW w:w="1245" w:type="dxa"/>
          </w:tcPr>
          <w:p>
            <w:pPr>
              <w:pStyle w:val="103"/>
            </w:pPr>
            <w:r>
              <w:t>SRB1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top w:val="nil"/>
            </w:tcBorders>
          </w:tcPr>
          <w:p>
            <w:pPr>
              <w:pStyle w:val="103"/>
            </w:pPr>
          </w:p>
        </w:tc>
        <w:tc>
          <w:tcPr>
            <w:tcW w:w="2267" w:type="dxa"/>
          </w:tcPr>
          <w:p>
            <w:pPr>
              <w:pStyle w:val="103"/>
            </w:pPr>
            <w:r>
              <w:t>UplinkPowerControlDedicated-DEFAULT</w:t>
            </w:r>
          </w:p>
        </w:tc>
        <w:tc>
          <w:tcPr>
            <w:tcW w:w="1700" w:type="dxa"/>
          </w:tcPr>
          <w:p>
            <w:pPr>
              <w:pStyle w:val="103"/>
            </w:pPr>
            <w:r>
              <w:t>See subclause 4.6.3</w:t>
            </w:r>
          </w:p>
        </w:tc>
        <w:tc>
          <w:tcPr>
            <w:tcW w:w="1245" w:type="dxa"/>
          </w:tcPr>
          <w:p>
            <w:pPr>
              <w:pStyle w:val="103"/>
            </w:pPr>
            <w:r>
              <w:t>RBC</w:t>
            </w:r>
          </w:p>
        </w:tc>
      </w:tr>
    </w:tbl>
    <w:p>
      <w:pPr>
        <w:rPr>
          <w:lang w:eastAsia="ja-JP"/>
        </w:rPr>
      </w:pPr>
    </w:p>
    <w:p>
      <w:pPr>
        <w:pStyle w:val="113"/>
      </w:pPr>
      <w:r>
        <w:t>Table 6.3</w:t>
      </w:r>
      <w:r>
        <w:rPr>
          <w:rFonts w:eastAsia="PMingLiU"/>
          <w:lang w:eastAsia="zh-TW"/>
        </w:rPr>
        <w:t>A</w:t>
      </w:r>
      <w:r>
        <w:t>.4.1.4.3-4: UplinkPowerControlDedicated</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TS 36.508 [12] clause 4.6.3, Table 4.6.3-26 UplinkPowerControlDedicated-DEFAULT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5"/>
            </w:pP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nil"/>
              <w:right w:val="single" w:color="auto" w:sz="4" w:space="0"/>
            </w:tcBorders>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
          <w:p>
            <w:pPr>
              <w:pStyle w:val="105"/>
            </w:pPr>
            <w:r>
              <w:t>1</w:t>
            </w: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r>
              <w:t>SRB1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nil"/>
              <w:left w:val="single" w:color="auto" w:sz="4" w:space="0"/>
              <w:bottom w:val="single" w:color="auto" w:sz="4" w:space="0"/>
              <w:right w:val="single" w:color="auto" w:sz="4" w:space="0"/>
            </w:tcBorders>
          </w:tcPr>
          <w:p>
            <w:pPr>
              <w:pStyle w:val="103"/>
            </w:pPr>
          </w:p>
        </w:tc>
        <w:tc>
          <w:tcPr>
            <w:tcW w:w="2268" w:type="dxa"/>
            <w:tcBorders>
              <w:top w:val="single" w:color="auto" w:sz="4" w:space="0"/>
              <w:left w:val="single" w:color="auto" w:sz="4" w:space="0"/>
              <w:bottom w:val="single" w:color="auto" w:sz="4" w:space="0"/>
              <w:right w:val="single" w:color="auto" w:sz="4" w:space="0"/>
            </w:tcBorders>
          </w:tcPr>
          <w:p>
            <w:pPr>
              <w:pStyle w:val="105"/>
            </w:pPr>
            <w:r>
              <w:t>0</w:t>
            </w: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r>
              <w:t>RBC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5"/>
            </w:pPr>
          </w:p>
        </w:tc>
        <w:tc>
          <w:tcPr>
            <w:tcW w:w="1701" w:type="dxa"/>
            <w:tcBorders>
              <w:top w:val="single" w:color="auto" w:sz="4" w:space="0"/>
              <w:left w:val="single" w:color="auto" w:sz="4" w:space="0"/>
              <w:bottom w:val="single" w:color="auto" w:sz="4" w:space="0"/>
              <w:right w:val="single" w:color="auto" w:sz="4" w:space="0"/>
            </w:tcBorders>
          </w:tcPr>
          <w:p>
            <w:pPr>
              <w:pStyle w:val="105"/>
            </w:pPr>
          </w:p>
        </w:tc>
        <w:tc>
          <w:tcPr>
            <w:tcW w:w="1275" w:type="dxa"/>
            <w:tcBorders>
              <w:top w:val="single" w:color="auto" w:sz="4" w:space="0"/>
              <w:left w:val="single" w:color="auto" w:sz="4" w:space="0"/>
              <w:bottom w:val="single" w:color="auto" w:sz="4" w:space="0"/>
              <w:right w:val="single" w:color="auto" w:sz="4" w:space="0"/>
            </w:tcBorders>
          </w:tcPr>
          <w:p>
            <w:pPr>
              <w:pStyle w:val="105"/>
            </w:pPr>
          </w:p>
        </w:tc>
      </w:tr>
    </w:tbl>
    <w:p/>
    <w:p>
      <w:pPr>
        <w:pStyle w:val="9"/>
      </w:pPr>
      <w:r>
        <w:t>6.3A.</w:t>
      </w:r>
      <w:r>
        <w:rPr>
          <w:rFonts w:hint="eastAsia"/>
        </w:rPr>
        <w:t>4</w:t>
      </w:r>
      <w:r>
        <w:t>.</w:t>
      </w:r>
      <w:r>
        <w:rPr>
          <w:rFonts w:hint="eastAsia"/>
        </w:rPr>
        <w:t>1</w:t>
      </w:r>
      <w:r>
        <w:t>.5</w:t>
      </w:r>
      <w:r>
        <w:tab/>
      </w:r>
      <w:r>
        <w:t>Test requirement</w:t>
      </w:r>
    </w:p>
    <w:p>
      <w:r>
        <w:t xml:space="preserve">The requirement for the power measured in step (2) of the test procedure is not to </w:t>
      </w:r>
      <w:r>
        <w:rPr>
          <w:rFonts w:eastAsia="香~??’c‘I"/>
        </w:rPr>
        <w:t>exceed</w:t>
      </w:r>
      <w:r>
        <w:t xml:space="preserve"> the values specified in Table 6.3</w:t>
      </w:r>
      <w:r>
        <w:rPr>
          <w:rFonts w:eastAsia="PMingLiU"/>
          <w:lang w:eastAsia="zh-TW"/>
        </w:rPr>
        <w:t>A</w:t>
      </w:r>
      <w:r>
        <w:t>.</w:t>
      </w:r>
      <w:r>
        <w:rPr>
          <w:rFonts w:hint="eastAsia"/>
        </w:rPr>
        <w:t>4.</w:t>
      </w:r>
      <w:r>
        <w:t>1.5-1 and 6.3</w:t>
      </w:r>
      <w:r>
        <w:rPr>
          <w:rFonts w:eastAsia="PMingLiU"/>
          <w:lang w:eastAsia="zh-TW"/>
        </w:rPr>
        <w:t>A</w:t>
      </w:r>
      <w:r>
        <w:t>.4.1.5-2.</w:t>
      </w:r>
    </w:p>
    <w:p>
      <w:pPr>
        <w:pStyle w:val="113"/>
      </w:pPr>
      <w:r>
        <w:t>Table 6.3</w:t>
      </w:r>
      <w:r>
        <w:rPr>
          <w:rFonts w:eastAsia="PMingLiU"/>
          <w:lang w:eastAsia="zh-TW"/>
        </w:rPr>
        <w:t>A</w:t>
      </w:r>
      <w:r>
        <w:t>.4.1.5-1: Absolute power tolerance: test point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3"/>
        <w:gridCol w:w="2544"/>
        <w:gridCol w:w="2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restart"/>
            <w:vAlign w:val="center"/>
          </w:tcPr>
          <w:p>
            <w:pPr>
              <w:pStyle w:val="105"/>
              <w:rPr>
                <w:rFonts w:eastAsia="PMingLiU"/>
                <w:lang w:eastAsia="zh-TW"/>
              </w:rPr>
            </w:pPr>
          </w:p>
        </w:tc>
        <w:tc>
          <w:tcPr>
            <w:tcW w:w="4783" w:type="dxa"/>
            <w:gridSpan w:val="2"/>
            <w:vAlign w:val="center"/>
          </w:tcPr>
          <w:p>
            <w:pPr>
              <w:pStyle w:val="105"/>
              <w:rPr>
                <w:rFonts w:eastAsia="PMingLiU"/>
                <w:b/>
                <w:lang w:eastAsia="zh-TW"/>
              </w:rPr>
            </w:pPr>
            <w:r>
              <w:rPr>
                <w:rFonts w:eastAsia="PMingLiU"/>
                <w:b/>
                <w:lang w:eastAsia="zh-TW"/>
              </w:rPr>
              <w:t>UE Power Class / 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Merge w:val="continue"/>
            <w:vAlign w:val="center"/>
          </w:tcPr>
          <w:p>
            <w:pPr>
              <w:pStyle w:val="105"/>
            </w:pPr>
          </w:p>
        </w:tc>
        <w:tc>
          <w:tcPr>
            <w:tcW w:w="2544" w:type="dxa"/>
            <w:vAlign w:val="center"/>
          </w:tcPr>
          <w:p>
            <w:pPr>
              <w:pStyle w:val="105"/>
              <w:rPr>
                <w:rFonts w:eastAsia="PMingLiU"/>
                <w:b/>
                <w:lang w:eastAsia="zh-TW"/>
              </w:rPr>
            </w:pPr>
            <w:r>
              <w:rPr>
                <w:rFonts w:eastAsia="PMingLiU"/>
                <w:b/>
                <w:lang w:eastAsia="zh-TW"/>
              </w:rPr>
              <w:t>Class 3</w:t>
            </w:r>
          </w:p>
        </w:tc>
        <w:tc>
          <w:tcPr>
            <w:tcW w:w="2239"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Normal conditions</w:t>
            </w:r>
          </w:p>
        </w:tc>
        <w:tc>
          <w:tcPr>
            <w:tcW w:w="2544" w:type="dxa"/>
            <w:vAlign w:val="center"/>
          </w:tcPr>
          <w:p>
            <w:pPr>
              <w:pStyle w:val="105"/>
            </w:pPr>
            <w:r>
              <w:t>-14.8 dBm</w:t>
            </w:r>
          </w:p>
        </w:tc>
        <w:tc>
          <w:tcPr>
            <w:tcW w:w="2239" w:type="dxa"/>
            <w:vAlign w:val="center"/>
          </w:tcPr>
          <w:p>
            <w:pPr>
              <w:pStyle w:val="105"/>
            </w:pPr>
            <w:r>
              <w:t>-14.8 dB</w:t>
            </w:r>
            <w:r>
              <w:rPr>
                <w:rFonts w:eastAsia="PMingLiU"/>
                <w:lang w:eastAsia="zh-TW"/>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10.0dB</w:t>
            </w:r>
          </w:p>
        </w:tc>
        <w:tc>
          <w:tcPr>
            <w:tcW w:w="2239" w:type="dxa"/>
            <w:vAlign w:val="center"/>
          </w:tcPr>
          <w:p>
            <w:pPr>
              <w:pStyle w:val="105"/>
              <w:rPr>
                <w:snapToGrid w:val="0"/>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Expected Measured power Extreme conditions</w:t>
            </w:r>
          </w:p>
        </w:tc>
        <w:tc>
          <w:tcPr>
            <w:tcW w:w="2544" w:type="dxa"/>
            <w:vAlign w:val="center"/>
          </w:tcPr>
          <w:p>
            <w:pPr>
              <w:pStyle w:val="105"/>
            </w:pPr>
            <w:r>
              <w:t>-14.8 dBm</w:t>
            </w:r>
          </w:p>
        </w:tc>
        <w:tc>
          <w:tcPr>
            <w:tcW w:w="2239" w:type="dxa"/>
            <w:vAlign w:val="center"/>
          </w:tcPr>
          <w:p>
            <w:pPr>
              <w:pStyle w:val="105"/>
            </w:pPr>
            <w:r>
              <w:t>-14.8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63"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2544" w:type="dxa"/>
            <w:vAlign w:val="center"/>
          </w:tcPr>
          <w:p>
            <w:pPr>
              <w:pStyle w:val="105"/>
              <w:rPr>
                <w:rFonts w:eastAsia="PMingLiU"/>
                <w:lang w:eastAsia="zh-TW"/>
              </w:rPr>
            </w:pPr>
            <w:r>
              <w:rPr>
                <w:snapToGrid w:val="0"/>
              </w:rPr>
              <w:t>±</w:t>
            </w:r>
            <w:r>
              <w:t xml:space="preserve"> 13.0dB</w:t>
            </w:r>
          </w:p>
        </w:tc>
        <w:tc>
          <w:tcPr>
            <w:tcW w:w="2239" w:type="dxa"/>
            <w:vAlign w:val="center"/>
          </w:tcPr>
          <w:p>
            <w:pPr>
              <w:pStyle w:val="105"/>
              <w:rPr>
                <w:snapToGrid w:val="0"/>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6" w:type="dxa"/>
            <w:gridSpan w:val="3"/>
            <w:vAlign w:val="center"/>
          </w:tcPr>
          <w:p>
            <w:pPr>
              <w:pStyle w:val="118"/>
            </w:pPr>
            <w:r>
              <w:t>Note 1:</w:t>
            </w:r>
            <w:r>
              <w:tab/>
            </w:r>
            <w:r>
              <w:t xml:space="preserve">The lower power limit shall not exceed the minimum output power requirements defined in </w:t>
            </w:r>
            <w:r>
              <w:rPr>
                <w:rFonts w:eastAsia="PMingLiU"/>
                <w:lang w:eastAsia="zh-TW"/>
              </w:rPr>
              <w:tab/>
            </w:r>
            <w:r>
              <w:t>sub-clause 6.3</w:t>
            </w:r>
            <w:r>
              <w:rPr>
                <w:rFonts w:eastAsia="PMingLiU"/>
                <w:lang w:eastAsia="zh-TW"/>
              </w:rPr>
              <w:t>A</w:t>
            </w:r>
            <w:r>
              <w:t>.1</w:t>
            </w:r>
          </w:p>
        </w:tc>
      </w:tr>
    </w:tbl>
    <w:p/>
    <w:p>
      <w:pPr>
        <w:pStyle w:val="113"/>
      </w:pPr>
      <w:r>
        <w:t>Table 6.3</w:t>
      </w:r>
      <w:r>
        <w:rPr>
          <w:rFonts w:eastAsia="PMingLiU"/>
          <w:lang w:eastAsia="zh-TW"/>
        </w:rPr>
        <w:t>A</w:t>
      </w:r>
      <w:r>
        <w:t>.4.1.5-2: Absolute power tolerance: test point 2</w:t>
      </w:r>
    </w:p>
    <w:tbl>
      <w:tblPr>
        <w:tblStyle w:val="89"/>
        <w:tblW w:w="719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52"/>
        <w:gridCol w:w="1843"/>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restart"/>
            <w:vAlign w:val="center"/>
          </w:tcPr>
          <w:p>
            <w:pPr>
              <w:pStyle w:val="105"/>
            </w:pPr>
          </w:p>
        </w:tc>
        <w:tc>
          <w:tcPr>
            <w:tcW w:w="3544" w:type="dxa"/>
            <w:gridSpan w:val="2"/>
            <w:vAlign w:val="center"/>
          </w:tcPr>
          <w:p>
            <w:pPr>
              <w:pStyle w:val="105"/>
              <w:rPr>
                <w:rFonts w:eastAsia="PMingLiU"/>
                <w:b/>
                <w:lang w:eastAsia="zh-TW"/>
              </w:rPr>
            </w:pPr>
            <w:r>
              <w:rPr>
                <w:rFonts w:eastAsia="PMingLiU"/>
                <w:b/>
                <w:lang w:eastAsia="zh-TW"/>
              </w:rPr>
              <w:t>E</w:t>
            </w:r>
            <w:r>
              <w:rPr>
                <w:b/>
              </w:rPr>
              <w:t>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Merge w:val="continue"/>
            <w:vAlign w:val="center"/>
          </w:tcPr>
          <w:p>
            <w:pPr>
              <w:pStyle w:val="105"/>
            </w:pPr>
          </w:p>
        </w:tc>
        <w:tc>
          <w:tcPr>
            <w:tcW w:w="1843" w:type="dxa"/>
            <w:vAlign w:val="center"/>
          </w:tcPr>
          <w:p>
            <w:pPr>
              <w:pStyle w:val="105"/>
              <w:rPr>
                <w:rFonts w:eastAsia="PMingLiU"/>
                <w:b/>
                <w:lang w:eastAsia="zh-TW"/>
              </w:rPr>
            </w:pPr>
            <w:r>
              <w:rPr>
                <w:rFonts w:eastAsia="PMingLiU"/>
                <w:b/>
                <w:lang w:eastAsia="zh-TW"/>
              </w:rPr>
              <w:t>Class 3</w:t>
            </w:r>
          </w:p>
        </w:tc>
        <w:tc>
          <w:tcPr>
            <w:tcW w:w="1701" w:type="dxa"/>
          </w:tcPr>
          <w:p>
            <w:pPr>
              <w:pStyle w:val="105"/>
              <w:rPr>
                <w:rFonts w:eastAsia="PMingLiU"/>
                <w:b/>
                <w:lang w:eastAsia="zh-TW"/>
              </w:rPr>
            </w:pPr>
            <w:r>
              <w:rPr>
                <w:rFonts w:eastAsia="PMingLiU"/>
                <w:b/>
                <w:lang w:eastAsia="zh-TW"/>
              </w:rPr>
              <w:t>Class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Normal conditions</w:t>
            </w:r>
          </w:p>
        </w:tc>
        <w:tc>
          <w:tcPr>
            <w:tcW w:w="1843" w:type="dxa"/>
            <w:vAlign w:val="center"/>
          </w:tcPr>
          <w:p>
            <w:pPr>
              <w:pStyle w:val="105"/>
            </w:pPr>
            <w:r>
              <w:t>-2.8 dBm</w:t>
            </w:r>
          </w:p>
        </w:tc>
        <w:tc>
          <w:tcPr>
            <w:tcW w:w="1701" w:type="dxa"/>
            <w:vAlign w:val="center"/>
          </w:tcPr>
          <w:p>
            <w:pPr>
              <w:pStyle w:val="105"/>
              <w:rPr>
                <w:rFonts w:eastAsia="PMingLiU"/>
                <w:lang w:eastAsia="zh-TW"/>
              </w:rPr>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10.0dB</w:t>
            </w:r>
          </w:p>
        </w:tc>
        <w:tc>
          <w:tcPr>
            <w:tcW w:w="1701" w:type="dxa"/>
            <w:vAlign w:val="center"/>
          </w:tcPr>
          <w:p>
            <w:pPr>
              <w:pStyle w:val="105"/>
              <w:rPr>
                <w:rFonts w:eastAsia="PMingLiU"/>
                <w:lang w:eastAsia="zh-TW"/>
              </w:rPr>
            </w:pPr>
            <w:r>
              <w:rPr>
                <w:snapToGrid w:val="0"/>
              </w:rPr>
              <w:t>±</w:t>
            </w:r>
            <w:r>
              <w:t xml:space="preserve"> 10.0d</w:t>
            </w:r>
            <w:r>
              <w:rPr>
                <w:rFonts w:eastAsia="PMingLiU"/>
                <w:lang w:eastAsia="zh-TW"/>
              </w:rPr>
              <w:t>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Expected Measured power Extreme conditions</w:t>
            </w:r>
          </w:p>
        </w:tc>
        <w:tc>
          <w:tcPr>
            <w:tcW w:w="1843" w:type="dxa"/>
            <w:vAlign w:val="center"/>
          </w:tcPr>
          <w:p>
            <w:pPr>
              <w:pStyle w:val="105"/>
            </w:pPr>
            <w:r>
              <w:t>-2.8 dBm</w:t>
            </w:r>
          </w:p>
        </w:tc>
        <w:tc>
          <w:tcPr>
            <w:tcW w:w="1701" w:type="dxa"/>
            <w:vAlign w:val="center"/>
          </w:tcPr>
          <w:p>
            <w:pPr>
              <w:pStyle w:val="105"/>
            </w:pPr>
            <w:r>
              <w:t>-2.8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52" w:type="dxa"/>
            <w:vAlign w:val="center"/>
          </w:tcPr>
          <w:p>
            <w:pPr>
              <w:pStyle w:val="105"/>
            </w:pPr>
            <w:r>
              <w:t>Power tolerance</w:t>
            </w:r>
          </w:p>
          <w:p>
            <w:pPr>
              <w:pStyle w:val="103"/>
              <w:jc w:val="center"/>
              <w:rPr>
                <w:rFonts w:cs="v4.2.0"/>
              </w:rPr>
            </w:pPr>
            <w:r>
              <w:rPr>
                <w:rFonts w:cs="v4.2.0"/>
              </w:rPr>
              <w:t xml:space="preserve">f </w:t>
            </w:r>
            <w:r>
              <w:rPr>
                <w:rFonts w:cs="Arial"/>
              </w:rPr>
              <w:t>≤</w:t>
            </w:r>
            <w:r>
              <w:rPr>
                <w:rFonts w:cs="v4.2.0"/>
              </w:rPr>
              <w:t xml:space="preserve"> 3.0GHz</w:t>
            </w:r>
          </w:p>
        </w:tc>
        <w:tc>
          <w:tcPr>
            <w:tcW w:w="1843" w:type="dxa"/>
            <w:vAlign w:val="center"/>
          </w:tcPr>
          <w:p>
            <w:pPr>
              <w:pStyle w:val="105"/>
              <w:rPr>
                <w:rFonts w:eastAsia="PMingLiU"/>
                <w:lang w:eastAsia="zh-TW"/>
              </w:rPr>
            </w:pPr>
            <w:r>
              <w:rPr>
                <w:snapToGrid w:val="0"/>
              </w:rPr>
              <w:t>±</w:t>
            </w:r>
            <w:r>
              <w:t xml:space="preserve"> 13.0dB</w:t>
            </w:r>
          </w:p>
        </w:tc>
        <w:tc>
          <w:tcPr>
            <w:tcW w:w="1701" w:type="dxa"/>
            <w:vAlign w:val="center"/>
          </w:tcPr>
          <w:p>
            <w:pPr>
              <w:pStyle w:val="105"/>
              <w:rPr>
                <w:rFonts w:eastAsia="PMingLiU"/>
                <w:lang w:eastAsia="zh-TW"/>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96" w:type="dxa"/>
            <w:gridSpan w:val="3"/>
            <w:vAlign w:val="center"/>
          </w:tcPr>
          <w:p>
            <w:pPr>
              <w:pStyle w:val="118"/>
            </w:pPr>
            <w:r>
              <w:t>Note 1:</w:t>
            </w:r>
            <w:r>
              <w:tab/>
            </w:r>
            <w:r>
              <w:t>The upper power limit shall not exceed the maximum output power requirements defined in sub-clause 6.2</w:t>
            </w:r>
            <w:r>
              <w:rPr>
                <w:rFonts w:eastAsia="PMingLiU"/>
                <w:lang w:eastAsia="zh-TW"/>
              </w:rPr>
              <w:t>A</w:t>
            </w:r>
            <w:r>
              <w:t>.1</w:t>
            </w:r>
          </w:p>
        </w:tc>
      </w:tr>
    </w:tbl>
    <w:p>
      <w:pPr>
        <w:rPr>
          <w:lang w:eastAsia="zh-TW"/>
        </w:rPr>
      </w:pPr>
    </w:p>
    <w:p>
      <w:pPr>
        <w:pStyle w:val="6"/>
        <w:rPr>
          <w:lang w:val="en-US"/>
        </w:rPr>
      </w:pPr>
      <w:bookmarkStart w:id="340" w:name="_Toc5065"/>
      <w:bookmarkStart w:id="341" w:name="_Toc30330"/>
      <w:bookmarkStart w:id="342" w:name="_Toc18892"/>
      <w:bookmarkStart w:id="343" w:name="_Toc120570040"/>
      <w:bookmarkStart w:id="344" w:name="_Toc121162832"/>
      <w:r>
        <w:t>6.3A.</w:t>
      </w:r>
      <w:r>
        <w:rPr>
          <w:rFonts w:hint="eastAsia"/>
        </w:rPr>
        <w:t>4</w:t>
      </w:r>
      <w:r>
        <w:t>.2</w:t>
      </w:r>
      <w:r>
        <w:tab/>
      </w:r>
      <w:r>
        <w:t>Power Control Relative power tolerance for UE category M1</w:t>
      </w:r>
      <w:bookmarkEnd w:id="340"/>
      <w:bookmarkEnd w:id="341"/>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6.3A.</w:t>
      </w:r>
      <w:r>
        <w:rPr>
          <w:rFonts w:hint="eastAsia"/>
        </w:rPr>
        <w:t>4</w:t>
      </w:r>
      <w:r>
        <w:t>.2.1</w:t>
      </w:r>
      <w:r>
        <w:tab/>
      </w:r>
      <w:r>
        <w:t>Test purpose</w:t>
      </w:r>
    </w:p>
    <w:p>
      <w:pPr>
        <w:rPr>
          <w:rFonts w:eastAsia="PMingLiU" w:cs="v5.0.0"/>
          <w:snapToGrid w:val="0"/>
          <w:lang w:eastAsia="zh-TW"/>
        </w:rPr>
      </w:pPr>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6.3A.</w:t>
      </w:r>
      <w:r>
        <w:rPr>
          <w:rFonts w:hint="eastAsia"/>
        </w:rPr>
        <w:t>4</w:t>
      </w:r>
      <w:r>
        <w:t>.2.2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.2.</w:t>
      </w:r>
      <w:r>
        <w:rPr>
          <w:rFonts w:hint="eastAsia"/>
        </w:rPr>
        <w:t>3</w:t>
      </w:r>
      <w:r>
        <w:tab/>
      </w:r>
      <w:r>
        <w:t>Minimum conformance requirements</w:t>
      </w:r>
    </w:p>
    <w:p>
      <w:r>
        <w:t>The UE shall meet the requirements specified in Table 6.3</w:t>
      </w:r>
      <w:r>
        <w:rPr>
          <w:rFonts w:eastAsia="PMingLiU"/>
          <w:lang w:eastAsia="zh-TW"/>
        </w:rPr>
        <w:t>A</w:t>
      </w:r>
      <w:r>
        <w:t>.</w:t>
      </w:r>
      <w:r>
        <w:rPr>
          <w:rFonts w:hint="eastAsia"/>
        </w:rPr>
        <w:t>4.</w:t>
      </w:r>
      <w:r>
        <w:t>2.3-1.</w:t>
      </w:r>
    </w:p>
    <w:p>
      <w:pPr>
        <w:rPr>
          <w:rFonts w:eastAsia="MS Mincho"/>
        </w:rPr>
      </w:pPr>
      <w:r>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w:t>
      </w:r>
      <w:r>
        <w:rPr>
          <w:rFonts w:hint="eastAsia" w:eastAsia="MS Mincho"/>
        </w:rPr>
        <w:t>1</w:t>
      </w:r>
      <w:r>
        <w:rPr>
          <w:rFonts w:eastAsia="MS Mincho"/>
        </w:rPr>
        <w:t xml:space="preserve"> and 6.2A.</w:t>
      </w:r>
      <w:r>
        <w:rPr>
          <w:rFonts w:hint="eastAsia" w:eastAsia="MS Mincho"/>
        </w:rPr>
        <w:t>1</w:t>
      </w:r>
      <w:r>
        <w:rPr>
          <w:rFonts w:eastAsia="MS Mincho"/>
        </w:rPr>
        <w:t>. For these exceptions the power tolerance limit is a maximum of ±6.0 dB in Table 6.3</w:t>
      </w:r>
      <w:r>
        <w:rPr>
          <w:rFonts w:eastAsia="PMingLiU"/>
          <w:lang w:eastAsia="zh-TW"/>
        </w:rPr>
        <w:t>A</w:t>
      </w:r>
      <w:r>
        <w:rPr>
          <w:rFonts w:eastAsia="MS Mincho"/>
        </w:rPr>
        <w:t>.4.2.3-1.</w:t>
      </w:r>
    </w:p>
    <w:p>
      <w:pPr>
        <w:pStyle w:val="113"/>
      </w:pPr>
      <w:r>
        <w:t>Table 6.3A.4.2.3-1: Relative Power Tolerance for Transmission (normal conditions)</w:t>
      </w:r>
    </w:p>
    <w:tbl>
      <w:tblPr>
        <w:tblStyle w:val="89"/>
        <w:tblW w:w="68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1813"/>
        <w:gridCol w:w="1909"/>
        <w:gridCol w:w="1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600" w:type="dxa"/>
            <w:shd w:val="clear" w:color="auto" w:fill="auto"/>
            <w:vAlign w:val="center"/>
          </w:tcPr>
          <w:p>
            <w:pPr>
              <w:pStyle w:val="104"/>
              <w:rPr>
                <w:rFonts w:eastAsia="MS Mincho"/>
              </w:rPr>
            </w:pPr>
            <w:r>
              <w:t xml:space="preserve">Power step </w:t>
            </w:r>
            <w:r>
              <w:rPr>
                <w:rFonts w:ascii="Symbol" w:hAnsi="Symbol"/>
              </w:rPr>
              <w:t></w:t>
            </w:r>
            <w:r>
              <w:t>P (Up or down) [dB]</w:t>
            </w:r>
          </w:p>
        </w:tc>
        <w:tc>
          <w:tcPr>
            <w:tcW w:w="1813" w:type="dxa"/>
            <w:shd w:val="clear" w:color="auto" w:fill="auto"/>
            <w:vAlign w:val="center"/>
          </w:tcPr>
          <w:p>
            <w:pPr>
              <w:pStyle w:val="104"/>
            </w:pPr>
            <w:r>
              <w:rPr>
                <w:rFonts w:cs="v5.0.0"/>
              </w:rPr>
              <w:t>All combinations of PUSCH and PUCCH transitions [dB]</w:t>
            </w:r>
          </w:p>
        </w:tc>
        <w:tc>
          <w:tcPr>
            <w:tcW w:w="1909" w:type="dxa"/>
            <w:shd w:val="clear" w:color="auto" w:fill="auto"/>
            <w:vAlign w:val="center"/>
          </w:tcPr>
          <w:p>
            <w:pPr>
              <w:pStyle w:val="104"/>
            </w:pPr>
            <w:r>
              <w:rPr>
                <w:rFonts w:cs="v5.0.0"/>
              </w:rPr>
              <w:t>All combinations of PUSCH/PUCCH and SRS transitions between sub-frames [dB]</w:t>
            </w:r>
          </w:p>
        </w:tc>
        <w:tc>
          <w:tcPr>
            <w:tcW w:w="1549" w:type="dxa"/>
            <w:shd w:val="clear" w:color="auto" w:fill="auto"/>
            <w:vAlign w:val="center"/>
          </w:tcPr>
          <w:p>
            <w:pPr>
              <w:pStyle w:val="104"/>
            </w:pPr>
            <w:r>
              <w:rPr>
                <w:rFonts w:eastAsia="MS Mincho"/>
              </w:rPr>
              <w:t>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ΔP &lt; 2</w:t>
            </w:r>
          </w:p>
        </w:tc>
        <w:tc>
          <w:tcPr>
            <w:tcW w:w="1813" w:type="dxa"/>
            <w:shd w:val="clear" w:color="auto" w:fill="auto"/>
            <w:vAlign w:val="center"/>
          </w:tcPr>
          <w:p>
            <w:pPr>
              <w:pStyle w:val="105"/>
            </w:pPr>
            <w:r>
              <w:rPr>
                <w:rFonts w:cs="Arial"/>
              </w:rPr>
              <w:t>±</w:t>
            </w:r>
            <w:r>
              <w:t>2.5 (Note 3)</w:t>
            </w:r>
          </w:p>
        </w:tc>
        <w:tc>
          <w:tcPr>
            <w:tcW w:w="1909" w:type="dxa"/>
            <w:shd w:val="clear" w:color="auto" w:fill="auto"/>
            <w:vAlign w:val="center"/>
          </w:tcPr>
          <w:p>
            <w:pPr>
              <w:pStyle w:val="105"/>
            </w:pPr>
            <w:r>
              <w:t>±3.0</w:t>
            </w:r>
          </w:p>
        </w:tc>
        <w:tc>
          <w:tcPr>
            <w:tcW w:w="1549" w:type="dxa"/>
            <w:shd w:val="clear" w:color="auto" w:fill="auto"/>
            <w:vAlign w:val="center"/>
          </w:tcPr>
          <w:p>
            <w:pPr>
              <w:pStyle w:val="105"/>
            </w:pPr>
            <w:r>
              <w:rPr>
                <w:rFonts w:cs="Arial"/>
              </w:rPr>
              <w:t>±</w:t>
            </w: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2 </w:t>
            </w:r>
            <w:r>
              <w:rPr>
                <w:rFonts w:cs="Arial"/>
              </w:rPr>
              <w:t>≤</w:t>
            </w:r>
            <w:r>
              <w:t xml:space="preserve"> ΔP &lt; 3</w:t>
            </w:r>
          </w:p>
        </w:tc>
        <w:tc>
          <w:tcPr>
            <w:tcW w:w="1813" w:type="dxa"/>
            <w:shd w:val="clear" w:color="auto" w:fill="auto"/>
            <w:vAlign w:val="center"/>
          </w:tcPr>
          <w:p>
            <w:pPr>
              <w:pStyle w:val="105"/>
            </w:pPr>
            <w:r>
              <w:rPr>
                <w:rFonts w:cs="Arial"/>
              </w:rPr>
              <w:t>±</w:t>
            </w:r>
            <w:r>
              <w:t>3.0</w:t>
            </w:r>
          </w:p>
        </w:tc>
        <w:tc>
          <w:tcPr>
            <w:tcW w:w="1909" w:type="dxa"/>
            <w:shd w:val="clear" w:color="auto" w:fill="auto"/>
            <w:vAlign w:val="center"/>
          </w:tcPr>
          <w:p>
            <w:pPr>
              <w:pStyle w:val="105"/>
            </w:pPr>
            <w:r>
              <w:t>±4.0</w:t>
            </w:r>
          </w:p>
        </w:tc>
        <w:tc>
          <w:tcPr>
            <w:tcW w:w="1549" w:type="dxa"/>
            <w:shd w:val="clear" w:color="auto" w:fill="auto"/>
            <w:vAlign w:val="center"/>
          </w:tcPr>
          <w:p>
            <w:pPr>
              <w:pStyle w:val="105"/>
            </w:pPr>
            <w:r>
              <w:rPr>
                <w:rFonts w:cs="Arial"/>
              </w:rPr>
              <w:t>±</w:t>
            </w: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3 </w:t>
            </w:r>
            <w:r>
              <w:rPr>
                <w:rFonts w:cs="Arial"/>
              </w:rPr>
              <w:t>≤</w:t>
            </w:r>
            <w:r>
              <w:t xml:space="preserve"> ΔP &lt; 4</w:t>
            </w:r>
          </w:p>
        </w:tc>
        <w:tc>
          <w:tcPr>
            <w:tcW w:w="1813" w:type="dxa"/>
            <w:shd w:val="clear" w:color="auto" w:fill="auto"/>
            <w:vAlign w:val="center"/>
          </w:tcPr>
          <w:p>
            <w:pPr>
              <w:pStyle w:val="105"/>
            </w:pPr>
            <w:r>
              <w:rPr>
                <w:rFonts w:cs="Arial"/>
              </w:rPr>
              <w:t>±</w:t>
            </w:r>
            <w:r>
              <w:t>3.5</w:t>
            </w:r>
          </w:p>
        </w:tc>
        <w:tc>
          <w:tcPr>
            <w:tcW w:w="1909" w:type="dxa"/>
            <w:shd w:val="clear" w:color="auto" w:fill="auto"/>
            <w:vAlign w:val="center"/>
          </w:tcPr>
          <w:p>
            <w:pPr>
              <w:pStyle w:val="105"/>
            </w:pPr>
            <w:r>
              <w:t>±5.0</w:t>
            </w:r>
          </w:p>
        </w:tc>
        <w:tc>
          <w:tcPr>
            <w:tcW w:w="1549" w:type="dxa"/>
            <w:shd w:val="clear" w:color="auto" w:fill="auto"/>
            <w:vAlign w:val="center"/>
          </w:tcPr>
          <w:p>
            <w:pPr>
              <w:pStyle w:val="105"/>
            </w:pPr>
            <w:r>
              <w:rPr>
                <w:rFonts w:cs="Arial"/>
              </w:rPr>
              <w:t>±</w:t>
            </w:r>
            <w: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4 </w:t>
            </w:r>
            <w:r>
              <w:rPr>
                <w:rFonts w:cs="Arial"/>
              </w:rPr>
              <w:t>≤</w:t>
            </w:r>
            <w:r>
              <w:t xml:space="preserve"> ΔP ≤ 10</w:t>
            </w:r>
          </w:p>
        </w:tc>
        <w:tc>
          <w:tcPr>
            <w:tcW w:w="1813" w:type="dxa"/>
            <w:shd w:val="clear" w:color="auto" w:fill="auto"/>
            <w:vAlign w:val="center"/>
          </w:tcPr>
          <w:p>
            <w:pPr>
              <w:pStyle w:val="105"/>
            </w:pPr>
            <w:r>
              <w:t>±4.0</w:t>
            </w:r>
          </w:p>
        </w:tc>
        <w:tc>
          <w:tcPr>
            <w:tcW w:w="1909" w:type="dxa"/>
            <w:shd w:val="clear" w:color="auto" w:fill="auto"/>
            <w:vAlign w:val="center"/>
          </w:tcPr>
          <w:p>
            <w:pPr>
              <w:pStyle w:val="105"/>
            </w:pPr>
            <w:r>
              <w:t>±6.0</w:t>
            </w:r>
          </w:p>
        </w:tc>
        <w:tc>
          <w:tcPr>
            <w:tcW w:w="1549" w:type="dxa"/>
            <w:shd w:val="clear" w:color="auto" w:fill="auto"/>
            <w:vAlign w:val="center"/>
          </w:tcPr>
          <w:p>
            <w:pPr>
              <w:pStyle w:val="105"/>
            </w:pPr>
            <w: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10 </w:t>
            </w:r>
            <w:r>
              <w:rPr>
                <w:rFonts w:cs="Arial"/>
              </w:rPr>
              <w:t>≤</w:t>
            </w:r>
            <w:r>
              <w:t xml:space="preserve"> ΔP &lt; 15</w:t>
            </w:r>
          </w:p>
        </w:tc>
        <w:tc>
          <w:tcPr>
            <w:tcW w:w="1813" w:type="dxa"/>
            <w:shd w:val="clear" w:color="auto" w:fill="auto"/>
            <w:vAlign w:val="center"/>
          </w:tcPr>
          <w:p>
            <w:pPr>
              <w:pStyle w:val="105"/>
            </w:pPr>
            <w:r>
              <w:t>±5.0</w:t>
            </w:r>
          </w:p>
        </w:tc>
        <w:tc>
          <w:tcPr>
            <w:tcW w:w="1909" w:type="dxa"/>
            <w:shd w:val="clear" w:color="auto" w:fill="auto"/>
            <w:vAlign w:val="center"/>
          </w:tcPr>
          <w:p>
            <w:pPr>
              <w:pStyle w:val="105"/>
            </w:pPr>
            <w:r>
              <w:t>±8.0</w:t>
            </w:r>
          </w:p>
        </w:tc>
        <w:tc>
          <w:tcPr>
            <w:tcW w:w="1549" w:type="dxa"/>
            <w:shd w:val="clear" w:color="auto" w:fill="auto"/>
            <w:vAlign w:val="center"/>
          </w:tcPr>
          <w:p>
            <w:pPr>
              <w:pStyle w:val="105"/>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pPr>
            <w:r>
              <w:t xml:space="preserve">15 </w:t>
            </w:r>
            <w:r>
              <w:rPr>
                <w:rFonts w:cs="Arial"/>
              </w:rPr>
              <w:t>≤</w:t>
            </w:r>
            <w:r>
              <w:t xml:space="preserve"> ΔP</w:t>
            </w:r>
          </w:p>
        </w:tc>
        <w:tc>
          <w:tcPr>
            <w:tcW w:w="1813" w:type="dxa"/>
            <w:shd w:val="clear" w:color="auto" w:fill="auto"/>
            <w:vAlign w:val="center"/>
          </w:tcPr>
          <w:p>
            <w:pPr>
              <w:pStyle w:val="105"/>
            </w:pPr>
            <w:r>
              <w:t>±6.0</w:t>
            </w:r>
          </w:p>
        </w:tc>
        <w:tc>
          <w:tcPr>
            <w:tcW w:w="1909" w:type="dxa"/>
            <w:shd w:val="clear" w:color="auto" w:fill="auto"/>
            <w:vAlign w:val="center"/>
          </w:tcPr>
          <w:p>
            <w:pPr>
              <w:pStyle w:val="105"/>
            </w:pPr>
            <w:r>
              <w:t>±9.0</w:t>
            </w:r>
          </w:p>
        </w:tc>
        <w:tc>
          <w:tcPr>
            <w:tcW w:w="1549" w:type="dxa"/>
            <w:shd w:val="clear" w:color="auto" w:fill="auto"/>
            <w:vAlign w:val="center"/>
          </w:tcPr>
          <w:p>
            <w:pPr>
              <w:pStyle w:val="105"/>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6871" w:type="dxa"/>
            <w:gridSpan w:val="4"/>
            <w:shd w:val="clear" w:color="auto" w:fill="auto"/>
            <w:vAlign w:val="center"/>
          </w:tcPr>
          <w:p>
            <w:pPr>
              <w:pStyle w:val="118"/>
              <w:rPr>
                <w:rFonts w:eastAsiaTheme="minorEastAsia"/>
              </w:rPr>
            </w:pPr>
            <w:r>
              <w:t>Note 1:</w:t>
            </w:r>
            <w:r>
              <w:tab/>
            </w:r>
            <w:r>
              <w:t>For extreme conditions an additional ± 2.0 dB relaxation is allowed</w:t>
            </w:r>
          </w:p>
        </w:tc>
      </w:tr>
    </w:tbl>
    <w:p/>
    <w:p>
      <w:r>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Pr>
          <w:rFonts w:eastAsia="PMingLiU"/>
          <w:lang w:eastAsia="zh-TW"/>
        </w:rPr>
        <w:t>A</w:t>
      </w:r>
      <w:r>
        <w:t>.4.2.3-1.</w:t>
      </w:r>
    </w:p>
    <w:p>
      <w:pPr>
        <w:rPr>
          <w:lang w:eastAsia="ja-JP"/>
        </w:rPr>
      </w:pPr>
      <w:r>
        <w:t>The normative reference for this requirement is TS 36.102 [11] clause 6.3A.4.</w:t>
      </w:r>
    </w:p>
    <w:p>
      <w:pPr>
        <w:pStyle w:val="9"/>
      </w:pPr>
      <w:r>
        <w:t>6.3A.4.2.4</w:t>
      </w:r>
      <w:r>
        <w:tab/>
      </w:r>
      <w:r>
        <w:t>Test description</w:t>
      </w:r>
    </w:p>
    <w:p>
      <w:pPr>
        <w:pStyle w:val="9"/>
      </w:pPr>
      <w:r>
        <w:t>6.3A.4.2.4.1</w:t>
      </w:r>
      <w:r>
        <w:tab/>
      </w:r>
      <w:r>
        <w:t>Initial conditions</w:t>
      </w:r>
    </w:p>
    <w:p>
      <w:r>
        <w:t>Initial conditions are a set of test configurations the UE needs to be tested in and the steps for the SS to take with the UE to reach the correct measurement state.</w:t>
      </w:r>
    </w:p>
    <w:p>
      <w:pPr>
        <w:rPr>
          <w:rFonts w:eastAsia="MS Mincho"/>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TS 36.521-1[14] Annexes A.2.</w:t>
      </w:r>
      <w:r>
        <w:rPr>
          <w:rFonts w:cs="v5.0.0"/>
          <w:lang w:eastAsia="ja-JP"/>
        </w:rPr>
        <w:t xml:space="preserve"> 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TS 36.521-1[14] Annex C.2.</w:t>
      </w:r>
    </w:p>
    <w:p>
      <w:pPr>
        <w:pStyle w:val="113"/>
      </w:pPr>
      <w:r>
        <w:t>Table 6.3A.4.2.4.1-1: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601"/>
        <w:gridCol w:w="1417"/>
        <w:gridCol w:w="3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t>Test Environment as specified in</w:t>
            </w:r>
          </w:p>
          <w:p>
            <w:pPr>
              <w:pStyle w:val="103"/>
            </w:pPr>
            <w:r>
              <w:t>TS 36.508 [12] subclause 4.1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 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bCs/>
              </w:rPr>
            </w:pPr>
            <w:r>
              <w:rPr>
                <w:bCs/>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r>
              <w:t xml:space="preserve"> </w:t>
            </w:r>
            <w:r>
              <w:rPr>
                <w:bCs/>
              </w:rPr>
              <w:t>as specified in</w:t>
            </w:r>
          </w:p>
          <w:p>
            <w:pPr>
              <w:pStyle w:val="103"/>
            </w:pPr>
            <w:r>
              <w:t>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pStyle w:val="103"/>
              <w:rPr>
                <w:rFonts w:eastAsia="PMingLiU"/>
                <w:bCs/>
                <w:lang w:eastAsia="zh-TW"/>
              </w:rPr>
            </w:pPr>
            <w:r>
              <w:rPr>
                <w:rFonts w:eastAsia="PMingLiU"/>
                <w:bCs/>
                <w:lang w:eastAsia="zh-TW"/>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3"/>
            </w:pPr>
          </w:p>
        </w:tc>
        <w:tc>
          <w:tcPr>
            <w:tcW w:w="2931" w:type="dxa"/>
            <w:gridSpan w:val="2"/>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29"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gridSpan w:val="2"/>
            <w:vMerge w:val="restart"/>
            <w:tcBorders>
              <w:top w:val="single" w:color="auto" w:sz="4" w:space="0"/>
              <w:left w:val="single" w:color="auto" w:sz="4" w:space="0"/>
              <w:right w:val="single" w:color="auto" w:sz="4" w:space="0"/>
            </w:tcBorders>
          </w:tcPr>
          <w:p>
            <w:pPr>
              <w:pStyle w:val="105"/>
            </w:pPr>
            <w:r>
              <w:t>N/A</w:t>
            </w:r>
          </w:p>
        </w:tc>
        <w:tc>
          <w:tcPr>
            <w:tcW w:w="1417" w:type="dxa"/>
            <w:tcBorders>
              <w:top w:val="single" w:color="auto" w:sz="4" w:space="0"/>
              <w:left w:val="single" w:color="auto" w:sz="4" w:space="0"/>
              <w:bottom w:val="single" w:color="auto" w:sz="4" w:space="0"/>
              <w:right w:val="single" w:color="auto" w:sz="4" w:space="0"/>
            </w:tcBorders>
          </w:tcPr>
          <w:p>
            <w:pPr>
              <w:pStyle w:val="105"/>
            </w:pPr>
            <w:r>
              <w:t>Mod'n</w:t>
            </w:r>
          </w:p>
        </w:tc>
        <w:tc>
          <w:tcPr>
            <w:tcW w:w="3812"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p>
        </w:tc>
        <w:tc>
          <w:tcPr>
            <w:tcW w:w="3812"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gridSpan w:val="2"/>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417" w:type="dxa"/>
            <w:tcBorders>
              <w:top w:val="single" w:color="auto" w:sz="4" w:space="0"/>
              <w:left w:val="single" w:color="auto" w:sz="4" w:space="0"/>
              <w:bottom w:val="single" w:color="auto" w:sz="4" w:space="0"/>
              <w:right w:val="single" w:color="auto" w:sz="4" w:space="0"/>
            </w:tcBorders>
          </w:tcPr>
          <w:p>
            <w:pPr>
              <w:pStyle w:val="105"/>
            </w:pPr>
            <w:r>
              <w:t>QPSK</w:t>
            </w:r>
          </w:p>
        </w:tc>
        <w:tc>
          <w:tcPr>
            <w:tcW w:w="3812" w:type="dxa"/>
            <w:tcBorders>
              <w:top w:val="single" w:color="auto" w:sz="4" w:space="0"/>
              <w:left w:val="single" w:color="auto" w:sz="4" w:space="0"/>
              <w:bottom w:val="single" w:color="auto" w:sz="4" w:space="0"/>
              <w:right w:val="single" w:color="auto" w:sz="4" w:space="0"/>
            </w:tcBorders>
          </w:tcPr>
          <w:p>
            <w:pPr>
              <w:pStyle w:val="105"/>
            </w:pPr>
            <w:r>
              <w:t>See table 6.3</w:t>
            </w:r>
            <w:r>
              <w:rPr>
                <w:rFonts w:eastAsia="PMingLiU"/>
                <w:lang w:eastAsia="zh-TW"/>
              </w:rPr>
              <w:t>A</w:t>
            </w:r>
            <w:r>
              <w:t>.4.2.5-1</w:t>
            </w:r>
          </w:p>
          <w:p>
            <w:pPr>
              <w:pStyle w:val="105"/>
            </w:pPr>
            <w:r>
              <w:t>6.3</w:t>
            </w:r>
            <w:r>
              <w:rPr>
                <w:rFonts w:eastAsia="PMingLiU"/>
                <w:lang w:eastAsia="zh-TW"/>
              </w:rPr>
              <w:t>A</w:t>
            </w:r>
            <w:r>
              <w:t>.4.2.5-2</w:t>
            </w:r>
          </w:p>
          <w:p>
            <w:pPr>
              <w:pStyle w:val="105"/>
            </w:pPr>
            <w:r>
              <w:t>6.3</w:t>
            </w:r>
            <w:r>
              <w:rPr>
                <w:rFonts w:eastAsia="PMingLiU"/>
                <w:lang w:eastAsia="zh-TW"/>
              </w:rPr>
              <w:t>A</w:t>
            </w:r>
            <w:r>
              <w:t>.4.2.5-3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pStyle w:val="105"/>
              <w:jc w:val="left"/>
            </w:pPr>
            <w:r>
              <w:t>Note 1:</w:t>
            </w:r>
            <w:r>
              <w:tab/>
            </w:r>
            <w:r>
              <w:t>The RBstart of partial RB allocation shall be RB#0.</w:t>
            </w:r>
          </w:p>
        </w:tc>
      </w:tr>
    </w:tbl>
    <w:p>
      <w:pPr>
        <w:rPr>
          <w:rFonts w:eastAsia="MS Mincho"/>
          <w:lang w:eastAsia="ja-JP"/>
        </w:rPr>
      </w:pP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1.</w:t>
      </w:r>
      <w:r>
        <w:rPr>
          <w:rFonts w:hint="eastAsia" w:eastAsia="Times New Roman"/>
          <w:lang w:eastAsia="en-GB"/>
        </w:rPr>
        <w:tab/>
      </w:r>
      <w:r>
        <w:rPr>
          <w:rFonts w:hint="eastAsia" w:eastAsia="Times New Roman"/>
          <w:lang w:eastAsia="en-GB"/>
        </w:rPr>
        <w:t xml:space="preserve">Connect the SS to the UE antenna connectors as shown in TS 36.508 [12] Annex A Figure A.3 </w:t>
      </w:r>
      <w:r>
        <w:rPr>
          <w:rFonts w:hint="eastAsia"/>
          <w:lang w:eastAsia="en-GB"/>
        </w:rPr>
        <w:t>using only main UE Tx/Rx antenna.</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w:t>
      </w:r>
      <w:r>
        <w:rPr>
          <w:rFonts w:hint="eastAsia" w:eastAsia="Times New Roman"/>
          <w:lang w:eastAsia="en-GB"/>
        </w:rPr>
        <w:tab/>
      </w:r>
      <w:r>
        <w:rPr>
          <w:rFonts w:hint="eastAsia" w:eastAsia="Times New Roman"/>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w:t>
      </w:r>
      <w:r>
        <w:rPr>
          <w:rFonts w:hint="eastAsia" w:eastAsia="Times New Roman"/>
          <w:lang w:eastAsia="en-GB"/>
        </w:rPr>
        <w:tab/>
      </w:r>
      <w:r>
        <w:rPr>
          <w:rFonts w:hint="eastAsia" w:eastAsia="Times New Roman"/>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4.</w:t>
      </w:r>
      <w:r>
        <w:rPr>
          <w:rFonts w:hint="eastAsia" w:eastAsia="Times New Roman"/>
          <w:lang w:eastAsia="en-GB"/>
        </w:rPr>
        <w:tab/>
      </w:r>
      <w:r>
        <w:rPr>
          <w:rFonts w:hint="eastAsia"/>
          <w:lang w:eastAsia="en-GB"/>
        </w:rPr>
        <w:t>The UL Reference Measurement channel is set according to Table 6.3</w:t>
      </w:r>
      <w:r>
        <w:rPr>
          <w:rFonts w:hint="eastAsia" w:eastAsia="Times New Roman"/>
          <w:lang w:eastAsia="en-GB"/>
        </w:rPr>
        <w:t>A</w:t>
      </w:r>
      <w:r>
        <w:rPr>
          <w:rFonts w:hint="eastAsia"/>
          <w:lang w:eastAsia="en-GB"/>
        </w:rPr>
        <w:t>.4.2.4.1-1.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eastAsia="Times New Roman"/>
          <w:lang w:eastAsia="en-GB"/>
        </w:rPr>
        <w:tab/>
      </w:r>
      <w:r>
        <w:rPr>
          <w:rFonts w:hint="eastAsia" w:eastAsia="Times New Roman"/>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8.</w:t>
      </w:r>
      <w:r>
        <w:rPr>
          <w:rFonts w:hint="eastAsia" w:eastAsia="Times New Roman"/>
          <w:lang w:eastAsia="en-GB"/>
        </w:rPr>
        <w:tab/>
      </w:r>
      <w:r>
        <w:rPr>
          <w:rFonts w:hint="eastAsia" w:eastAsia="Times New Roman"/>
          <w:lang w:eastAsia="en-GB"/>
        </w:rPr>
        <w:t xml:space="preserve">Ensure the UE is in State 3A-RF-CE according to TS 36.508 [12] clause 5.2A. 2 AA. Message contents are defined in clause 6.3A.4.2.4.3. </w:t>
      </w:r>
    </w:p>
    <w:p>
      <w:pPr>
        <w:pStyle w:val="9"/>
      </w:pPr>
      <w:r>
        <w:t>6.3A.4.2.4.2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w:t>
      </w:r>
      <w:r>
        <w:rPr>
          <w:rFonts w:eastAsia="PMingLiU"/>
          <w:lang w:eastAsia="zh-TW"/>
        </w:rPr>
        <w:t>A</w:t>
      </w:r>
      <w:r>
        <w:t>.4.2.4.2-1.</w:t>
      </w:r>
    </w:p>
    <w:p>
      <w:pPr>
        <w:pStyle w:val="113"/>
      </w:pPr>
      <w:r>
        <w:rPr>
          <w:snapToGrid w:val="0"/>
        </w:rPr>
        <w:object>
          <v:shape id="_x0000_i1027" o:spt="75" type="#_x0000_t75" style="height:443.45pt;width:474pt;" o:ole="t" filled="f" o:preferrelative="t" stroked="f" coordsize="21600,21600">
            <v:path/>
            <v:fill on="f" focussize="0,0"/>
            <v:stroke on="f" joinstyle="miter"/>
            <v:imagedata r:id="rId21" o:title=""/>
            <o:lock v:ext="edit" aspectratio="t"/>
            <w10:wrap type="none"/>
            <w10:anchorlock/>
          </v:shape>
          <o:OLEObject Type="Embed" ProgID="Word.Picture.8" ShapeID="_x0000_i1027" DrawAspect="Content" ObjectID="_1468075727" r:id="rId20">
            <o:LockedField>false</o:LockedField>
          </o:OLEObject>
        </w:object>
      </w:r>
    </w:p>
    <w:p>
      <w:pPr>
        <w:pStyle w:val="120"/>
      </w:pPr>
      <w:r>
        <w:t>Figure 6.3</w:t>
      </w:r>
      <w:r>
        <w:rPr>
          <w:rFonts w:eastAsia="PMingLiU"/>
          <w:lang w:eastAsia="zh-TW"/>
        </w:rPr>
        <w:t>A</w:t>
      </w:r>
      <w:r>
        <w:t>.4.2.4.2-1: FDD ramping up test power patterns</w:t>
      </w:r>
    </w:p>
    <w:p>
      <w:pPr>
        <w:pStyle w:val="113"/>
      </w:pPr>
      <w:r>
        <w:rPr>
          <w:snapToGrid w:val="0"/>
        </w:rPr>
        <w:object>
          <v:shape id="_x0000_i1028" o:spt="75" type="#_x0000_t75" style="height:459.25pt;width:481.65pt;" o:ole="t" filled="f" o:preferrelative="t" stroked="f" coordsize="21600,21600">
            <v:path/>
            <v:fill on="f" focussize="0,0"/>
            <v:stroke on="f" joinstyle="miter"/>
            <v:imagedata r:id="rId23" o:title=""/>
            <o:lock v:ext="edit" aspectratio="t"/>
            <w10:wrap type="none"/>
            <w10:anchorlock/>
          </v:shape>
          <o:OLEObject Type="Embed" ProgID="Word.Picture.8" ShapeID="_x0000_i1028" DrawAspect="Content" ObjectID="_1468075728" r:id="rId22">
            <o:LockedField>false</o:LockedField>
          </o:OLEObject>
        </w:object>
      </w:r>
    </w:p>
    <w:p>
      <w:pPr>
        <w:pStyle w:val="120"/>
      </w:pPr>
      <w:r>
        <w:t>Figure 6.3</w:t>
      </w:r>
      <w:r>
        <w:rPr>
          <w:rFonts w:eastAsia="PMingLiU"/>
          <w:lang w:eastAsia="zh-TW"/>
        </w:rPr>
        <w:t>A</w:t>
      </w:r>
      <w:r>
        <w:t>.4.2.4.2-2: FDD ramping down test power patterns</w:t>
      </w:r>
    </w:p>
    <w:p>
      <w:pPr>
        <w:pStyle w:val="113"/>
      </w:pPr>
      <w:bookmarkStart w:id="345" w:name="_MON_1543744446"/>
      <w:bookmarkEnd w:id="345"/>
      <w:r>
        <w:rPr>
          <w:snapToGrid w:val="0"/>
        </w:rPr>
        <w:object>
          <v:shape id="_x0000_i1029" o:spt="75" type="#_x0000_t75" style="height:443.45pt;width:474pt;" o:ole="t" filled="f" o:preferrelative="t" stroked="f" coordsize="21600,21600">
            <v:path/>
            <v:fill on="f" focussize="0,0"/>
            <v:stroke on="f" joinstyle="miter"/>
            <v:imagedata r:id="rId25" o:title=""/>
            <o:lock v:ext="edit" aspectratio="t"/>
            <w10:wrap type="none"/>
            <w10:anchorlock/>
          </v:shape>
          <o:OLEObject Type="Embed" ProgID="Word.Picture.8" ShapeID="_x0000_i1029" DrawAspect="Content" ObjectID="_1468075729" r:id="rId24">
            <o:LockedField>false</o:LockedField>
          </o:OLEObject>
        </w:object>
      </w:r>
    </w:p>
    <w:p>
      <w:pPr>
        <w:pStyle w:val="120"/>
      </w:pPr>
      <w:r>
        <w:t>Figure 6.3</w:t>
      </w:r>
      <w:r>
        <w:rPr>
          <w:rFonts w:eastAsia="PMingLiU"/>
          <w:lang w:eastAsia="zh-TW"/>
        </w:rPr>
        <w:t>A</w:t>
      </w:r>
      <w:r>
        <w:t>.4.2.4.2-3: HD-FDD ramping up test power patterns</w:t>
      </w:r>
    </w:p>
    <w:p>
      <w:pPr>
        <w:pStyle w:val="113"/>
      </w:pPr>
      <w:bookmarkStart w:id="346" w:name="_MON_1543749848"/>
      <w:bookmarkEnd w:id="346"/>
      <w:r>
        <w:rPr>
          <w:snapToGrid w:val="0"/>
        </w:rPr>
        <w:object>
          <v:shape id="_x0000_i1030" o:spt="75" type="#_x0000_t75" style="height:443.45pt;width:474pt;" o:ole="t" filled="f" o:preferrelative="t" stroked="f" coordsize="21600,21600">
            <v:path/>
            <v:fill on="f" focussize="0,0"/>
            <v:stroke on="f" joinstyle="miter"/>
            <v:imagedata r:id="rId27" o:title=""/>
            <o:lock v:ext="edit" aspectratio="t"/>
            <w10:wrap type="none"/>
            <w10:anchorlock/>
          </v:shape>
          <o:OLEObject Type="Embed" ProgID="Word.Picture.8" ShapeID="_x0000_i1030" DrawAspect="Content" ObjectID="_1468075730" r:id="rId26">
            <o:LockedField>false</o:LockedField>
          </o:OLEObject>
        </w:object>
      </w:r>
    </w:p>
    <w:p>
      <w:pPr>
        <w:pStyle w:val="120"/>
      </w:pPr>
      <w:r>
        <w:t>Figure 6.3</w:t>
      </w:r>
      <w:r>
        <w:rPr>
          <w:rFonts w:eastAsia="PMingLiU"/>
          <w:lang w:eastAsia="zh-TW"/>
        </w:rPr>
        <w:t>A</w:t>
      </w:r>
      <w:r>
        <w:t>.4.2.4.2-4: HD-FDD ramping down test power patterns</w:t>
      </w:r>
    </w:p>
    <w:p>
      <w:pPr>
        <w:pStyle w:val="113"/>
      </w:pPr>
      <w:r>
        <w:drawing>
          <wp:inline distT="0" distB="0" distL="0" distR="0">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pPr>
        <w:pStyle w:val="120"/>
      </w:pPr>
      <w:r>
        <w:t>Figure 6.3</w:t>
      </w:r>
      <w:r>
        <w:rPr>
          <w:rFonts w:eastAsia="PMingLiU"/>
          <w:lang w:eastAsia="zh-TW"/>
        </w:rPr>
        <w:t>A</w:t>
      </w:r>
      <w:r>
        <w:t>.4.2.4.2-5: Alternating Test Power patterns</w:t>
      </w:r>
    </w:p>
    <w:p>
      <w:pPr>
        <w:pStyle w:val="111"/>
        <w:ind w:left="0" w:firstLine="0"/>
        <w:rPr>
          <w:rFonts w:eastAsia="PMingLiU"/>
          <w:lang w:eastAsia="zh-TW"/>
        </w:rPr>
      </w:pPr>
      <w:r>
        <w:t>1.</w:t>
      </w:r>
      <w:r>
        <w:tab/>
      </w:r>
      <w:r>
        <w:t>Sub test: ramping up pattern</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1.1</w:t>
      </w:r>
      <w:r>
        <w:rPr>
          <w:rFonts w:hint="eastAsia"/>
          <w:lang w:eastAsia="en-GB"/>
        </w:rPr>
        <w:tab/>
      </w:r>
      <w:r>
        <w:rPr>
          <w:rFonts w:hint="eastAsia"/>
          <w:lang w:eastAsia="en-GB"/>
        </w:rPr>
        <w:t xml:space="preserve">SS sends uplink scheduling information for each UL HARQ process via </w:t>
      </w:r>
      <w:r>
        <w:rPr>
          <w:rFonts w:hint="eastAsia" w:eastAsia="Times New Roman"/>
          <w:lang w:eastAsia="en-GB"/>
        </w:rPr>
        <w:t>M</w:t>
      </w:r>
      <w:r>
        <w:rPr>
          <w:rFonts w:hint="eastAsia"/>
          <w:lang w:eastAsia="en-GB"/>
        </w:rPr>
        <w:t xml:space="preserve">PDCCH DCI format </w:t>
      </w:r>
      <w:r>
        <w:rPr>
          <w:rFonts w:hint="eastAsia" w:eastAsia="Times New Roman"/>
          <w:lang w:eastAsia="en-GB"/>
        </w:rPr>
        <w:t>6-</w:t>
      </w:r>
      <w:r>
        <w:rPr>
          <w:rFonts w:hint="eastAsia"/>
          <w:lang w:eastAsia="en-GB"/>
        </w:rPr>
        <w:t>0</w:t>
      </w:r>
      <w:r>
        <w:rPr>
          <w:rFonts w:hint="eastAsia" w:eastAsia="Times New Roman"/>
          <w:lang w:eastAsia="en-GB"/>
        </w:rPr>
        <w:t>A</w:t>
      </w:r>
      <w:r>
        <w:rPr>
          <w:rFonts w:hint="eastAsia"/>
          <w:lang w:eastAsia="en-GB"/>
        </w:rPr>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1.2</w:t>
      </w:r>
      <w:r>
        <w:rPr>
          <w:rFonts w:hint="eastAsia"/>
          <w:lang w:eastAsia="en-GB"/>
        </w:rPr>
        <w:tab/>
      </w:r>
      <w:r>
        <w:rPr>
          <w:rFonts w:hint="eastAsia"/>
          <w:lang w:eastAsia="en-GB"/>
        </w:rPr>
        <w:t>Schedule the UE's PUSCH data transmission as described in Figure 6.3</w:t>
      </w:r>
      <w:r>
        <w:rPr>
          <w:rFonts w:hint="eastAsia" w:eastAsia="Times New Roman"/>
          <w:lang w:eastAsia="en-GB"/>
        </w:rPr>
        <w:t>A</w:t>
      </w:r>
      <w:r>
        <w:rPr>
          <w:rFonts w:hint="eastAsia"/>
          <w:lang w:eastAsia="en-GB"/>
        </w:rPr>
        <w:t>.4.2.4.2-1 (FDD pattern A: sub-test is divided in 4 arbitrary radio frames with 10 active uplink sub-frames per radio frame)  and Figure 6.3</w:t>
      </w:r>
      <w:r>
        <w:rPr>
          <w:rFonts w:hint="eastAsia" w:eastAsia="Times New Roman"/>
          <w:lang w:eastAsia="en-GB"/>
        </w:rPr>
        <w:t>A4.</w:t>
      </w:r>
      <w:r>
        <w:rPr>
          <w:rFonts w:hint="eastAsia"/>
          <w:lang w:eastAsia="en-GB"/>
        </w:rPr>
        <w:t>.2.4.2-5 (HD-FDD pattern A: sub-test is divided in 14 arbitrary radio frames with 3 active uplink sub-frames per radio frame) with an uplink RB allocation as defined in tables 6.3</w:t>
      </w:r>
      <w:r>
        <w:rPr>
          <w:rFonts w:hint="eastAsia" w:eastAsia="Times New Roman"/>
          <w:lang w:eastAsia="en-GB"/>
        </w:rPr>
        <w:t>A</w:t>
      </w:r>
      <w:r>
        <w:rPr>
          <w:rFonts w:hint="eastAsia"/>
          <w:lang w:eastAsia="en-GB"/>
        </w:rPr>
        <w:t xml:space="preserve">.4.2.5-1. On the </w:t>
      </w:r>
      <w:r>
        <w:rPr>
          <w:rFonts w:hint="eastAsia" w:eastAsia="Times New Roman"/>
          <w:lang w:eastAsia="en-GB"/>
        </w:rPr>
        <w:t>M</w:t>
      </w:r>
      <w:r>
        <w:rPr>
          <w:rFonts w:hint="eastAsia"/>
          <w:lang w:eastAsia="en-GB"/>
        </w:rPr>
        <w:t xml:space="preserve">PDCCH DCI format </w:t>
      </w:r>
      <w:r>
        <w:rPr>
          <w:rFonts w:hint="eastAsia" w:eastAsia="Times New Roman"/>
          <w:lang w:eastAsia="en-GB"/>
        </w:rPr>
        <w:t>6-</w:t>
      </w:r>
      <w:r>
        <w:rPr>
          <w:rFonts w:hint="eastAsia"/>
          <w:lang w:eastAsia="en-GB"/>
        </w:rPr>
        <w:t>0</w:t>
      </w:r>
      <w:r>
        <w:rPr>
          <w:rFonts w:hint="eastAsia" w:eastAsia="Times New Roman"/>
          <w:lang w:eastAsia="en-GB"/>
        </w:rPr>
        <w:t>A</w:t>
      </w:r>
      <w:r>
        <w:rPr>
          <w:rFonts w:hint="eastAsia"/>
          <w:lang w:eastAsia="en-GB"/>
        </w:rPr>
        <w:t xml:space="preserve">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1.3</w:t>
      </w:r>
      <w:r>
        <w:rPr>
          <w:rFonts w:hint="eastAsia"/>
          <w:lang w:eastAsia="en-GB"/>
        </w:rPr>
        <w:tab/>
      </w:r>
      <w:r>
        <w:rPr>
          <w:rFonts w:hint="eastAsia"/>
          <w:lang w:eastAsia="en-GB"/>
        </w:rPr>
        <w:t>Measure the power of PUSCH transmissions to verify the UE relative power control meet test requirements 6.3</w:t>
      </w:r>
      <w:r>
        <w:rPr>
          <w:rFonts w:hint="eastAsia" w:eastAsia="Times New Roman"/>
          <w:lang w:eastAsia="en-GB"/>
        </w:rPr>
        <w:t>A</w:t>
      </w:r>
      <w:r>
        <w:rPr>
          <w:rFonts w:hint="eastAsia"/>
          <w:lang w:eastAsia="en-GB"/>
        </w:rPr>
        <w:t>.4.2.5.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rFonts w:hint="eastAsia"/>
          <w:iCs w:val="0"/>
          <w:lang w:eastAsia="en-GB"/>
        </w:rPr>
      </w:pPr>
      <w:r>
        <w:rPr>
          <w:rFonts w:hint="eastAsia"/>
          <w:lang w:eastAsia="en-GB"/>
        </w:rPr>
        <w:t>1.4</w:t>
      </w:r>
      <w:r>
        <w:rPr>
          <w:rFonts w:hint="eastAsia"/>
          <w:lang w:eastAsia="en-GB"/>
        </w:rPr>
        <w:tab/>
      </w:r>
      <w:r>
        <w:rPr>
          <w:rFonts w:hint="eastAsia"/>
          <w:lang w:eastAsia="en-GB"/>
        </w:rPr>
        <w:t>Repeat the subtest different pattern B, C to move the RB allocation change at different points in the pattern as described in Table 6.3</w:t>
      </w:r>
      <w:r>
        <w:rPr>
          <w:rFonts w:hint="eastAsia" w:eastAsia="Times New Roman"/>
          <w:lang w:eastAsia="en-GB"/>
        </w:rPr>
        <w:t>A</w:t>
      </w:r>
      <w:r>
        <w:rPr>
          <w:rFonts w:hint="eastAsia"/>
          <w:lang w:eastAsia="en-GB"/>
        </w:rPr>
        <w:t>.4.2.5-1 to force bigger UE power steps at various points in the power range.</w:t>
      </w:r>
    </w:p>
    <w:p>
      <w:pPr>
        <w:pStyle w:val="111"/>
        <w:ind w:left="0" w:firstLine="0"/>
      </w:pPr>
      <w:r>
        <w:t>2.</w:t>
      </w:r>
      <w:r>
        <w:tab/>
      </w:r>
      <w:r>
        <w:t>Sub test: ramping down pattern</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2.1</w:t>
      </w:r>
      <w:r>
        <w:rPr>
          <w:rFonts w:hint="eastAsia"/>
          <w:lang w:eastAsia="en-GB"/>
        </w:rPr>
        <w:tab/>
      </w:r>
      <w:r>
        <w:rPr>
          <w:rFonts w:hint="eastAsia"/>
          <w:lang w:eastAsia="en-GB"/>
        </w:rPr>
        <w:t xml:space="preserve">SS sends uplink scheduling information for each UL HARQ process via </w:t>
      </w:r>
      <w:r>
        <w:rPr>
          <w:rFonts w:hint="eastAsia" w:eastAsia="Times New Roman"/>
          <w:lang w:eastAsia="en-GB"/>
        </w:rPr>
        <w:t>M</w:t>
      </w:r>
      <w:r>
        <w:rPr>
          <w:rFonts w:hint="eastAsia"/>
          <w:lang w:eastAsia="en-GB"/>
        </w:rPr>
        <w:t xml:space="preserve">PDCCH DCI format </w:t>
      </w:r>
      <w:r>
        <w:rPr>
          <w:rFonts w:hint="eastAsia" w:eastAsia="Times New Roman"/>
          <w:lang w:eastAsia="en-GB"/>
        </w:rPr>
        <w:t>6-</w:t>
      </w:r>
      <w:r>
        <w:rPr>
          <w:rFonts w:hint="eastAsia"/>
          <w:lang w:eastAsia="en-GB"/>
        </w:rPr>
        <w:t>0</w:t>
      </w:r>
      <w:r>
        <w:rPr>
          <w:rFonts w:hint="eastAsia" w:eastAsia="Times New Roman"/>
          <w:lang w:eastAsia="en-GB"/>
        </w:rPr>
        <w:t>A</w:t>
      </w:r>
      <w:r>
        <w:rPr>
          <w:rFonts w:hint="eastAsia"/>
          <w:lang w:eastAsia="en-GB"/>
        </w:rPr>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Pr>
          <w:rFonts w:hint="eastAsia" w:eastAsia="Times New Roman"/>
          <w:lang w:eastAsia="en-GB"/>
        </w:rPr>
        <w:t xml:space="preserve"> with UE power class 3 or </w:t>
      </w:r>
      <w:r>
        <w:rPr>
          <w:rFonts w:hint="eastAsia"/>
          <w:lang w:eastAsia="en-GB"/>
        </w:rPr>
        <w:t>+</w:t>
      </w:r>
      <w:r>
        <w:rPr>
          <w:rFonts w:hint="eastAsia" w:eastAsia="Times New Roman"/>
          <w:lang w:eastAsia="en-GB"/>
        </w:rPr>
        <w:t>15</w:t>
      </w:r>
      <w:r>
        <w:rPr>
          <w:rFonts w:hint="eastAsia"/>
          <w:lang w:eastAsia="en-GB"/>
        </w:rPr>
        <w:t>.0dBm +/- 3.2 dB for carrier frequency f ≤ 3.0GHz</w:t>
      </w:r>
      <w:r>
        <w:rPr>
          <w:rFonts w:hint="eastAsia" w:eastAsia="Times New Roman"/>
          <w:lang w:eastAsia="en-GB"/>
        </w:rPr>
        <w:t xml:space="preserve"> with UE power class 5 or </w:t>
      </w:r>
      <w:r>
        <w:rPr>
          <w:rFonts w:hint="eastAsia"/>
          <w:lang w:eastAsia="en-GB"/>
        </w:rPr>
        <w:t>+9.0 dBm +/- 3.2 dB for carrier frequency f ≤ 3.0GHz</w:t>
      </w:r>
      <w:r>
        <w:rPr>
          <w:rFonts w:hint="eastAsia" w:eastAsia="Times New Roman"/>
          <w:lang w:eastAsia="en-GB"/>
        </w:rPr>
        <w:t xml:space="preserve"> with UE power class 6</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2.2</w:t>
      </w:r>
      <w:r>
        <w:rPr>
          <w:rFonts w:hint="eastAsia"/>
          <w:lang w:eastAsia="en-GB"/>
        </w:rPr>
        <w:tab/>
      </w:r>
      <w:r>
        <w:rPr>
          <w:rFonts w:hint="eastAsia"/>
          <w:lang w:eastAsia="en-GB"/>
        </w:rPr>
        <w:t>Schedule the UE's PUSCH data transmission as described in Figure 6.3</w:t>
      </w:r>
      <w:r>
        <w:rPr>
          <w:rFonts w:hint="eastAsia" w:eastAsia="Times New Roman"/>
          <w:lang w:eastAsia="en-GB"/>
        </w:rPr>
        <w:t>A</w:t>
      </w:r>
      <w:r>
        <w:rPr>
          <w:rFonts w:hint="eastAsia"/>
          <w:lang w:eastAsia="en-GB"/>
        </w:rPr>
        <w:t>.4.2.4.2-2 (FDD pattern A: sub-test is divided in 4 arbitrary radio frames with 10 active uplink sub-frames per radio frame) and Figure 6.3.5E</w:t>
      </w:r>
      <w:r>
        <w:rPr>
          <w:rFonts w:hint="eastAsia" w:eastAsia="Times New Roman"/>
          <w:lang w:eastAsia="en-GB"/>
        </w:rPr>
        <w:t>A</w:t>
      </w:r>
      <w:r>
        <w:rPr>
          <w:rFonts w:hint="eastAsia"/>
          <w:lang w:eastAsia="en-GB"/>
        </w:rPr>
        <w:t xml:space="preserve">.2.4.2-6 (HD-FDD pattern A: sub-test is divided in 14 arbitrary radio frames with 3 active uplink sub-frames per radio frame)with an uplink RB allocation as defined in </w:t>
      </w:r>
      <w:r>
        <w:rPr>
          <w:rFonts w:hint="eastAsia" w:eastAsia="Times New Roman"/>
          <w:lang w:eastAsia="en-GB"/>
        </w:rPr>
        <w:t>table</w:t>
      </w:r>
      <w:r>
        <w:rPr>
          <w:rFonts w:hint="eastAsia"/>
          <w:lang w:eastAsia="en-GB"/>
        </w:rPr>
        <w:t xml:space="preserve"> 6.3A.4.2.5-2. On the </w:t>
      </w:r>
      <w:r>
        <w:rPr>
          <w:rFonts w:hint="eastAsia" w:eastAsia="Times New Roman"/>
          <w:lang w:eastAsia="en-GB"/>
        </w:rPr>
        <w:t>M</w:t>
      </w:r>
      <w:r>
        <w:rPr>
          <w:rFonts w:hint="eastAsia"/>
          <w:lang w:eastAsia="en-GB"/>
        </w:rPr>
        <w:t xml:space="preserve">PDCCH DCI format </w:t>
      </w:r>
      <w:r>
        <w:rPr>
          <w:rFonts w:hint="eastAsia" w:eastAsia="Times New Roman"/>
          <w:lang w:eastAsia="en-GB"/>
        </w:rPr>
        <w:t>6-</w:t>
      </w:r>
      <w:r>
        <w:rPr>
          <w:rFonts w:hint="eastAsia"/>
          <w:lang w:eastAsia="en-GB"/>
        </w:rPr>
        <w:t>0</w:t>
      </w:r>
      <w:r>
        <w:rPr>
          <w:rFonts w:hint="eastAsia" w:eastAsia="Times New Roman"/>
          <w:lang w:eastAsia="en-GB"/>
        </w:rPr>
        <w:t>A</w:t>
      </w:r>
      <w:r>
        <w:rPr>
          <w:rFonts w:hint="eastAsia"/>
          <w:lang w:eastAsia="en-GB"/>
        </w:rPr>
        <w:t xml:space="preserve"> for the scheduling of the PUSCH the SS will transmit a -1dB TPC command. Note that the measurement need not be done continuously, provided that interruptions are whole numbers of frames, and TPC commands of 0dB are sent during the interruption.</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2.3</w:t>
      </w:r>
      <w:r>
        <w:rPr>
          <w:rFonts w:hint="eastAsia"/>
          <w:lang w:eastAsia="en-GB"/>
        </w:rPr>
        <w:tab/>
      </w:r>
      <w:r>
        <w:rPr>
          <w:rFonts w:hint="eastAsia"/>
          <w:lang w:eastAsia="en-GB"/>
        </w:rPr>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2.4</w:t>
      </w:r>
      <w:r>
        <w:rPr>
          <w:rFonts w:hint="eastAsia"/>
          <w:lang w:eastAsia="en-GB"/>
        </w:rPr>
        <w:tab/>
      </w:r>
      <w:r>
        <w:rPr>
          <w:rFonts w:hint="eastAsia"/>
          <w:lang w:eastAsia="en-GB"/>
        </w:rPr>
        <w:t>Repeat the subtest different pattern B, C to move the RB allocation change at different points in the pattern as described in Table 6.3A.4.2.5-2 to force bigger UE power steps at various points in the power range.</w:t>
      </w:r>
    </w:p>
    <w:p>
      <w:pPr>
        <w:pStyle w:val="111"/>
        <w:ind w:left="0" w:firstLine="0"/>
      </w:pPr>
      <w:r>
        <w:t>3.</w:t>
      </w:r>
      <w:r>
        <w:tab/>
      </w:r>
      <w:r>
        <w:t>Sub test: alternating pattern</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3.1</w:t>
      </w:r>
      <w:r>
        <w:rPr>
          <w:rFonts w:hint="eastAsia"/>
          <w:lang w:eastAsia="en-GB"/>
        </w:rPr>
        <w:tab/>
      </w:r>
      <w:r>
        <w:rPr>
          <w:rFonts w:hint="eastAsia"/>
          <w:lang w:eastAsia="en-GB"/>
        </w:rPr>
        <w:t>SS sends uplink scheduling information for each UL HARQ process via P</w:t>
      </w:r>
      <w:r>
        <w:rPr>
          <w:rFonts w:hint="eastAsia" w:eastAsia="Times New Roman"/>
          <w:lang w:eastAsia="en-GB"/>
        </w:rPr>
        <w:t xml:space="preserve"> M</w:t>
      </w:r>
      <w:r>
        <w:rPr>
          <w:rFonts w:hint="eastAsia"/>
          <w:lang w:eastAsia="en-GB"/>
        </w:rPr>
        <w:t xml:space="preserve">PDCCH DCI format </w:t>
      </w:r>
      <w:r>
        <w:rPr>
          <w:rFonts w:hint="eastAsia" w:eastAsia="Times New Roman"/>
          <w:lang w:eastAsia="en-GB"/>
        </w:rPr>
        <w:t>6-</w:t>
      </w:r>
      <w:r>
        <w:rPr>
          <w:rFonts w:hint="eastAsia"/>
          <w:lang w:eastAsia="en-GB"/>
        </w:rPr>
        <w:t>0</w:t>
      </w:r>
      <w:r>
        <w:rPr>
          <w:rFonts w:hint="eastAsia" w:eastAsia="Times New Roman"/>
          <w:lang w:eastAsia="en-GB"/>
        </w:rPr>
        <w:t>A</w:t>
      </w:r>
      <w:r>
        <w:rPr>
          <w:rFonts w:hint="eastAsia"/>
          <w:lang w:eastAsia="en-GB"/>
        </w:rPr>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6.3A.4.2.5-3. The power level and RB allocation are reset for each sub-test.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3.2</w:t>
      </w:r>
      <w:r>
        <w:rPr>
          <w:rFonts w:hint="eastAsia"/>
          <w:lang w:eastAsia="en-GB"/>
        </w:rPr>
        <w:tab/>
      </w:r>
      <w:r>
        <w:rPr>
          <w:rFonts w:hint="eastAsia"/>
          <w:lang w:eastAsia="en-GB"/>
        </w:rPr>
        <w:t>Schedule the UE's PUSCH data transmission as described in Figure 6.3</w:t>
      </w:r>
      <w:r>
        <w:rPr>
          <w:rFonts w:hint="eastAsia" w:eastAsia="Times New Roman"/>
          <w:lang w:eastAsia="en-GB"/>
        </w:rPr>
        <w:t>A</w:t>
      </w:r>
      <w:r>
        <w:rPr>
          <w:rFonts w:hint="eastAsia"/>
          <w:lang w:eastAsia="en-GB"/>
        </w:rPr>
        <w:t xml:space="preserve">.4.2.4.2-5 for 10 sub-frames (FDD ) and 20 sub-frames (HD-FDD) with an uplink RB allocation alternating pattern as defined in table 6.3A.4.2.5-3 while transmitting 0dB TPC command for PUSCH via the </w:t>
      </w:r>
      <w:r>
        <w:rPr>
          <w:rFonts w:hint="eastAsia" w:eastAsia="Times New Roman"/>
          <w:lang w:eastAsia="en-GB"/>
        </w:rPr>
        <w:t>M</w:t>
      </w:r>
      <w:r>
        <w:rPr>
          <w:rFonts w:hint="eastAsia"/>
          <w:lang w:eastAsia="en-GB"/>
        </w:rPr>
        <w:t>PDCCH.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pPr>
        <w:pStyle w:val="9"/>
      </w:pPr>
      <w:r>
        <w:t>6.3A.4.2.4.3</w:t>
      </w:r>
      <w:r>
        <w:tab/>
      </w:r>
      <w:r>
        <w:t>Message contents</w:t>
      </w:r>
    </w:p>
    <w:p>
      <w:pPr>
        <w:rPr>
          <w:lang w:eastAsia="ja-JP"/>
        </w:rPr>
      </w:pPr>
      <w:r>
        <w:t>Message contents are according to TS 36.508 [12] subclause 4.6</w:t>
      </w:r>
      <w:r>
        <w:rPr>
          <w:lang w:eastAsia="ja-JP"/>
        </w:rPr>
        <w:t>.</w:t>
      </w:r>
    </w:p>
    <w:p>
      <w:pPr>
        <w:pStyle w:val="9"/>
      </w:pPr>
      <w:r>
        <w:t>6.3A.</w:t>
      </w:r>
      <w:r>
        <w:rPr>
          <w:rFonts w:hint="eastAsia"/>
        </w:rPr>
        <w:t>4</w:t>
      </w:r>
      <w:r>
        <w:t>.2.5</w:t>
      </w:r>
      <w:r>
        <w:tab/>
      </w:r>
      <w:r>
        <w:t>Test requirement</w:t>
      </w:r>
    </w:p>
    <w:p>
      <w:r>
        <w:t>Each UE power step measured in the test procedure 6.3</w:t>
      </w:r>
      <w:r>
        <w:rPr>
          <w:rFonts w:eastAsia="PMingLiU"/>
          <w:lang w:eastAsia="zh-TW"/>
        </w:rPr>
        <w:t>A</w:t>
      </w:r>
      <w:r>
        <w:t>.4.2.4.2 should satisfy the test requirements specified in Table 6.3</w:t>
      </w:r>
      <w:r>
        <w:rPr>
          <w:rFonts w:eastAsia="PMingLiU"/>
          <w:lang w:eastAsia="zh-TW"/>
        </w:rPr>
        <w:t>A</w:t>
      </w:r>
      <w:r>
        <w:t>.4.2.5-1, thru 6.3</w:t>
      </w:r>
      <w:r>
        <w:rPr>
          <w:rFonts w:eastAsia="PMingLiU"/>
          <w:lang w:eastAsia="zh-TW"/>
        </w:rPr>
        <w:t>A</w:t>
      </w:r>
      <w:r>
        <w:t>.4.2.5-3 for normal conditions; for extreme conditions an additional ± 2.0 dB relaxation is allowed.</w:t>
      </w:r>
    </w:p>
    <w:p>
      <w:r>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pPr>
        <w:pStyle w:val="113"/>
      </w:pPr>
      <w:r>
        <w:t>Table 6.3A.4.2.5-1: Test Requirements Relative Power Tolerance for Transmission (normal conditions – Note 5) channel bandwidth 1.4MHz (ramping up)</w:t>
      </w:r>
    </w:p>
    <w:tbl>
      <w:tblPr>
        <w:tblStyle w:val="89"/>
        <w:tblW w:w="7654" w:type="dxa"/>
        <w:tblInd w:w="1101" w:type="dxa"/>
        <w:tblLayout w:type="autofit"/>
        <w:tblCellMar>
          <w:top w:w="0" w:type="dxa"/>
          <w:left w:w="108" w:type="dxa"/>
          <w:bottom w:w="0" w:type="dxa"/>
          <w:right w:w="108" w:type="dxa"/>
        </w:tblCellMar>
      </w:tblPr>
      <w:tblGrid>
        <w:gridCol w:w="1206"/>
        <w:gridCol w:w="1112"/>
        <w:gridCol w:w="1107"/>
        <w:gridCol w:w="1017"/>
        <w:gridCol w:w="1056"/>
        <w:gridCol w:w="2156"/>
      </w:tblGrid>
      <w:tr>
        <w:tblPrEx>
          <w:tblCellMar>
            <w:top w:w="0" w:type="dxa"/>
            <w:left w:w="108" w:type="dxa"/>
            <w:bottom w:w="0" w:type="dxa"/>
            <w:right w:w="108" w:type="dxa"/>
          </w:tblCellMar>
        </w:tblPrEx>
        <w:trPr>
          <w:trHeight w:val="240" w:hRule="atLeast"/>
        </w:trPr>
        <w:tc>
          <w:tcPr>
            <w:tcW w:w="1206" w:type="dxa"/>
            <w:tcBorders>
              <w:top w:val="single" w:color="auto" w:sz="4" w:space="0"/>
              <w:left w:val="single" w:color="auto" w:sz="4" w:space="0"/>
              <w:bottom w:val="nil"/>
              <w:right w:val="single" w:color="000000" w:sz="4" w:space="0"/>
            </w:tcBorders>
          </w:tcPr>
          <w:p>
            <w:pPr>
              <w:pStyle w:val="104"/>
            </w:pPr>
            <w:r>
              <w:t>Sub-test (ramp up)</w:t>
            </w:r>
          </w:p>
        </w:tc>
        <w:tc>
          <w:tcPr>
            <w:tcW w:w="1112" w:type="dxa"/>
            <w:tcBorders>
              <w:top w:val="single" w:color="auto" w:sz="4" w:space="0"/>
              <w:left w:val="single" w:color="auto" w:sz="4" w:space="0"/>
              <w:bottom w:val="nil"/>
              <w:right w:val="single" w:color="auto" w:sz="4" w:space="0"/>
            </w:tcBorders>
          </w:tcPr>
          <w:p>
            <w:pPr>
              <w:pStyle w:val="104"/>
            </w:pPr>
            <w:r>
              <w:t>Uplink RB allocation</w:t>
            </w:r>
          </w:p>
        </w:tc>
        <w:tc>
          <w:tcPr>
            <w:tcW w:w="1107"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(Up)</w:t>
            </w:r>
          </w:p>
        </w:tc>
        <w:tc>
          <w:tcPr>
            <w:tcW w:w="1056"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(Up)</w:t>
            </w:r>
          </w:p>
        </w:tc>
        <w:tc>
          <w:tcPr>
            <w:tcW w:w="2156"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trPr>
        <w:tc>
          <w:tcPr>
            <w:tcW w:w="1206" w:type="dxa"/>
            <w:tcBorders>
              <w:top w:val="nil"/>
              <w:left w:val="single" w:color="auto" w:sz="4" w:space="0"/>
              <w:bottom w:val="single" w:color="auto" w:sz="4" w:space="0"/>
              <w:right w:val="single" w:color="000000" w:sz="4" w:space="0"/>
            </w:tcBorders>
          </w:tcPr>
          <w:p>
            <w:pPr>
              <w:pStyle w:val="103"/>
            </w:pPr>
          </w:p>
        </w:tc>
        <w:tc>
          <w:tcPr>
            <w:tcW w:w="1112" w:type="dxa"/>
            <w:tcBorders>
              <w:top w:val="nil"/>
              <w:left w:val="single" w:color="auto" w:sz="4" w:space="0"/>
              <w:bottom w:val="single" w:color="auto" w:sz="4" w:space="0"/>
              <w:right w:val="single" w:color="auto" w:sz="4" w:space="0"/>
            </w:tcBorders>
          </w:tcPr>
          <w:p>
            <w:pPr>
              <w:pStyle w:val="103"/>
            </w:pPr>
          </w:p>
        </w:tc>
        <w:tc>
          <w:tcPr>
            <w:tcW w:w="1107"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156"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trPr>
        <w:tc>
          <w:tcPr>
            <w:tcW w:w="1206" w:type="dxa"/>
            <w:tcBorders>
              <w:top w:val="single" w:color="auto" w:sz="4" w:space="0"/>
              <w:left w:val="single" w:color="auto" w:sz="4" w:space="0"/>
              <w:bottom w:val="single" w:color="auto" w:sz="4" w:space="0"/>
              <w:right w:val="single" w:color="auto" w:sz="4" w:space="0"/>
            </w:tcBorders>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
          <w:p>
            <w:pPr>
              <w:pStyle w:val="103"/>
            </w:pPr>
            <w:r>
              <w:t>Fixed = 1</w:t>
            </w:r>
          </w:p>
        </w:tc>
        <w:tc>
          <w:tcPr>
            <w:tcW w:w="1107" w:type="dxa"/>
            <w:tcBorders>
              <w:top w:val="single" w:color="auto" w:sz="4" w:space="0"/>
              <w:left w:val="single" w:color="auto" w:sz="4" w:space="0"/>
              <w:bottom w:val="single" w:color="auto" w:sz="4" w:space="0"/>
              <w:right w:val="single" w:color="auto" w:sz="4" w:space="0"/>
            </w:tcBorders>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ΔP &lt; 2</w:t>
            </w:r>
          </w:p>
        </w:tc>
        <w:tc>
          <w:tcPr>
            <w:tcW w:w="2156" w:type="dxa"/>
            <w:tcBorders>
              <w:top w:val="single" w:color="auto" w:sz="4" w:space="0"/>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trPr>
        <w:tc>
          <w:tcPr>
            <w:tcW w:w="1206" w:type="dxa"/>
            <w:tcBorders>
              <w:top w:val="nil"/>
              <w:left w:val="single" w:color="auto" w:sz="4" w:space="0"/>
              <w:bottom w:val="single" w:color="auto" w:sz="4" w:space="0"/>
              <w:right w:val="single" w:color="auto" w:sz="4" w:space="0"/>
            </w:tcBorders>
          </w:tcPr>
          <w:p>
            <w:pPr>
              <w:pStyle w:val="105"/>
            </w:pPr>
            <w:r>
              <w:t>RB change</w:t>
            </w:r>
          </w:p>
        </w:tc>
        <w:tc>
          <w:tcPr>
            <w:tcW w:w="1112" w:type="dxa"/>
            <w:tcBorders>
              <w:top w:val="nil"/>
              <w:left w:val="single" w:color="auto" w:sz="4" w:space="0"/>
              <w:bottom w:val="single" w:color="auto" w:sz="4" w:space="0"/>
              <w:right w:val="single" w:color="auto" w:sz="4" w:space="0"/>
            </w:tcBorders>
          </w:tcPr>
          <w:p>
            <w:pPr>
              <w:pStyle w:val="103"/>
            </w:pPr>
            <w:r>
              <w:t>Change from 1 to 6 RBs</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8.78</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156" w:type="dxa"/>
            <w:tcBorders>
              <w:top w:val="nil"/>
              <w:left w:val="nil"/>
              <w:bottom w:val="single" w:color="auto" w:sz="4" w:space="0"/>
              <w:right w:val="single" w:color="auto" w:sz="4" w:space="0"/>
            </w:tcBorders>
            <w:shd w:val="clear" w:color="auto" w:fill="auto"/>
            <w:vAlign w:val="center"/>
          </w:tcPr>
          <w:p>
            <w:pPr>
              <w:pStyle w:val="105"/>
              <w:rPr>
                <w:rFonts w:eastAsiaTheme="minorEastAsia"/>
              </w:rPr>
            </w:pPr>
            <w:r>
              <w:t>8.78 ± (4.7) Note 2</w:t>
            </w:r>
          </w:p>
        </w:tc>
      </w:tr>
      <w:tr>
        <w:tblPrEx>
          <w:tblCellMar>
            <w:top w:w="0" w:type="dxa"/>
            <w:left w:w="108" w:type="dxa"/>
            <w:bottom w:w="0" w:type="dxa"/>
            <w:right w:w="108" w:type="dxa"/>
          </w:tblCellMar>
        </w:tblPrEx>
        <w:trPr>
          <w:trHeight w:val="240" w:hRule="atLeast"/>
        </w:trPr>
        <w:tc>
          <w:tcPr>
            <w:tcW w:w="1206" w:type="dxa"/>
            <w:tcBorders>
              <w:top w:val="nil"/>
              <w:left w:val="single" w:color="auto" w:sz="4" w:space="0"/>
              <w:bottom w:val="single" w:color="auto" w:sz="4" w:space="0"/>
              <w:right w:val="single" w:color="auto" w:sz="4" w:space="0"/>
            </w:tcBorders>
          </w:tcPr>
          <w:p>
            <w:pPr>
              <w:pStyle w:val="105"/>
            </w:pPr>
            <w:r>
              <w:t>Subframes after RB change</w:t>
            </w:r>
          </w:p>
        </w:tc>
        <w:tc>
          <w:tcPr>
            <w:tcW w:w="1112" w:type="dxa"/>
            <w:tcBorders>
              <w:top w:val="nil"/>
              <w:left w:val="single" w:color="auto" w:sz="4" w:space="0"/>
              <w:bottom w:val="single" w:color="auto" w:sz="4" w:space="0"/>
              <w:right w:val="single" w:color="auto" w:sz="4" w:space="0"/>
            </w:tcBorders>
          </w:tcPr>
          <w:p>
            <w:pPr>
              <w:pStyle w:val="103"/>
            </w:pPr>
            <w:r>
              <w:t>Fixed = 6</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ΔP &lt; 2</w:t>
            </w:r>
          </w:p>
        </w:tc>
        <w:tc>
          <w:tcPr>
            <w:tcW w:w="2156" w:type="dxa"/>
            <w:tcBorders>
              <w:top w:val="nil"/>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trPr>
        <w:tc>
          <w:tcPr>
            <w:tcW w:w="7654"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Position of RB change:</w:t>
            </w:r>
            <w:r>
              <w:br w:type="textWrapping"/>
            </w:r>
            <w:r>
              <w:t>Pattern A the position of RB uplink allocation change is after 10 active uplink subframes</w:t>
            </w:r>
            <w:r>
              <w:br w:type="textWrapping"/>
            </w:r>
            <w:r>
              <w:t>Pattern B the position of RB uplink allocation change is after 20 active uplink subframes</w:t>
            </w:r>
            <w:r>
              <w:br w:type="textWrapping"/>
            </w:r>
            <w:r>
              <w:t>Pattern C the position of RB uplink allocation change is after 30 active uplink subframes</w:t>
            </w:r>
          </w:p>
          <w:p>
            <w:pPr>
              <w:pStyle w:val="118"/>
            </w:pPr>
            <w:r>
              <w:t>Note 2:</w:t>
            </w:r>
            <w:r>
              <w:tab/>
            </w:r>
            <w:r>
              <w:t>When Note 3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6.3A.4.2.5-2: Test Requirements Relative Power Tolerance for Transmission (normal conditions – Note 5) channel bandwidth 1.4MHz (ramping down)</w:t>
      </w:r>
    </w:p>
    <w:tbl>
      <w:tblPr>
        <w:tblStyle w:val="89"/>
        <w:tblW w:w="7512" w:type="dxa"/>
        <w:tblInd w:w="1101" w:type="dxa"/>
        <w:tblLayout w:type="autofit"/>
        <w:tblCellMar>
          <w:top w:w="0" w:type="dxa"/>
          <w:left w:w="108" w:type="dxa"/>
          <w:bottom w:w="0" w:type="dxa"/>
          <w:right w:w="108" w:type="dxa"/>
        </w:tblCellMar>
      </w:tblPr>
      <w:tblGrid>
        <w:gridCol w:w="1206"/>
        <w:gridCol w:w="1112"/>
        <w:gridCol w:w="1107"/>
        <w:gridCol w:w="1017"/>
        <w:gridCol w:w="1056"/>
        <w:gridCol w:w="2014"/>
      </w:tblGrid>
      <w:tr>
        <w:tblPrEx>
          <w:tblCellMar>
            <w:top w:w="0" w:type="dxa"/>
            <w:left w:w="108" w:type="dxa"/>
            <w:bottom w:w="0" w:type="dxa"/>
            <w:right w:w="108" w:type="dxa"/>
          </w:tblCellMar>
        </w:tblPrEx>
        <w:trPr>
          <w:trHeight w:val="240" w:hRule="atLeast"/>
        </w:trPr>
        <w:tc>
          <w:tcPr>
            <w:tcW w:w="1206" w:type="dxa"/>
            <w:tcBorders>
              <w:top w:val="single" w:color="auto" w:sz="4" w:space="0"/>
              <w:left w:val="single" w:color="auto" w:sz="4" w:space="0"/>
              <w:bottom w:val="nil"/>
              <w:right w:val="single" w:color="000000" w:sz="4" w:space="0"/>
            </w:tcBorders>
          </w:tcPr>
          <w:p>
            <w:pPr>
              <w:pStyle w:val="104"/>
            </w:pPr>
            <w:r>
              <w:t>Sub-test (ramp down)</w:t>
            </w:r>
          </w:p>
        </w:tc>
        <w:tc>
          <w:tcPr>
            <w:tcW w:w="1112" w:type="dxa"/>
            <w:tcBorders>
              <w:top w:val="single" w:color="auto" w:sz="4" w:space="0"/>
              <w:left w:val="single" w:color="auto" w:sz="4" w:space="0"/>
              <w:bottom w:val="nil"/>
              <w:right w:val="single" w:color="auto" w:sz="4" w:space="0"/>
            </w:tcBorders>
          </w:tcPr>
          <w:p>
            <w:pPr>
              <w:pStyle w:val="104"/>
            </w:pPr>
            <w:r>
              <w:t>Uplink RB allocation</w:t>
            </w:r>
          </w:p>
        </w:tc>
        <w:tc>
          <w:tcPr>
            <w:tcW w:w="1107"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(down)</w:t>
            </w:r>
          </w:p>
        </w:tc>
        <w:tc>
          <w:tcPr>
            <w:tcW w:w="1056"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(down)</w:t>
            </w:r>
          </w:p>
        </w:tc>
        <w:tc>
          <w:tcPr>
            <w:tcW w:w="2014"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trPr>
        <w:tc>
          <w:tcPr>
            <w:tcW w:w="1206" w:type="dxa"/>
            <w:tcBorders>
              <w:top w:val="nil"/>
              <w:left w:val="single" w:color="auto" w:sz="4" w:space="0"/>
              <w:bottom w:val="single" w:color="auto" w:sz="4" w:space="0"/>
              <w:right w:val="single" w:color="000000" w:sz="4" w:space="0"/>
            </w:tcBorders>
          </w:tcPr>
          <w:p>
            <w:pPr>
              <w:pStyle w:val="103"/>
            </w:pPr>
          </w:p>
        </w:tc>
        <w:tc>
          <w:tcPr>
            <w:tcW w:w="1112" w:type="dxa"/>
            <w:tcBorders>
              <w:top w:val="nil"/>
              <w:left w:val="single" w:color="auto" w:sz="4" w:space="0"/>
              <w:bottom w:val="single" w:color="auto" w:sz="4" w:space="0"/>
              <w:right w:val="single" w:color="auto" w:sz="4" w:space="0"/>
            </w:tcBorders>
          </w:tcPr>
          <w:p>
            <w:pPr>
              <w:pStyle w:val="103"/>
            </w:pPr>
          </w:p>
        </w:tc>
        <w:tc>
          <w:tcPr>
            <w:tcW w:w="1107"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56"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014"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trPr>
        <w:tc>
          <w:tcPr>
            <w:tcW w:w="1206" w:type="dxa"/>
            <w:tcBorders>
              <w:top w:val="single" w:color="auto" w:sz="4" w:space="0"/>
              <w:left w:val="single" w:color="auto" w:sz="4" w:space="0"/>
              <w:bottom w:val="single" w:color="auto" w:sz="4" w:space="0"/>
              <w:right w:val="single" w:color="auto" w:sz="4" w:space="0"/>
            </w:tcBorders>
          </w:tcPr>
          <w:p>
            <w:pPr>
              <w:pStyle w:val="105"/>
            </w:pPr>
            <w:r>
              <w:t>Subframes before RB change</w:t>
            </w:r>
          </w:p>
        </w:tc>
        <w:tc>
          <w:tcPr>
            <w:tcW w:w="1112" w:type="dxa"/>
            <w:tcBorders>
              <w:top w:val="single" w:color="auto" w:sz="4" w:space="0"/>
              <w:left w:val="single" w:color="auto" w:sz="4" w:space="0"/>
              <w:bottom w:val="single" w:color="auto" w:sz="4" w:space="0"/>
              <w:right w:val="single" w:color="auto" w:sz="4" w:space="0"/>
            </w:tcBorders>
          </w:tcPr>
          <w:p>
            <w:pPr>
              <w:pStyle w:val="103"/>
            </w:pPr>
            <w:r>
              <w:t>Fixed = 5</w:t>
            </w:r>
          </w:p>
        </w:tc>
        <w:tc>
          <w:tcPr>
            <w:tcW w:w="1107" w:type="dxa"/>
            <w:tcBorders>
              <w:top w:val="single" w:color="auto" w:sz="4" w:space="0"/>
              <w:left w:val="single" w:color="auto" w:sz="4" w:space="0"/>
              <w:bottom w:val="single" w:color="auto" w:sz="4" w:space="0"/>
              <w:right w:val="single" w:color="auto" w:sz="4" w:space="0"/>
            </w:tcBorders>
          </w:tcPr>
          <w:p>
            <w:pPr>
              <w:pStyle w:val="103"/>
            </w:pPr>
            <w:r>
              <w:t>TPC=-1dB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056"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ΔP &lt; 2</w:t>
            </w:r>
          </w:p>
        </w:tc>
        <w:tc>
          <w:tcPr>
            <w:tcW w:w="2014" w:type="dxa"/>
            <w:tcBorders>
              <w:top w:val="single" w:color="auto" w:sz="4" w:space="0"/>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trPr>
        <w:tc>
          <w:tcPr>
            <w:tcW w:w="1206" w:type="dxa"/>
            <w:tcBorders>
              <w:top w:val="nil"/>
              <w:left w:val="single" w:color="auto" w:sz="4" w:space="0"/>
              <w:bottom w:val="single" w:color="auto" w:sz="4" w:space="0"/>
              <w:right w:val="single" w:color="auto" w:sz="4" w:space="0"/>
            </w:tcBorders>
          </w:tcPr>
          <w:p>
            <w:pPr>
              <w:pStyle w:val="105"/>
            </w:pPr>
            <w:r>
              <w:t>RB change</w:t>
            </w:r>
          </w:p>
        </w:tc>
        <w:tc>
          <w:tcPr>
            <w:tcW w:w="1112" w:type="dxa"/>
            <w:tcBorders>
              <w:top w:val="nil"/>
              <w:left w:val="single" w:color="auto" w:sz="4" w:space="0"/>
              <w:bottom w:val="single" w:color="auto" w:sz="4" w:space="0"/>
              <w:right w:val="single" w:color="auto" w:sz="4" w:space="0"/>
            </w:tcBorders>
          </w:tcPr>
          <w:p>
            <w:pPr>
              <w:pStyle w:val="103"/>
            </w:pPr>
            <w:r>
              <w:t>Change from 5 to 1 RBs</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7.99</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014" w:type="dxa"/>
            <w:tcBorders>
              <w:top w:val="nil"/>
              <w:left w:val="nil"/>
              <w:bottom w:val="single" w:color="auto" w:sz="4" w:space="0"/>
              <w:right w:val="single" w:color="auto" w:sz="4" w:space="0"/>
            </w:tcBorders>
            <w:shd w:val="clear" w:color="auto" w:fill="auto"/>
            <w:vAlign w:val="center"/>
          </w:tcPr>
          <w:p>
            <w:pPr>
              <w:pStyle w:val="105"/>
              <w:rPr>
                <w:rFonts w:eastAsiaTheme="minorEastAsia"/>
              </w:rPr>
            </w:pPr>
            <w:r>
              <w:t>7.99 ± (4.7) Note 2</w:t>
            </w:r>
          </w:p>
        </w:tc>
      </w:tr>
      <w:tr>
        <w:tblPrEx>
          <w:tblCellMar>
            <w:top w:w="0" w:type="dxa"/>
            <w:left w:w="108" w:type="dxa"/>
            <w:bottom w:w="0" w:type="dxa"/>
            <w:right w:w="108" w:type="dxa"/>
          </w:tblCellMar>
        </w:tblPrEx>
        <w:trPr>
          <w:trHeight w:val="240" w:hRule="atLeast"/>
        </w:trPr>
        <w:tc>
          <w:tcPr>
            <w:tcW w:w="1206" w:type="dxa"/>
            <w:tcBorders>
              <w:top w:val="nil"/>
              <w:left w:val="single" w:color="auto" w:sz="4" w:space="0"/>
              <w:bottom w:val="single" w:color="auto" w:sz="4" w:space="0"/>
              <w:right w:val="single" w:color="auto" w:sz="4" w:space="0"/>
            </w:tcBorders>
          </w:tcPr>
          <w:p>
            <w:pPr>
              <w:pStyle w:val="105"/>
            </w:pPr>
            <w:r>
              <w:t>Subframes after RB change</w:t>
            </w:r>
          </w:p>
        </w:tc>
        <w:tc>
          <w:tcPr>
            <w:tcW w:w="1112" w:type="dxa"/>
            <w:tcBorders>
              <w:top w:val="nil"/>
              <w:left w:val="single" w:color="auto" w:sz="4" w:space="0"/>
              <w:bottom w:val="single" w:color="auto" w:sz="4" w:space="0"/>
              <w:right w:val="single" w:color="auto" w:sz="4" w:space="0"/>
            </w:tcBorders>
          </w:tcPr>
          <w:p>
            <w:pPr>
              <w:pStyle w:val="103"/>
            </w:pPr>
            <w:r>
              <w:t>Fixed = 1</w:t>
            </w:r>
          </w:p>
        </w:tc>
        <w:tc>
          <w:tcPr>
            <w:tcW w:w="1107" w:type="dxa"/>
            <w:tcBorders>
              <w:top w:val="nil"/>
              <w:left w:val="single" w:color="auto" w:sz="4" w:space="0"/>
              <w:bottom w:val="single" w:color="auto" w:sz="4" w:space="0"/>
              <w:right w:val="single" w:color="auto" w:sz="4" w:space="0"/>
            </w:tcBorders>
          </w:tcPr>
          <w:p>
            <w:pPr>
              <w:pStyle w:val="103"/>
            </w:pPr>
            <w:r>
              <w:t>TPC=-1dB</w:t>
            </w:r>
          </w:p>
        </w:tc>
        <w:tc>
          <w:tcPr>
            <w:tcW w:w="1017" w:type="dxa"/>
            <w:tcBorders>
              <w:top w:val="nil"/>
              <w:left w:val="single" w:color="auto" w:sz="4" w:space="0"/>
              <w:bottom w:val="single" w:color="auto" w:sz="4" w:space="0"/>
              <w:right w:val="single" w:color="auto" w:sz="4" w:space="0"/>
            </w:tcBorders>
            <w:vAlign w:val="center"/>
          </w:tcPr>
          <w:p>
            <w:pPr>
              <w:pStyle w:val="105"/>
            </w:pPr>
            <w:r>
              <w:t>1</w:t>
            </w:r>
          </w:p>
        </w:tc>
        <w:tc>
          <w:tcPr>
            <w:tcW w:w="1056" w:type="dxa"/>
            <w:tcBorders>
              <w:top w:val="nil"/>
              <w:left w:val="single" w:color="auto" w:sz="4" w:space="0"/>
              <w:bottom w:val="single" w:color="auto" w:sz="4" w:space="0"/>
              <w:right w:val="single" w:color="auto" w:sz="4" w:space="0"/>
            </w:tcBorders>
            <w:shd w:val="clear" w:color="auto" w:fill="auto"/>
            <w:vAlign w:val="center"/>
          </w:tcPr>
          <w:p>
            <w:pPr>
              <w:pStyle w:val="105"/>
            </w:pPr>
            <w:r>
              <w:t>ΔP &lt; 2</w:t>
            </w:r>
          </w:p>
        </w:tc>
        <w:tc>
          <w:tcPr>
            <w:tcW w:w="2014" w:type="dxa"/>
            <w:tcBorders>
              <w:top w:val="nil"/>
              <w:left w:val="nil"/>
              <w:bottom w:val="single" w:color="auto" w:sz="4" w:space="0"/>
              <w:right w:val="single" w:color="auto" w:sz="4" w:space="0"/>
            </w:tcBorders>
            <w:shd w:val="clear" w:color="auto" w:fill="auto"/>
            <w:vAlign w:val="center"/>
          </w:tcPr>
          <w:p>
            <w:pPr>
              <w:pStyle w:val="105"/>
            </w:pPr>
            <w:r>
              <w:rPr>
                <w:rFonts w:cs="Arial"/>
              </w:rPr>
              <w:t>1 ± (1.7</w:t>
            </w:r>
            <w:r>
              <w:t>)</w:t>
            </w:r>
          </w:p>
        </w:tc>
      </w:tr>
      <w:tr>
        <w:tblPrEx>
          <w:tblCellMar>
            <w:top w:w="0" w:type="dxa"/>
            <w:left w:w="108" w:type="dxa"/>
            <w:bottom w:w="0" w:type="dxa"/>
            <w:right w:w="108" w:type="dxa"/>
          </w:tblCellMar>
        </w:tblPrEx>
        <w:trPr>
          <w:trHeight w:val="240" w:hRule="atLeast"/>
        </w:trPr>
        <w:tc>
          <w:tcPr>
            <w:tcW w:w="7512"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Position of RB change:</w:t>
            </w:r>
            <w:r>
              <w:br w:type="textWrapping"/>
            </w:r>
            <w:r>
              <w:t>Pattern A the position of RB uplink allocation change is after 6 active uplink subframes</w:t>
            </w:r>
            <w:r>
              <w:br w:type="textWrapping"/>
            </w:r>
            <w:r>
              <w:t>Pattern B the position of RB uplink allocation change is after 16 active uplink subframes</w:t>
            </w:r>
            <w:r>
              <w:br w:type="textWrapping"/>
            </w:r>
            <w:r>
              <w:t>Pattern C the position of RB uplink allocation change is after 26 active uplink subframes</w:t>
            </w:r>
          </w:p>
          <w:p>
            <w:pPr>
              <w:pStyle w:val="118"/>
            </w:pPr>
            <w:r>
              <w:t>Note 2:</w:t>
            </w:r>
            <w:r>
              <w:tab/>
            </w:r>
            <w:r>
              <w:t>When Note 4 does not apply.</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113"/>
      </w:pPr>
      <w:r>
        <w:t>Table 6.3A.4.2.5-3: Test Requirements Relative Power Tolerance for Transmission</w:t>
      </w:r>
      <w:r>
        <w:br w:type="textWrapping"/>
      </w:r>
      <w:r>
        <w:t>(normal conditions – Note 5) (Alternating pattern)</w:t>
      </w:r>
    </w:p>
    <w:tbl>
      <w:tblPr>
        <w:tblStyle w:val="89"/>
        <w:tblW w:w="7938" w:type="dxa"/>
        <w:tblInd w:w="1101" w:type="dxa"/>
        <w:tblLayout w:type="autofit"/>
        <w:tblCellMar>
          <w:top w:w="0" w:type="dxa"/>
          <w:left w:w="108" w:type="dxa"/>
          <w:bottom w:w="0" w:type="dxa"/>
          <w:right w:w="108" w:type="dxa"/>
        </w:tblCellMar>
      </w:tblPr>
      <w:tblGrid>
        <w:gridCol w:w="1159"/>
        <w:gridCol w:w="1272"/>
        <w:gridCol w:w="1111"/>
        <w:gridCol w:w="1017"/>
        <w:gridCol w:w="1037"/>
        <w:gridCol w:w="2342"/>
      </w:tblGrid>
      <w:tr>
        <w:tblPrEx>
          <w:tblCellMar>
            <w:top w:w="0" w:type="dxa"/>
            <w:left w:w="108" w:type="dxa"/>
            <w:bottom w:w="0" w:type="dxa"/>
            <w:right w:w="108" w:type="dxa"/>
          </w:tblCellMar>
        </w:tblPrEx>
        <w:trPr>
          <w:trHeight w:val="240" w:hRule="atLeast"/>
        </w:trPr>
        <w:tc>
          <w:tcPr>
            <w:tcW w:w="1159" w:type="dxa"/>
            <w:tcBorders>
              <w:top w:val="single" w:color="auto" w:sz="4" w:space="0"/>
              <w:left w:val="single" w:color="auto" w:sz="4" w:space="0"/>
              <w:bottom w:val="nil"/>
              <w:right w:val="single" w:color="000000" w:sz="4" w:space="0"/>
            </w:tcBorders>
          </w:tcPr>
          <w:p>
            <w:pPr>
              <w:pStyle w:val="104"/>
            </w:pPr>
            <w:r>
              <w:t>Sub-test</w:t>
            </w:r>
          </w:p>
        </w:tc>
        <w:tc>
          <w:tcPr>
            <w:tcW w:w="1272" w:type="dxa"/>
            <w:tcBorders>
              <w:top w:val="single" w:color="auto" w:sz="4" w:space="0"/>
              <w:left w:val="single" w:color="auto" w:sz="4" w:space="0"/>
              <w:bottom w:val="nil"/>
              <w:right w:val="single" w:color="auto" w:sz="4" w:space="0"/>
            </w:tcBorders>
          </w:tcPr>
          <w:p>
            <w:pPr>
              <w:pStyle w:val="104"/>
            </w:pPr>
            <w:r>
              <w:t>Uplink RB allocation</w:t>
            </w:r>
          </w:p>
        </w:tc>
        <w:tc>
          <w:tcPr>
            <w:tcW w:w="1111" w:type="dxa"/>
            <w:tcBorders>
              <w:top w:val="single" w:color="auto" w:sz="4" w:space="0"/>
              <w:left w:val="single" w:color="auto" w:sz="4" w:space="0"/>
              <w:bottom w:val="nil"/>
              <w:right w:val="single" w:color="auto" w:sz="4" w:space="0"/>
            </w:tcBorders>
          </w:tcPr>
          <w:p>
            <w:pPr>
              <w:pStyle w:val="104"/>
            </w:pPr>
            <w:r>
              <w:t>TPC command</w:t>
            </w:r>
          </w:p>
        </w:tc>
        <w:tc>
          <w:tcPr>
            <w:tcW w:w="1017" w:type="dxa"/>
            <w:tcBorders>
              <w:top w:val="single" w:color="auto" w:sz="4" w:space="0"/>
              <w:left w:val="single" w:color="auto" w:sz="4" w:space="0"/>
              <w:bottom w:val="nil"/>
              <w:right w:val="single" w:color="auto" w:sz="4" w:space="0"/>
            </w:tcBorders>
            <w:vAlign w:val="center"/>
          </w:tcPr>
          <w:p>
            <w:pPr>
              <w:pStyle w:val="104"/>
            </w:pPr>
            <w:r>
              <w:t>Expected power step size (Up or down)</w:t>
            </w:r>
          </w:p>
        </w:tc>
        <w:tc>
          <w:tcPr>
            <w:tcW w:w="1037" w:type="dxa"/>
            <w:tcBorders>
              <w:top w:val="single" w:color="auto" w:sz="4" w:space="0"/>
              <w:left w:val="single" w:color="auto" w:sz="4" w:space="0"/>
              <w:bottom w:val="nil"/>
              <w:right w:val="single" w:color="000000" w:sz="4" w:space="0"/>
            </w:tcBorders>
            <w:shd w:val="clear" w:color="auto" w:fill="auto"/>
            <w:vAlign w:val="center"/>
          </w:tcPr>
          <w:p>
            <w:pPr>
              <w:pStyle w:val="104"/>
            </w:pPr>
            <w:r>
              <w:t>Power step size range (Up or down)</w:t>
            </w:r>
          </w:p>
        </w:tc>
        <w:tc>
          <w:tcPr>
            <w:tcW w:w="2342" w:type="dxa"/>
            <w:tcBorders>
              <w:top w:val="single" w:color="auto" w:sz="4" w:space="0"/>
              <w:left w:val="nil"/>
              <w:bottom w:val="nil"/>
              <w:right w:val="single" w:color="auto" w:sz="4" w:space="0"/>
            </w:tcBorders>
            <w:shd w:val="clear" w:color="auto" w:fill="auto"/>
            <w:vAlign w:val="center"/>
          </w:tcPr>
          <w:p>
            <w:pPr>
              <w:pStyle w:val="104"/>
            </w:pPr>
            <w:r>
              <w:t>PUSCH</w:t>
            </w:r>
          </w:p>
        </w:tc>
      </w:tr>
      <w:tr>
        <w:tblPrEx>
          <w:tblCellMar>
            <w:top w:w="0" w:type="dxa"/>
            <w:left w:w="108" w:type="dxa"/>
            <w:bottom w:w="0" w:type="dxa"/>
            <w:right w:w="108" w:type="dxa"/>
          </w:tblCellMar>
        </w:tblPrEx>
        <w:trPr>
          <w:trHeight w:val="255" w:hRule="atLeast"/>
        </w:trPr>
        <w:tc>
          <w:tcPr>
            <w:tcW w:w="1159" w:type="dxa"/>
            <w:tcBorders>
              <w:top w:val="nil"/>
              <w:left w:val="single" w:color="auto" w:sz="4" w:space="0"/>
              <w:bottom w:val="single" w:color="auto" w:sz="4" w:space="0"/>
              <w:right w:val="single" w:color="000000" w:sz="4" w:space="0"/>
            </w:tcBorders>
          </w:tcPr>
          <w:p>
            <w:pPr>
              <w:pStyle w:val="103"/>
            </w:pPr>
          </w:p>
        </w:tc>
        <w:tc>
          <w:tcPr>
            <w:tcW w:w="1272" w:type="dxa"/>
            <w:tcBorders>
              <w:top w:val="nil"/>
              <w:left w:val="single" w:color="auto" w:sz="4" w:space="0"/>
              <w:bottom w:val="single" w:color="auto" w:sz="4" w:space="0"/>
              <w:right w:val="single" w:color="auto" w:sz="4" w:space="0"/>
            </w:tcBorders>
          </w:tcPr>
          <w:p>
            <w:pPr>
              <w:pStyle w:val="103"/>
            </w:pPr>
          </w:p>
        </w:tc>
        <w:tc>
          <w:tcPr>
            <w:tcW w:w="1111" w:type="dxa"/>
            <w:tcBorders>
              <w:top w:val="nil"/>
              <w:left w:val="single" w:color="auto" w:sz="4" w:space="0"/>
              <w:bottom w:val="single" w:color="auto" w:sz="4" w:space="0"/>
              <w:right w:val="single" w:color="auto" w:sz="4" w:space="0"/>
            </w:tcBorders>
          </w:tcPr>
          <w:p>
            <w:pPr>
              <w:pStyle w:val="103"/>
            </w:pPr>
          </w:p>
        </w:tc>
        <w:tc>
          <w:tcPr>
            <w:tcW w:w="1017" w:type="dxa"/>
            <w:tcBorders>
              <w:top w:val="nil"/>
              <w:left w:val="single" w:color="auto" w:sz="4" w:space="0"/>
              <w:bottom w:val="single" w:color="auto" w:sz="4" w:space="0"/>
              <w:right w:val="single" w:color="auto" w:sz="4" w:space="0"/>
            </w:tcBorders>
            <w:vAlign w:val="center"/>
          </w:tcPr>
          <w:p>
            <w:pPr>
              <w:pStyle w:val="104"/>
            </w:pPr>
            <w:r>
              <w:t>ΔP [dB]</w:t>
            </w:r>
          </w:p>
        </w:tc>
        <w:tc>
          <w:tcPr>
            <w:tcW w:w="1037" w:type="dxa"/>
            <w:tcBorders>
              <w:top w:val="nil"/>
              <w:left w:val="single" w:color="auto" w:sz="4" w:space="0"/>
              <w:bottom w:val="single" w:color="auto" w:sz="4" w:space="0"/>
              <w:right w:val="single" w:color="000000" w:sz="4" w:space="0"/>
            </w:tcBorders>
            <w:shd w:val="clear" w:color="auto" w:fill="auto"/>
            <w:vAlign w:val="center"/>
          </w:tcPr>
          <w:p>
            <w:pPr>
              <w:pStyle w:val="104"/>
            </w:pPr>
            <w:r>
              <w:t>ΔP [dB]</w:t>
            </w:r>
          </w:p>
        </w:tc>
        <w:tc>
          <w:tcPr>
            <w:tcW w:w="2342" w:type="dxa"/>
            <w:tcBorders>
              <w:top w:val="nil"/>
              <w:left w:val="nil"/>
              <w:bottom w:val="single" w:color="auto" w:sz="4" w:space="0"/>
              <w:right w:val="single" w:color="auto" w:sz="4" w:space="0"/>
            </w:tcBorders>
            <w:shd w:val="clear" w:color="auto" w:fill="auto"/>
            <w:vAlign w:val="center"/>
          </w:tcPr>
          <w:p>
            <w:pPr>
              <w:pStyle w:val="104"/>
            </w:pPr>
            <w:r>
              <w:t>[dB]</w:t>
            </w:r>
          </w:p>
        </w:tc>
      </w:tr>
      <w:tr>
        <w:tblPrEx>
          <w:tblCellMar>
            <w:top w:w="0" w:type="dxa"/>
            <w:left w:w="108" w:type="dxa"/>
            <w:bottom w:w="0" w:type="dxa"/>
            <w:right w:w="108" w:type="dxa"/>
          </w:tblCellMar>
        </w:tblPrEx>
        <w:trPr>
          <w:trHeight w:val="240" w:hRule="atLeast"/>
        </w:trPr>
        <w:tc>
          <w:tcPr>
            <w:tcW w:w="1159" w:type="dxa"/>
            <w:tcBorders>
              <w:top w:val="single" w:color="auto" w:sz="4" w:space="0"/>
              <w:left w:val="single" w:color="auto" w:sz="4" w:space="0"/>
              <w:bottom w:val="single" w:color="auto" w:sz="4" w:space="0"/>
              <w:right w:val="single" w:color="auto" w:sz="4" w:space="0"/>
            </w:tcBorders>
          </w:tcPr>
          <w:p>
            <w:pPr>
              <w:pStyle w:val="105"/>
            </w:pPr>
            <w:r>
              <w:t>1.4 MHz</w:t>
            </w:r>
          </w:p>
        </w:tc>
        <w:tc>
          <w:tcPr>
            <w:tcW w:w="1272" w:type="dxa"/>
            <w:tcBorders>
              <w:top w:val="single" w:color="auto" w:sz="4" w:space="0"/>
              <w:left w:val="single" w:color="auto" w:sz="4" w:space="0"/>
              <w:bottom w:val="single" w:color="auto" w:sz="4" w:space="0"/>
              <w:right w:val="single" w:color="auto" w:sz="4" w:space="0"/>
            </w:tcBorders>
          </w:tcPr>
          <w:p>
            <w:pPr>
              <w:pStyle w:val="105"/>
            </w:pPr>
            <w:r>
              <w:t>Alternating 1 and 6</w:t>
            </w:r>
          </w:p>
        </w:tc>
        <w:tc>
          <w:tcPr>
            <w:tcW w:w="1111" w:type="dxa"/>
            <w:tcBorders>
              <w:top w:val="single" w:color="auto" w:sz="4" w:space="0"/>
              <w:left w:val="single" w:color="auto" w:sz="4" w:space="0"/>
              <w:bottom w:val="single" w:color="auto" w:sz="4" w:space="0"/>
              <w:right w:val="single" w:color="auto" w:sz="4" w:space="0"/>
            </w:tcBorders>
          </w:tcPr>
          <w:p>
            <w:pPr>
              <w:pStyle w:val="105"/>
            </w:pPr>
            <w:r>
              <w:t>TPC=0dB</w:t>
            </w:r>
          </w:p>
        </w:tc>
        <w:tc>
          <w:tcPr>
            <w:tcW w:w="1017" w:type="dxa"/>
            <w:tcBorders>
              <w:top w:val="single" w:color="auto" w:sz="4" w:space="0"/>
              <w:left w:val="single" w:color="auto" w:sz="4" w:space="0"/>
              <w:bottom w:val="single" w:color="auto" w:sz="4" w:space="0"/>
              <w:right w:val="single" w:color="auto" w:sz="4" w:space="0"/>
            </w:tcBorders>
            <w:vAlign w:val="center"/>
          </w:tcPr>
          <w:p>
            <w:pPr>
              <w:pStyle w:val="105"/>
            </w:pPr>
            <w:r>
              <w:t>7.78</w:t>
            </w:r>
          </w:p>
        </w:tc>
        <w:tc>
          <w:tcPr>
            <w:tcW w:w="1037"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 xml:space="preserve">4 </w:t>
            </w:r>
            <w:r>
              <w:rPr>
                <w:rFonts w:cs="Arial"/>
              </w:rPr>
              <w:t>≤</w:t>
            </w:r>
            <w:r>
              <w:t xml:space="preserve"> ΔP &lt; 10</w:t>
            </w:r>
          </w:p>
        </w:tc>
        <w:tc>
          <w:tcPr>
            <w:tcW w:w="2342" w:type="dxa"/>
            <w:tcBorders>
              <w:top w:val="single" w:color="auto" w:sz="4" w:space="0"/>
              <w:left w:val="nil"/>
              <w:bottom w:val="single" w:color="auto" w:sz="4" w:space="0"/>
              <w:right w:val="single" w:color="auto" w:sz="4" w:space="0"/>
            </w:tcBorders>
            <w:shd w:val="clear" w:color="auto" w:fill="auto"/>
            <w:vAlign w:val="center"/>
          </w:tcPr>
          <w:p>
            <w:pPr>
              <w:pStyle w:val="105"/>
            </w:pPr>
            <w:r>
              <w:t>7.78 ± (6.7) Note 1,2</w:t>
            </w:r>
          </w:p>
          <w:p>
            <w:pPr>
              <w:pStyle w:val="105"/>
            </w:pPr>
            <w:r>
              <w:t>7.78 +8.2/-6.7 Note 3</w:t>
            </w:r>
          </w:p>
          <w:p>
            <w:pPr>
              <w:pStyle w:val="105"/>
            </w:pPr>
            <w:r>
              <w:t>7.78 +6.7/-8.2 Note 4</w:t>
            </w:r>
          </w:p>
        </w:tc>
      </w:tr>
      <w:tr>
        <w:tblPrEx>
          <w:tblCellMar>
            <w:top w:w="0" w:type="dxa"/>
            <w:left w:w="108" w:type="dxa"/>
            <w:bottom w:w="0" w:type="dxa"/>
            <w:right w:w="108" w:type="dxa"/>
          </w:tblCellMar>
        </w:tblPrEx>
        <w:trPr>
          <w:trHeight w:val="255" w:hRule="atLeast"/>
        </w:trPr>
        <w:tc>
          <w:tcPr>
            <w:tcW w:w="7938" w:type="dxa"/>
            <w:gridSpan w:val="6"/>
            <w:tcBorders>
              <w:top w:val="single" w:color="auto" w:sz="4" w:space="0"/>
              <w:left w:val="single" w:color="auto" w:sz="4" w:space="0"/>
              <w:bottom w:val="single" w:color="auto" w:sz="4" w:space="0"/>
              <w:right w:val="single" w:color="auto" w:sz="4" w:space="0"/>
            </w:tcBorders>
          </w:tcPr>
          <w:p>
            <w:pPr>
              <w:pStyle w:val="118"/>
            </w:pPr>
            <w:r>
              <w:t>Note 1:</w:t>
            </w:r>
            <w:r>
              <w:tab/>
            </w:r>
            <w:r>
              <w:t>Test tolerance +/- 6.7 dB was selected to allow PA switch possible exceptions to occur.</w:t>
            </w:r>
          </w:p>
          <w:p>
            <w:pPr>
              <w:pStyle w:val="118"/>
            </w:pPr>
            <w:r>
              <w:t>Note 2:</w:t>
            </w:r>
            <w:r>
              <w:tab/>
            </w:r>
            <w:r>
              <w:t>When neither Note 3 nor Note 4 applies.</w:t>
            </w:r>
          </w:p>
          <w:p>
            <w:pPr>
              <w:pStyle w:val="118"/>
            </w:pPr>
            <w:r>
              <w:t>Note 3:</w:t>
            </w:r>
            <w:r>
              <w:tab/>
            </w:r>
            <w:r>
              <w:t>N/A</w:t>
            </w:r>
          </w:p>
          <w:p>
            <w:pPr>
              <w:pStyle w:val="118"/>
            </w:pPr>
            <w:r>
              <w:t>Note 4:</w:t>
            </w:r>
            <w:r>
              <w:tab/>
            </w:r>
            <w:r>
              <w:t>N/A.</w:t>
            </w:r>
          </w:p>
          <w:p>
            <w:pPr>
              <w:pStyle w:val="118"/>
            </w:pPr>
            <w:r>
              <w:t>Note 5:</w:t>
            </w:r>
            <w:r>
              <w:tab/>
            </w:r>
            <w:r>
              <w:t>For extreme conditions an additional ± 2.0 dB relaxation is allowed.</w:t>
            </w:r>
          </w:p>
          <w:p>
            <w:pPr>
              <w:pStyle w:val="118"/>
            </w:pPr>
            <w:r>
              <w:t>Note 6:</w:t>
            </w:r>
            <w:r>
              <w:tab/>
            </w:r>
            <w:r>
              <w:t>The starting resource block shall be RB# 0.</w:t>
            </w:r>
          </w:p>
        </w:tc>
      </w:tr>
    </w:tbl>
    <w:p/>
    <w:p>
      <w:pPr>
        <w:pStyle w:val="6"/>
        <w:rPr>
          <w:lang w:val="en-US"/>
        </w:rPr>
      </w:pPr>
      <w:bookmarkStart w:id="347" w:name="_Toc22898"/>
      <w:bookmarkStart w:id="348" w:name="_Toc14296"/>
      <w:r>
        <w:t>6.3A.</w:t>
      </w:r>
      <w:r>
        <w:rPr>
          <w:rFonts w:hint="eastAsia"/>
        </w:rPr>
        <w:t>4</w:t>
      </w:r>
      <w:r>
        <w:t>.3</w:t>
      </w:r>
      <w:r>
        <w:tab/>
      </w:r>
      <w:r>
        <w:t xml:space="preserve">Aggregate power control tolerance for UE category </w:t>
      </w:r>
      <w:r>
        <w:rPr>
          <w:lang w:eastAsia="zh-TW"/>
        </w:rPr>
        <w:t>M1</w:t>
      </w:r>
      <w:bookmarkEnd w:id="347"/>
      <w:bookmarkEnd w:id="348"/>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6.3A.</w:t>
      </w:r>
      <w:r>
        <w:rPr>
          <w:rFonts w:hint="eastAsia"/>
        </w:rPr>
        <w:t>4</w:t>
      </w:r>
      <w:r>
        <w:t>.3.1</w:t>
      </w:r>
      <w:r>
        <w:tab/>
      </w:r>
      <w:r>
        <w:t>Test purpose</w:t>
      </w:r>
    </w:p>
    <w:p>
      <w:pPr>
        <w:rPr>
          <w:rFonts w:eastAsia="PMingLiU" w:cs="v5.0.0"/>
          <w:snapToGrid w:val="0"/>
          <w:lang w:eastAsia="zh-TW"/>
        </w:rPr>
      </w:pPr>
      <w:bookmarkStart w:id="349" w:name="_Hlk133658767"/>
      <w:r>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349"/>
    </w:p>
    <w:p>
      <w:pPr>
        <w:pStyle w:val="9"/>
      </w:pPr>
      <w:r>
        <w:t>6.3A.</w:t>
      </w:r>
      <w:r>
        <w:rPr>
          <w:rFonts w:hint="eastAsia"/>
        </w:rPr>
        <w:t>4</w:t>
      </w:r>
      <w:r>
        <w:t>.3.2</w:t>
      </w:r>
      <w:r>
        <w:tab/>
      </w:r>
      <w:r>
        <w:t>Test applicability</w:t>
      </w:r>
    </w:p>
    <w:p>
      <w:r>
        <w:t>This test case applies to all types of E-UTRA UE release 17 and forward of UE category M1 that support satellite access operation.</w:t>
      </w:r>
    </w:p>
    <w:p>
      <w:pPr>
        <w:pStyle w:val="9"/>
      </w:pPr>
      <w:r>
        <w:t>6.3A.</w:t>
      </w:r>
      <w:r>
        <w:rPr>
          <w:rFonts w:hint="eastAsia"/>
        </w:rPr>
        <w:t>4</w:t>
      </w:r>
      <w:r>
        <w:t>.3.</w:t>
      </w:r>
      <w:r>
        <w:rPr>
          <w:rFonts w:hint="eastAsia"/>
        </w:rPr>
        <w:t>3</w:t>
      </w:r>
      <w:r>
        <w:tab/>
      </w:r>
      <w:r>
        <w:t>Minimum conformance requirements</w:t>
      </w:r>
    </w:p>
    <w:p>
      <w:pPr>
        <w:rPr>
          <w:rFonts w:cs="v5.0.0"/>
        </w:rPr>
      </w:pPr>
      <w:r>
        <w:rPr>
          <w:rFonts w:cs="v5.0.0"/>
        </w:rPr>
        <w:t>The category M1 FD-FDD UEs shall meet the requirements specified in Table 6.3</w:t>
      </w:r>
      <w:r>
        <w:rPr>
          <w:rFonts w:cs="v5.0.0"/>
          <w:lang w:eastAsia="ja-JP"/>
        </w:rPr>
        <w:t>A</w:t>
      </w:r>
      <w:r>
        <w:rPr>
          <w:rFonts w:cs="v5.0.0"/>
        </w:rPr>
        <w:t>.4.3.</w:t>
      </w:r>
      <w:r>
        <w:rPr>
          <w:rFonts w:cs="v5.0.0"/>
          <w:lang w:eastAsia="ja-JP"/>
        </w:rPr>
        <w:t>3</w:t>
      </w:r>
      <w:r>
        <w:rPr>
          <w:rFonts w:cs="v5.0.0"/>
        </w:rPr>
        <w:t>-</w:t>
      </w:r>
      <w:r>
        <w:rPr>
          <w:rFonts w:cs="v5.0.0"/>
          <w:lang w:eastAsia="ja-JP"/>
        </w:rPr>
        <w:t>1</w:t>
      </w:r>
      <w:r>
        <w:rPr>
          <w:rFonts w:cs="v5.0.0"/>
        </w:rPr>
        <w:t xml:space="preserve"> 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rPr>
          <w:rFonts w:cs="v5.0.0"/>
        </w:rPr>
      </w:pPr>
      <w:r>
        <w:rPr>
          <w:rFonts w:cs="v5.0.0"/>
        </w:rPr>
        <w:t xml:space="preserve">The category M1 </w:t>
      </w:r>
      <w:r>
        <w:rPr>
          <w:rFonts w:cs="v5.0.0"/>
          <w:lang w:eastAsia="ja-JP"/>
        </w:rPr>
        <w:t xml:space="preserve">HD-FDD </w:t>
      </w:r>
      <w:r>
        <w:rPr>
          <w:rFonts w:cs="v5.0.0"/>
        </w:rPr>
        <w:t xml:space="preserve">UEs </w:t>
      </w:r>
      <w:r>
        <w:rPr>
          <w:rFonts w:cs="v5.0.0"/>
          <w:lang w:eastAsia="ja-JP"/>
        </w:rPr>
        <w:t xml:space="preserve">and for </w:t>
      </w:r>
      <w:r>
        <w:rPr>
          <w:rFonts w:cs="v5.0.0"/>
        </w:rPr>
        <w:t xml:space="preserve">continuous uplink transmissions of duration </w:t>
      </w:r>
      <w:r>
        <w:t>≤</w:t>
      </w:r>
      <w:r>
        <w:rPr>
          <w:rFonts w:cs="v5.0.0"/>
        </w:rPr>
        <w:t xml:space="preserve"> 64 ms</w:t>
      </w:r>
      <w:r>
        <w:rPr>
          <w:rFonts w:cs="v5.0.0"/>
          <w:lang w:eastAsia="ja-JP"/>
        </w:rPr>
        <w:t>,</w:t>
      </w:r>
      <w:r>
        <w:rPr>
          <w:rFonts w:cs="v5.0.0"/>
        </w:rPr>
        <w:t xml:space="preserve"> shall meet the requirements specified in Table </w:t>
      </w:r>
      <w:r>
        <w:t>6.3</w:t>
      </w:r>
      <w:r>
        <w:rPr>
          <w:lang w:eastAsia="ja-JP"/>
        </w:rPr>
        <w:t>A</w:t>
      </w:r>
      <w:r>
        <w:t>.4.3.3-1</w:t>
      </w:r>
      <w:r>
        <w:rPr>
          <w:lang w:eastAsia="ja-JP"/>
        </w:rPr>
        <w:t xml:space="preserve"> </w:t>
      </w:r>
      <w:r>
        <w:rPr>
          <w:rFonts w:cs="v5.0.0"/>
        </w:rPr>
        <w:t>for aggregate power control over the power range bounded by the minimum output power as defined in subclause 6.3</w:t>
      </w:r>
      <w:r>
        <w:rPr>
          <w:rFonts w:cs="v5.0.0"/>
          <w:lang w:eastAsia="ja-JP"/>
        </w:rPr>
        <w:t>A.1</w:t>
      </w:r>
      <w:r>
        <w:rPr>
          <w:rFonts w:cs="v5.0.0"/>
        </w:rPr>
        <w:t>, the maximum output power as defined in subclause 6.2</w:t>
      </w:r>
      <w:r>
        <w:rPr>
          <w:rFonts w:cs="v5.0.0"/>
          <w:lang w:eastAsia="ja-JP"/>
        </w:rPr>
        <w:t>A.1</w:t>
      </w:r>
      <w:r>
        <w:rPr>
          <w:rFonts w:cs="v5.0.0"/>
        </w:rPr>
        <w:t xml:space="preserve">, and </w:t>
      </w:r>
      <w:r>
        <w:t>the requirements for configured transmitted power are specified in subclause 6.2</w:t>
      </w:r>
      <w:r>
        <w:rPr>
          <w:lang w:eastAsia="ja-JP"/>
        </w:rPr>
        <w:t>A.4</w:t>
      </w:r>
      <w:r>
        <w:rPr>
          <w:rFonts w:cs="v5.0.0"/>
        </w:rPr>
        <w:t>.</w:t>
      </w:r>
    </w:p>
    <w:p>
      <w:pPr>
        <w:pStyle w:val="113"/>
      </w:pPr>
      <w:r>
        <w:t>Table 6.3A.4.3.3-1: Aggregate power control tolerance</w:t>
      </w:r>
    </w:p>
    <w:tbl>
      <w:tblPr>
        <w:tblStyle w:val="89"/>
        <w:tblW w:w="7204" w:type="dxa"/>
        <w:tblInd w:w="1668" w:type="dxa"/>
        <w:tblLayout w:type="autofit"/>
        <w:tblCellMar>
          <w:top w:w="0" w:type="dxa"/>
          <w:left w:w="108" w:type="dxa"/>
          <w:bottom w:w="0" w:type="dxa"/>
          <w:right w:w="108" w:type="dxa"/>
        </w:tblCellMar>
      </w:tblPr>
      <w:tblGrid>
        <w:gridCol w:w="1557"/>
        <w:gridCol w:w="1703"/>
        <w:gridCol w:w="3944"/>
      </w:tblGrid>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
          <w:p>
            <w:pPr>
              <w:pStyle w:val="104"/>
            </w:pPr>
            <w:r>
              <w:rPr>
                <w:rFonts w:cs="Arial"/>
              </w:rPr>
              <w:t>Aggregate power tolerance within 21 ms</w:t>
            </w:r>
            <w:r>
              <w:rPr>
                <w:rFonts w:cs="Arial"/>
                <w:vertAlign w:val="superscript"/>
              </w:rPr>
              <w:t xml:space="preserve"> 2</w:t>
            </w:r>
          </w:p>
        </w:tc>
      </w:tr>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
          <w:p>
            <w:pPr>
              <w:pStyle w:val="105"/>
            </w:pPr>
            <w:r>
              <w:rPr>
                <w:rFonts w:cs="Tahoma"/>
              </w:rPr>
              <w:t>±2.5 dB</w:t>
            </w:r>
          </w:p>
        </w:tc>
      </w:tr>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
          <w:p>
            <w:pPr>
              <w:pStyle w:val="105"/>
            </w:pPr>
            <w:r>
              <w:rPr>
                <w:rFonts w:cs="Tahoma"/>
              </w:rPr>
              <w:t>±3.5 dB</w:t>
            </w:r>
          </w:p>
        </w:tc>
      </w:tr>
      <w:tr>
        <w:tblPrEx>
          <w:tblCellMar>
            <w:top w:w="0" w:type="dxa"/>
            <w:left w:w="108" w:type="dxa"/>
            <w:bottom w:w="0" w:type="dxa"/>
            <w:right w:w="108" w:type="dxa"/>
          </w:tblCellMar>
        </w:tblPrEx>
        <w:trPr>
          <w:trHeight w:val="302" w:hRule="atLeast"/>
        </w:trPr>
        <w:tc>
          <w:tcPr>
            <w:tcW w:w="7204" w:type="dxa"/>
            <w:gridSpan w:val="3"/>
            <w:tcBorders>
              <w:top w:val="single" w:color="auto" w:sz="4" w:space="0"/>
              <w:left w:val="single" w:color="auto" w:sz="4" w:space="0"/>
              <w:bottom w:val="single" w:color="auto" w:sz="4" w:space="0"/>
              <w:right w:val="single" w:color="auto" w:sz="4" w:space="0"/>
            </w:tcBorders>
          </w:tcPr>
          <w:p>
            <w:pPr>
              <w:pStyle w:val="118"/>
              <w:rPr>
                <w:rFonts w:cs="Arial"/>
              </w:rPr>
            </w:pPr>
            <w:r>
              <w:rPr>
                <w:rFonts w:cs="Arial"/>
              </w:rPr>
              <w:t>NOTE 1:</w:t>
            </w:r>
            <w:r>
              <w:rPr>
                <w:rFonts w:cs="Arial"/>
              </w:rPr>
              <w:tab/>
            </w:r>
            <w:r>
              <w:rPr>
                <w:rFonts w:cs="Arial"/>
              </w:rPr>
              <w:t>The UE transmission gap is 4 ms for full-duplex FDD.</w:t>
            </w:r>
          </w:p>
          <w:p>
            <w:pPr>
              <w:pStyle w:val="118"/>
              <w:ind w:hanging="13"/>
              <w:rPr>
                <w:rFonts w:cs="Arial"/>
              </w:rPr>
            </w:pPr>
            <w:r>
              <w:rPr>
                <w:rFonts w:cs="Arial"/>
              </w:rPr>
              <w:t>For UE of half-duplex FDD, the transmission gap is 9 ms.</w:t>
            </w:r>
          </w:p>
          <w:p>
            <w:pPr>
              <w:pStyle w:val="118"/>
              <w:ind w:hanging="13"/>
              <w:rPr>
                <w:rFonts w:cs="Arial"/>
              </w:rPr>
            </w:pPr>
            <w:r>
              <w:rPr>
                <w:rFonts w:cs="Arial"/>
              </w:rPr>
              <w:t>TPC command is transmitted via MPDCCH 4 subframes preceding each PUCCH/PUSCH transmission.</w:t>
            </w:r>
          </w:p>
          <w:p>
            <w:pPr>
              <w:pStyle w:val="118"/>
            </w:pPr>
            <w:r>
              <w:t>NOTE 2:</w:t>
            </w:r>
            <w:r>
              <w:tab/>
            </w:r>
            <w:r>
              <w:t>For UE of half-duplex FDD, the test interval is 41 ms.</w:t>
            </w:r>
          </w:p>
        </w:tc>
      </w:tr>
    </w:tbl>
    <w:p/>
    <w:p>
      <w:pPr>
        <w:rPr>
          <w:lang w:eastAsia="ja-JP"/>
        </w:rPr>
      </w:pPr>
      <w:r>
        <w:t>The normative reference for this requirement is TS 36.102 [11] clause 6.3A.4.</w:t>
      </w:r>
    </w:p>
    <w:p>
      <w:pPr>
        <w:pStyle w:val="9"/>
      </w:pPr>
      <w:r>
        <w:t>6.3A.4.3.4</w:t>
      </w:r>
      <w:r>
        <w:tab/>
      </w:r>
      <w:r>
        <w:t>Test description</w:t>
      </w:r>
    </w:p>
    <w:p>
      <w:pPr>
        <w:pStyle w:val="9"/>
      </w:pPr>
      <w:r>
        <w:t>6.3A.4.3.4.1</w:t>
      </w:r>
      <w:r>
        <w:tab/>
      </w:r>
      <w:r>
        <w:t>Initial conditions</w:t>
      </w:r>
    </w:p>
    <w:p>
      <w:r>
        <w:t>Initial conditions are a set of test configurations the UE needs to be tested in and the steps for the SS to take with the UE to reach the correct measurement state.</w:t>
      </w:r>
    </w:p>
    <w:p>
      <w:pPr>
        <w:rPr>
          <w:lang w:eastAsia="ja-JP"/>
        </w:rPr>
      </w:pPr>
      <w: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Pr>
          <w:lang w:eastAsia="ja-JP"/>
        </w:rPr>
        <w:t xml:space="preserve"> and table 6.3A.4.3.4.1-2</w:t>
      </w:r>
      <w:r>
        <w:t>. The details of the uplink reference measurement channels (RMCs) are specified in TS 36.521-1[14] Annexes A.2 and A.3.</w:t>
      </w:r>
      <w:r>
        <w:rPr>
          <w:rFonts w:cs="v5.0.0"/>
          <w:lang w:eastAsia="ja-JP"/>
        </w:rPr>
        <w:t xml:space="preserve"> </w:t>
      </w:r>
      <w:r>
        <w:t xml:space="preserve">The details of the OCNG patterns used are specified in </w:t>
      </w:r>
      <w:r>
        <w:rPr>
          <w:rFonts w:cs="v5.0.0"/>
          <w:lang w:eastAsia="ja-JP"/>
        </w:rPr>
        <w:t xml:space="preserve">TS 36.521-1[14] </w:t>
      </w:r>
      <w:r>
        <w:t xml:space="preserve">Annex A.5. </w:t>
      </w:r>
      <w:r>
        <w:rPr>
          <w:rFonts w:cs="v5.0.0"/>
          <w:lang w:eastAsia="ja-JP"/>
        </w:rPr>
        <w:t xml:space="preserve">Configurations of PDSCH and </w:t>
      </w:r>
      <w:r>
        <w:rPr>
          <w:rFonts w:eastAsia="PMingLiU" w:cs="v5.0.0"/>
          <w:lang w:eastAsia="zh-TW"/>
        </w:rPr>
        <w:t>M</w:t>
      </w:r>
      <w:r>
        <w:rPr>
          <w:rFonts w:cs="v5.0.0"/>
          <w:lang w:eastAsia="ja-JP"/>
        </w:rPr>
        <w:t>PDCCH</w:t>
      </w:r>
      <w:r>
        <w:rPr>
          <w:rFonts w:cs="v5.0.0"/>
        </w:rPr>
        <w:t xml:space="preserve"> </w:t>
      </w:r>
      <w:r>
        <w:rPr>
          <w:rFonts w:cs="v5.0.0"/>
          <w:lang w:eastAsia="ja-JP"/>
        </w:rPr>
        <w:t>before measurement are specified in TS 36.521-1[14] Annex C.2.</w:t>
      </w:r>
    </w:p>
    <w:p>
      <w:pPr>
        <w:pStyle w:val="113"/>
      </w:pPr>
      <w:r>
        <w:t>Table 6.3</w:t>
      </w:r>
      <w:r>
        <w:rPr>
          <w:lang w:eastAsia="zh-TW"/>
        </w:rPr>
        <w:t>A</w:t>
      </w:r>
      <w:r>
        <w:t>.4.3.4.1-1: Test Configuration Table</w:t>
      </w:r>
      <w:r>
        <w:rPr>
          <w:lang w:eastAsia="zh-TW"/>
        </w:rPr>
        <w:t xml:space="preserve"> Tx test cases UE Cat-M1</w:t>
      </w:r>
      <w:r>
        <w:t>: PUCCH sub-test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3"/>
        <w:gridCol w:w="2246"/>
        <w:gridCol w:w="639"/>
        <w:gridCol w:w="638"/>
        <w:gridCol w:w="2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5"/>
            </w:pPr>
            <w:r>
              <w:rPr>
                <w:rFonts w:cs="v5.0.0"/>
              </w:rPr>
              <w:t>Test Environment as specified in</w:t>
            </w:r>
          </w:p>
          <w:p>
            <w:pPr>
              <w:pStyle w:val="105"/>
            </w:pPr>
            <w:r>
              <w:t>TS 36.508 [12] subclause 4.1</w:t>
            </w:r>
          </w:p>
        </w:tc>
        <w:tc>
          <w:tcPr>
            <w:tcW w:w="0" w:type="auto"/>
            <w:gridSpan w:val="2"/>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Frequencies as specified in</w:t>
            </w:r>
          </w:p>
          <w:p>
            <w:pPr>
              <w:pStyle w:val="104"/>
              <w:rPr>
                <w:b w:val="0"/>
              </w:rPr>
            </w:pPr>
            <w:r>
              <w:rPr>
                <w:b w:val="0"/>
              </w:rPr>
              <w:t>TS 36.508 [12] subclause 4.3.1</w:t>
            </w:r>
          </w:p>
        </w:tc>
        <w:tc>
          <w:tcPr>
            <w:tcW w:w="0" w:type="auto"/>
            <w:gridSpan w:val="2"/>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3"/>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b w:val="0"/>
              </w:rPr>
            </w:pPr>
            <w:r>
              <w:rPr>
                <w:b w:val="0"/>
              </w:rPr>
              <w:t>TS 36.508 [12] subclause 4.3.1</w:t>
            </w:r>
          </w:p>
        </w:tc>
        <w:tc>
          <w:tcPr>
            <w:tcW w:w="0" w:type="auto"/>
            <w:gridSpan w:val="2"/>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pStyle w:val="104"/>
              <w:rPr>
                <w:rFonts w:eastAsia="PMingLiU"/>
                <w:lang w:eastAsia="zh-TW"/>
              </w:rPr>
            </w:pPr>
            <w:r>
              <w:rPr>
                <w:bCs/>
              </w:rPr>
              <w:t>Test Parameters for Channel Bandwidths</w:t>
            </w:r>
            <w:r>
              <w:rPr>
                <w:bCs/>
                <w:lang w:eastAsia="zh-TW"/>
              </w:rPr>
              <w:t xml:space="preserve">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gridSpan w:val="3"/>
          </w:tcPr>
          <w:p>
            <w:pPr>
              <w:pStyle w:val="104"/>
            </w:pPr>
            <w:r>
              <w:t>Downlink Configuration</w:t>
            </w:r>
          </w:p>
        </w:tc>
        <w:tc>
          <w:tcPr>
            <w:tcW w:w="0" w:type="auto"/>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Pr>
          <w:p>
            <w:pPr>
              <w:pStyle w:val="105"/>
            </w:pPr>
            <w:r>
              <w:rPr>
                <w:rFonts w:cs="v5.0.0"/>
              </w:rPr>
              <w:t>Ch BW</w:t>
            </w:r>
          </w:p>
        </w:tc>
        <w:tc>
          <w:tcPr>
            <w:tcW w:w="0" w:type="auto"/>
          </w:tcPr>
          <w:p>
            <w:pPr>
              <w:pStyle w:val="105"/>
            </w:pPr>
            <w:r>
              <w:rPr>
                <w:rFonts w:cs="v5.0.0"/>
              </w:rPr>
              <w:t>Mod'n</w:t>
            </w:r>
          </w:p>
        </w:tc>
        <w:tc>
          <w:tcPr>
            <w:tcW w:w="0" w:type="auto"/>
            <w:gridSpan w:val="2"/>
          </w:tcPr>
          <w:p>
            <w:pPr>
              <w:pStyle w:val="105"/>
            </w:pPr>
            <w:r>
              <w:rPr>
                <w:rFonts w:cs="v5.0.0"/>
              </w:rPr>
              <w:t>RB allocation</w:t>
            </w:r>
          </w:p>
        </w:tc>
        <w:tc>
          <w:tcPr>
            <w:tcW w:w="0" w:type="auto"/>
            <w:vMerge w:val="restart"/>
          </w:tcPr>
          <w:p>
            <w:pPr>
              <w:pStyle w:val="103"/>
            </w:pPr>
            <w:r>
              <w:t>FDD: PUCCH format = 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105"/>
            </w:pPr>
          </w:p>
        </w:tc>
        <w:tc>
          <w:tcPr>
            <w:tcW w:w="0" w:type="auto"/>
          </w:tcPr>
          <w:p>
            <w:pPr>
              <w:pStyle w:val="105"/>
            </w:pPr>
          </w:p>
        </w:tc>
        <w:tc>
          <w:tcPr>
            <w:tcW w:w="0" w:type="auto"/>
            <w:gridSpan w:val="2"/>
          </w:tcPr>
          <w:p>
            <w:pPr>
              <w:pStyle w:val="105"/>
            </w:pPr>
            <w:r>
              <w:t>FDD</w:t>
            </w:r>
          </w:p>
        </w:tc>
        <w:tc>
          <w:tcPr>
            <w:tcW w:w="0" w:type="auto"/>
            <w:vMerge w:val="continue"/>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8" w:hRule="atLeast"/>
          <w:jc w:val="center"/>
        </w:trPr>
        <w:tc>
          <w:tcPr>
            <w:tcW w:w="0" w:type="auto"/>
          </w:tcPr>
          <w:p>
            <w:pPr>
              <w:pStyle w:val="105"/>
              <w:rPr>
                <w:rFonts w:cs="v5.0.0"/>
              </w:rPr>
            </w:pPr>
            <w:r>
              <w:rPr>
                <w:rFonts w:hint="eastAsia" w:eastAsia="宋体" w:cs="v5.0.0"/>
                <w:lang w:val="en-US" w:eastAsia="zh-CN"/>
              </w:rPr>
              <w:t>1.4</w:t>
            </w:r>
            <w:r>
              <w:rPr>
                <w:rFonts w:cs="v5.0.0"/>
              </w:rPr>
              <w:t>MHz</w:t>
            </w:r>
          </w:p>
        </w:tc>
        <w:tc>
          <w:tcPr>
            <w:tcW w:w="0" w:type="auto"/>
          </w:tcPr>
          <w:p>
            <w:pPr>
              <w:pStyle w:val="105"/>
              <w:rPr>
                <w:rFonts w:cs="v5.0.0"/>
              </w:rPr>
            </w:pPr>
            <w:r>
              <w:rPr>
                <w:rFonts w:cs="v5.0.0"/>
              </w:rPr>
              <w:t>QPSK</w:t>
            </w:r>
          </w:p>
        </w:tc>
        <w:tc>
          <w:tcPr>
            <w:tcW w:w="0" w:type="auto"/>
            <w:gridSpan w:val="2"/>
          </w:tcPr>
          <w:p>
            <w:pPr>
              <w:pStyle w:val="105"/>
              <w:rPr>
                <w:rFonts w:cs="v5.0.0"/>
                <w:lang w:eastAsia="zh-TW"/>
              </w:rPr>
            </w:pPr>
            <w:r>
              <w:rPr>
                <w:rFonts w:cs="v5.0.0"/>
                <w:lang w:eastAsia="zh-TW"/>
              </w:rPr>
              <w:t>4</w:t>
            </w:r>
          </w:p>
        </w:tc>
        <w:tc>
          <w:tcPr>
            <w:tcW w:w="0" w:type="auto"/>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5"/>
          </w:tcPr>
          <w:p>
            <w:pPr>
              <w:keepNext/>
              <w:keepLines/>
              <w:spacing w:after="0"/>
              <w:ind w:left="851" w:hanging="851"/>
              <w:rPr>
                <w:rFonts w:ascii="Arial" w:hAnsi="Arial"/>
                <w:color w:val="000000"/>
                <w:sz w:val="18"/>
                <w:lang w:eastAsia="ja-JP"/>
              </w:rPr>
            </w:pPr>
            <w:r>
              <w:rPr>
                <w:rFonts w:ascii="Arial" w:hAnsi="Arial"/>
                <w:color w:val="000000"/>
                <w:sz w:val="18"/>
                <w:lang w:eastAsia="ja-JP"/>
              </w:rPr>
              <w:t>Note 1:</w:t>
            </w:r>
            <w:r>
              <w:rPr>
                <w:rFonts w:ascii="Arial" w:hAnsi="Arial"/>
                <w:color w:val="000000"/>
                <w:sz w:val="18"/>
                <w:lang w:eastAsia="ja-JP"/>
              </w:rPr>
              <w:tab/>
            </w:r>
            <w:r>
              <w:rPr>
                <w:rFonts w:ascii="Arial" w:hAnsi="Arial"/>
                <w:color w:val="000000"/>
                <w:sz w:val="18"/>
                <w:lang w:eastAsia="ja-JP"/>
              </w:rPr>
              <w:t>Downlink RB position shall be RB</w:t>
            </w:r>
            <w:r>
              <w:rPr>
                <w:rFonts w:ascii="Arial" w:hAnsi="Arial"/>
                <w:color w:val="000000"/>
                <w:sz w:val="18"/>
                <w:vertAlign w:val="subscript"/>
                <w:lang w:eastAsia="ja-JP"/>
              </w:rPr>
              <w:t>start</w:t>
            </w:r>
            <w:r>
              <w:rPr>
                <w:rFonts w:ascii="Arial" w:hAnsi="Arial"/>
                <w:color w:val="000000"/>
                <w:sz w:val="18"/>
                <w:lang w:eastAsia="ja-JP"/>
              </w:rPr>
              <w:t xml:space="preserve"> = 0 within the narrowband</w:t>
            </w:r>
          </w:p>
        </w:tc>
      </w:tr>
    </w:tbl>
    <w:p/>
    <w:p>
      <w:pPr>
        <w:pStyle w:val="113"/>
      </w:pPr>
      <w:r>
        <w:t>Table 6.3</w:t>
      </w:r>
      <w:r>
        <w:rPr>
          <w:lang w:eastAsia="zh-TW"/>
        </w:rPr>
        <w:t>A</w:t>
      </w:r>
      <w:r>
        <w:t>.4.3.4.1-2: Test Configuration Table</w:t>
      </w:r>
      <w:r>
        <w:rPr>
          <w:lang w:eastAsia="zh-TW"/>
        </w:rPr>
        <w:t xml:space="preserve"> Tx test cases UE Cat-M1</w:t>
      </w:r>
      <w:r>
        <w:t>: PUSCH sub-test</w:t>
      </w:r>
    </w:p>
    <w:tbl>
      <w:tblPr>
        <w:tblStyle w:val="89"/>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3495"/>
        <w:gridCol w:w="1165"/>
        <w:gridCol w:w="1165"/>
        <w:gridCol w:w="1165"/>
        <w:gridCol w:w="1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1" w:type="dxa"/>
            <w:gridSpan w:val="6"/>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5"/>
            </w:pPr>
            <w:r>
              <w:rPr>
                <w:rFonts w:cs="v5.0.0"/>
              </w:rPr>
              <w:t>Test Environment as specified in</w:t>
            </w:r>
          </w:p>
          <w:p>
            <w:pPr>
              <w:pStyle w:val="104"/>
              <w:rPr>
                <w:rFonts w:cs="v5.0.0"/>
                <w:b w:val="0"/>
                <w:bCs/>
              </w:rPr>
            </w:pPr>
            <w:r>
              <w:rPr>
                <w:b w:val="0"/>
              </w:rPr>
              <w:t>TS 36.508 [12] subclause 4.1</w:t>
            </w:r>
          </w:p>
        </w:tc>
        <w:tc>
          <w:tcPr>
            <w:tcW w:w="4661" w:type="dxa"/>
            <w:gridSpan w:val="4"/>
          </w:tcPr>
          <w:p>
            <w:pPr>
              <w:pStyle w:val="104"/>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Frequencies 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2"/>
          </w:tcPr>
          <w:p>
            <w:pPr>
              <w:pStyle w:val="104"/>
              <w:rPr>
                <w:b w:val="0"/>
              </w:rPr>
            </w:pPr>
            <w:r>
              <w:rPr>
                <w:rFonts w:cs="v5.0.0"/>
                <w:b w:val="0"/>
                <w:bCs/>
              </w:rPr>
              <w:t>Test Channel Bandwidths</w:t>
            </w:r>
            <w:r>
              <w:rPr>
                <w:rFonts w:cs="v5.0.0"/>
                <w:b w:val="0"/>
              </w:rPr>
              <w:t xml:space="preserve"> </w:t>
            </w:r>
            <w:r>
              <w:rPr>
                <w:rFonts w:cs="v5.0.0"/>
                <w:b w:val="0"/>
                <w:bCs/>
              </w:rPr>
              <w:t>as specified in</w:t>
            </w:r>
          </w:p>
          <w:p>
            <w:pPr>
              <w:pStyle w:val="104"/>
              <w:rPr>
                <w:rFonts w:cs="v5.0.0"/>
                <w:b w:val="0"/>
                <w:bCs/>
              </w:rPr>
            </w:pPr>
            <w:r>
              <w:rPr>
                <w:b w:val="0"/>
              </w:rPr>
              <w:t>TS 36.508 [12] subclause 4.3.1</w:t>
            </w:r>
          </w:p>
        </w:tc>
        <w:tc>
          <w:tcPr>
            <w:tcW w:w="4661" w:type="dxa"/>
            <w:gridSpan w:val="4"/>
          </w:tcPr>
          <w:p>
            <w:pPr>
              <w:pStyle w:val="104"/>
            </w:pPr>
            <w:r>
              <w:rPr>
                <w:rFonts w:cs="v5.0.0"/>
                <w:b w:val="0"/>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1" w:type="dxa"/>
            <w:gridSpan w:val="6"/>
          </w:tcPr>
          <w:p>
            <w:pPr>
              <w:pStyle w:val="104"/>
              <w:rPr>
                <w:rFonts w:eastAsia="PMingLiU"/>
                <w:lang w:eastAsia="zh-TW"/>
              </w:rPr>
            </w:pPr>
            <w:r>
              <w:rPr>
                <w:bCs/>
              </w:rPr>
              <w:t>Test Parameters for Channel Bandwidths</w:t>
            </w:r>
            <w:r>
              <w:rPr>
                <w:bCs/>
                <w:lang w:eastAsia="zh-TW"/>
              </w:rPr>
              <w:t xml:space="preserve"> </w:t>
            </w:r>
            <w:r>
              <w:t>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tcPr>
          <w:p>
            <w:pPr>
              <w:pStyle w:val="104"/>
            </w:pPr>
            <w:r>
              <w:t>Downlink Configuration</w:t>
            </w:r>
          </w:p>
        </w:tc>
        <w:tc>
          <w:tcPr>
            <w:tcW w:w="4661" w:type="dxa"/>
            <w:gridSpan w:val="4"/>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t>Ch BW</w:t>
            </w:r>
          </w:p>
        </w:tc>
        <w:tc>
          <w:tcPr>
            <w:tcW w:w="3495" w:type="dxa"/>
            <w:vMerge w:val="restart"/>
          </w:tcPr>
          <w:p>
            <w:pPr>
              <w:pStyle w:val="105"/>
            </w:pPr>
            <w:r>
              <w:t>N/A for PUSCH sub-test</w:t>
            </w:r>
          </w:p>
        </w:tc>
        <w:tc>
          <w:tcPr>
            <w:tcW w:w="1165" w:type="dxa"/>
          </w:tcPr>
          <w:p>
            <w:pPr>
              <w:pStyle w:val="105"/>
            </w:pPr>
            <w:r>
              <w:t>Mod'n</w:t>
            </w:r>
          </w:p>
        </w:tc>
        <w:tc>
          <w:tcPr>
            <w:tcW w:w="1165" w:type="dxa"/>
          </w:tcPr>
          <w:p>
            <w:pPr>
              <w:pStyle w:val="105"/>
            </w:pPr>
          </w:p>
        </w:tc>
        <w:tc>
          <w:tcPr>
            <w:tcW w:w="2331" w:type="dxa"/>
            <w:gridSpan w:val="2"/>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vMerge w:val="continue"/>
          </w:tcPr>
          <w:p>
            <w:pPr>
              <w:pStyle w:val="105"/>
            </w:pPr>
          </w:p>
        </w:tc>
        <w:tc>
          <w:tcPr>
            <w:tcW w:w="1165" w:type="dxa"/>
          </w:tcPr>
          <w:p>
            <w:pPr>
              <w:pStyle w:val="105"/>
            </w:pPr>
          </w:p>
        </w:tc>
        <w:tc>
          <w:tcPr>
            <w:tcW w:w="3496" w:type="dxa"/>
            <w:gridSpan w:val="3"/>
          </w:tcPr>
          <w:p>
            <w:pPr>
              <w:pStyle w:val="105"/>
            </w:pPr>
            <w:r>
              <w:t>FDD</w:t>
            </w:r>
            <w:r>
              <w:rPr>
                <w:lang w:eastAsia="zh-TW"/>
              </w:rPr>
              <w:t xml:space="preserve">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1" w:type="dxa"/>
            <w:gridSpan w:val="6"/>
          </w:tcPr>
          <w:p>
            <w:pPr>
              <w:pStyle w:val="105"/>
            </w:pPr>
            <w:r>
              <w:rPr>
                <w:b/>
              </w:rPr>
              <w:t>Low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6" w:hRule="atLeast"/>
          <w:jc w:val="center"/>
        </w:trPr>
        <w:tc>
          <w:tcPr>
            <w:tcW w:w="1165" w:type="dxa"/>
          </w:tcPr>
          <w:p>
            <w:pPr>
              <w:pStyle w:val="105"/>
            </w:pPr>
            <w:r>
              <w:t>1.4MHz</w:t>
            </w:r>
          </w:p>
        </w:tc>
        <w:tc>
          <w:tcPr>
            <w:tcW w:w="3495" w:type="dxa"/>
          </w:tcPr>
          <w:p>
            <w:pPr>
              <w:pStyle w:val="105"/>
              <w:rPr>
                <w:rFonts w:cs="v5.0.0"/>
              </w:rPr>
            </w:pPr>
          </w:p>
        </w:tc>
        <w:tc>
          <w:tcPr>
            <w:tcW w:w="1165" w:type="dxa"/>
          </w:tcPr>
          <w:p>
            <w:pPr>
              <w:pStyle w:val="105"/>
            </w:pPr>
            <w:r>
              <w:t>QPSK</w:t>
            </w:r>
          </w:p>
        </w:tc>
        <w:tc>
          <w:tcPr>
            <w:tcW w:w="1165" w:type="dxa"/>
          </w:tcPr>
          <w:p>
            <w:pPr>
              <w:pStyle w:val="105"/>
              <w:rPr>
                <w:lang w:eastAsia="zh-TW"/>
              </w:rPr>
            </w:pPr>
            <w:r>
              <w:rPr>
                <w:lang w:eastAsia="zh-TW"/>
              </w:rPr>
              <w:t>5</w:t>
            </w:r>
          </w:p>
        </w:tc>
        <w:tc>
          <w:tcPr>
            <w:tcW w:w="1165" w:type="dxa"/>
          </w:tcPr>
          <w:p>
            <w:pPr>
              <w:pStyle w:val="105"/>
              <w:rPr>
                <w:lang w:eastAsia="zh-TW"/>
              </w:rPr>
            </w:pPr>
            <w:r>
              <w:rPr>
                <w:lang w:eastAsia="zh-TW"/>
              </w:rPr>
              <w:t>5</w:t>
            </w:r>
          </w:p>
        </w:tc>
        <w:tc>
          <w:tcPr>
            <w:tcW w:w="1166" w:type="dxa"/>
          </w:tcPr>
          <w:p>
            <w:pPr>
              <w:pStyle w:val="105"/>
              <w:rPr>
                <w:lang w:eastAsia="zh-TW"/>
              </w:rPr>
            </w:pPr>
            <w:r>
              <w:rPr>
                <w:lang w:eastAsia="zh-TW"/>
              </w:rPr>
              <w:t>0</w:t>
            </w:r>
          </w:p>
        </w:tc>
      </w:tr>
    </w:tbl>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1.</w:t>
      </w:r>
      <w:r>
        <w:rPr>
          <w:rFonts w:hint="eastAsia" w:eastAsia="Times New Roman"/>
          <w:lang w:eastAsia="en-GB"/>
        </w:rPr>
        <w:tab/>
      </w:r>
      <w:r>
        <w:rPr>
          <w:rFonts w:hint="eastAsia" w:eastAsia="Times New Roman"/>
          <w:lang w:eastAsia="en-GB"/>
        </w:rPr>
        <w:t xml:space="preserve">Connect the SS to the UE antenna connectors as shown in TS 36.508 [12] Annex A Figure A.3 </w:t>
      </w:r>
      <w:r>
        <w:rPr>
          <w:rFonts w:hint="eastAsia"/>
          <w:lang w:eastAsia="en-GB"/>
        </w:rPr>
        <w:t>using only main UE Tx/Rx antenna.</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w:t>
      </w:r>
      <w:r>
        <w:rPr>
          <w:rFonts w:hint="eastAsia" w:eastAsia="Times New Roman"/>
          <w:lang w:eastAsia="en-GB"/>
        </w:rPr>
        <w:tab/>
      </w:r>
      <w:r>
        <w:rPr>
          <w:rFonts w:hint="eastAsia" w:eastAsia="Times New Roman"/>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w:t>
      </w:r>
      <w:r>
        <w:rPr>
          <w:rFonts w:hint="eastAsia" w:eastAsia="Times New Roman"/>
          <w:lang w:eastAsia="en-GB"/>
        </w:rPr>
        <w:tab/>
      </w:r>
      <w:r>
        <w:rPr>
          <w:rFonts w:hint="eastAsia" w:eastAsia="Times New Roman"/>
          <w:lang w:eastAsia="en-GB"/>
        </w:rPr>
        <w:t>Downlink signals are initially set up according to TS 36.521-1[14]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4.</w:t>
      </w:r>
      <w:r>
        <w:rPr>
          <w:rFonts w:hint="eastAsia" w:eastAsia="Times New Roman"/>
          <w:lang w:eastAsia="en-GB"/>
        </w:rPr>
        <w:tab/>
      </w:r>
      <w:r>
        <w:rPr>
          <w:rFonts w:hint="eastAsia"/>
          <w:lang w:eastAsia="en-GB"/>
        </w:rPr>
        <w:t>The UL and DL Reference Measurement channels are set according to Table 6.3A.4.3.4.1-1 (PUCCH sub-test) and Table 6.3A.4.3.4.1-2 (PUSCH sub-test).</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eastAsia="Times New Roman"/>
          <w:lang w:eastAsia="en-GB"/>
        </w:rPr>
        <w:tab/>
      </w:r>
      <w:r>
        <w:rPr>
          <w:rFonts w:hint="eastAsia" w:eastAsia="Times New Roman"/>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eastAsia="Times New Roman"/>
          <w:lang w:eastAsia="en-GB"/>
        </w:rPr>
        <w:tab/>
      </w:r>
      <w:r>
        <w:rPr>
          <w:rFonts w:hint="eastAsia" w:eastAsia="Times New Roman"/>
          <w:lang w:eastAsia="en-GB"/>
        </w:rPr>
        <w:t xml:space="preserve">Ensure the UE is in State 3A-RF-CE according to TS 36.508 [12] clause 5.2A.2AA. Message contents are defined in clause 6.3A.4.1.4.3. </w:t>
      </w:r>
    </w:p>
    <w:p>
      <w:pPr>
        <w:pStyle w:val="9"/>
      </w:pPr>
      <w:r>
        <w:t>6.3A.4.3.4.2</w:t>
      </w:r>
      <w:r>
        <w:tab/>
      </w:r>
      <w:r>
        <w:t>Test procedure</w:t>
      </w:r>
    </w:p>
    <w:p>
      <w:pPr>
        <w:rPr>
          <w:rFonts w:eastAsia="PMingLiU"/>
          <w:lang w:eastAsia="zh-TW"/>
        </w:rPr>
      </w:pPr>
      <w:r>
        <w:t>The procedure is separated in various subtests to verify different aspects of relative power control. The power patterns of the subtests are described in figure 6.3A.4.3.4.2-1.</w:t>
      </w:r>
    </w:p>
    <w:p>
      <w:pPr>
        <w:pStyle w:val="113"/>
      </w:pPr>
      <w:r>
        <w:drawing>
          <wp:inline distT="0" distB="0" distL="0" distR="0">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pPr>
        <w:pStyle w:val="113"/>
      </w:pPr>
      <w:r>
        <w:t>Figure 6.3.</w:t>
      </w:r>
      <w:r>
        <w:rPr>
          <w:lang w:eastAsia="zh-TW"/>
        </w:rPr>
        <w:t>A</w:t>
      </w:r>
      <w:r>
        <w:t>.4.3.4.2-1: Test uplink transmission</w:t>
      </w:r>
    </w:p>
    <w:p>
      <w:pPr>
        <w:pStyle w:val="111"/>
        <w:overflowPunct w:val="0"/>
        <w:autoSpaceDE w:val="0"/>
        <w:autoSpaceDN w:val="0"/>
        <w:adjustRightInd w:val="0"/>
        <w:contextualSpacing w:val="0"/>
        <w:textAlignment w:val="baseline"/>
        <w:rPr>
          <w:rFonts w:hint="eastAsia"/>
          <w:lang w:eastAsia="en-GB"/>
        </w:rPr>
      </w:pPr>
      <w:bookmarkStart w:id="350" w:name="_Hlk133660394"/>
      <w:r>
        <w:rPr>
          <w:rFonts w:hint="eastAsia"/>
          <w:lang w:eastAsia="en-GB"/>
        </w:rPr>
        <w:t>1.</w:t>
      </w:r>
      <w:r>
        <w:rPr>
          <w:rFonts w:hint="eastAsia"/>
          <w:lang w:eastAsia="en-GB"/>
        </w:rPr>
        <w:tab/>
      </w:r>
      <w:r>
        <w:rPr>
          <w:rFonts w:hint="eastAsia"/>
          <w:lang w:eastAsia="en-GB"/>
        </w:rPr>
        <w:t>PUCCH sub test:</w:t>
      </w:r>
    </w:p>
    <w:bookmarkEnd w:id="350"/>
    <w:p>
      <w:pPr>
        <w:pStyle w:val="111"/>
        <w:overflowPunct w:val="0"/>
        <w:autoSpaceDE w:val="0"/>
        <w:autoSpaceDN w:val="0"/>
        <w:adjustRightInd w:val="0"/>
        <w:contextualSpacing w:val="0"/>
        <w:textAlignment w:val="baseline"/>
        <w:rPr>
          <w:rFonts w:hint="eastAsia"/>
          <w:lang w:eastAsia="en-GB"/>
        </w:rPr>
      </w:pPr>
      <w:r>
        <w:rPr>
          <w:rFonts w:hint="eastAsia"/>
          <w:lang w:eastAsia="en-GB"/>
        </w:rPr>
        <w:t>1.1</w:t>
      </w:r>
      <w:r>
        <w:rPr>
          <w:rFonts w:hint="eastAsia"/>
          <w:lang w:eastAsia="en-GB"/>
        </w:rPr>
        <w:tab/>
      </w:r>
      <w:r>
        <w:rPr>
          <w:rFonts w:hint="eastAsia"/>
          <w:lang w:eastAsia="en-GB"/>
        </w:rPr>
        <w:t>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ms after subframe #7. The downlink transmission is scheduled in the appropriate sub-frames to make the UE transmit PUCCH as described in figure 6.3A.4.3.4.2-1.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1.3. Measure the power of 5 consecutive PUCCH transmissions to verify the UE transmitted PUCCH power is maintained within 21 ms for FDD and within 41 ms for HD-FDD. The transient periods of 20us are excluded from the power measurement.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PUSCH sub test: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2.1.</w:t>
      </w:r>
      <w:r>
        <w:rPr>
          <w:rFonts w:hint="eastAsia"/>
          <w:lang w:eastAsia="en-GB"/>
        </w:rPr>
        <w:tab/>
      </w:r>
      <w:r>
        <w:rPr>
          <w:rFonts w:hint="eastAsia"/>
          <w:lang w:eastAsia="en-GB"/>
        </w:rPr>
        <w:t>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f ≤ 3.0GHz or at 0dBm +/- 3.5 dB 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ms after subframe #6. The uplink transmission patterns are described in figure 6.3A.4.3.4.2-1.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2.3. Measure the power of 5 consecutive PUSCH transmissions to verify the UE transmitted PUSCH power is maintained within 21 ms for FDD and within 41 ms for HD-FDD. The transient periods of 20us are excluded from the power measurement.</w:t>
      </w:r>
    </w:p>
    <w:p>
      <w:pPr>
        <w:pStyle w:val="9"/>
      </w:pPr>
      <w:r>
        <w:t>6.3A.4.3.4.3</w:t>
      </w:r>
      <w:r>
        <w:tab/>
      </w:r>
      <w:r>
        <w:t>Message contents</w:t>
      </w:r>
    </w:p>
    <w:p>
      <w:pPr>
        <w:rPr>
          <w:lang w:eastAsia="ja-JP"/>
        </w:rPr>
      </w:pPr>
      <w:r>
        <w:t>Message contents are according to TS 36.508 [12] subclause 4.6</w:t>
      </w:r>
      <w:r>
        <w:rPr>
          <w:lang w:eastAsia="ja-JP"/>
        </w:rPr>
        <w:t>.</w:t>
      </w:r>
    </w:p>
    <w:p>
      <w:pPr>
        <w:pStyle w:val="9"/>
      </w:pPr>
      <w:r>
        <w:t>6.3A.4.3.5</w:t>
      </w:r>
      <w:r>
        <w:tab/>
      </w:r>
      <w:r>
        <w:t>Test requirement</w:t>
      </w:r>
    </w:p>
    <w:p>
      <w:r>
        <w:t xml:space="preserve">The requirement for the power measurements made in step (1.3) and (2.3) of the test procedure shall not </w:t>
      </w:r>
      <w:r>
        <w:rPr>
          <w:rFonts w:eastAsia="香~??’c‘I"/>
        </w:rPr>
        <w:t>exceed</w:t>
      </w:r>
      <w:r>
        <w:t xml:space="preserve"> the values specified in Table 6.3</w:t>
      </w:r>
      <w:r>
        <w:rPr>
          <w:lang w:eastAsia="zh-TW"/>
        </w:rPr>
        <w:t>A</w:t>
      </w:r>
      <w:r>
        <w:t>.4.3.5-1. The power measurement period shall be 1 sub-frame excluding transient periods.</w:t>
      </w:r>
    </w:p>
    <w:p>
      <w:pPr>
        <w:pStyle w:val="113"/>
      </w:pPr>
      <w:r>
        <w:t>Table 6.3</w:t>
      </w:r>
      <w:r>
        <w:rPr>
          <w:lang w:eastAsia="zh-TW"/>
        </w:rPr>
        <w:t>A</w:t>
      </w:r>
      <w:r>
        <w:t>.4.3.5-1: Power control tolerance</w:t>
      </w:r>
    </w:p>
    <w:tbl>
      <w:tblPr>
        <w:tblStyle w:val="89"/>
        <w:tblW w:w="7204" w:type="dxa"/>
        <w:tblInd w:w="1668" w:type="dxa"/>
        <w:tblLayout w:type="autofit"/>
        <w:tblCellMar>
          <w:top w:w="0" w:type="dxa"/>
          <w:left w:w="108" w:type="dxa"/>
          <w:bottom w:w="0" w:type="dxa"/>
          <w:right w:w="108" w:type="dxa"/>
        </w:tblCellMar>
      </w:tblPr>
      <w:tblGrid>
        <w:gridCol w:w="1557"/>
        <w:gridCol w:w="1703"/>
        <w:gridCol w:w="3944"/>
      </w:tblGrid>
      <w:tr>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4"/>
            </w:pPr>
            <w:r>
              <w:rPr>
                <w:rFonts w:cs="Tahoma"/>
              </w:rPr>
              <w:t>TPC command</w:t>
            </w:r>
          </w:p>
        </w:tc>
        <w:tc>
          <w:tcPr>
            <w:tcW w:w="1703" w:type="dxa"/>
            <w:tcBorders>
              <w:top w:val="single" w:color="auto" w:sz="4" w:space="0"/>
              <w:left w:val="single" w:color="auto" w:sz="4" w:space="0"/>
              <w:bottom w:val="single" w:color="auto" w:sz="4" w:space="0"/>
              <w:right w:val="single" w:color="auto" w:sz="4" w:space="0"/>
            </w:tcBorders>
          </w:tcPr>
          <w:p>
            <w:pPr>
              <w:pStyle w:val="104"/>
            </w:pPr>
            <w:r>
              <w:rPr>
                <w:rFonts w:cs="Tahoma"/>
              </w:rPr>
              <w:t>UL channel</w:t>
            </w:r>
          </w:p>
        </w:tc>
        <w:tc>
          <w:tcPr>
            <w:tcW w:w="3944" w:type="dxa"/>
            <w:tcBorders>
              <w:top w:val="single" w:color="auto" w:sz="4" w:space="0"/>
              <w:left w:val="single" w:color="auto" w:sz="4" w:space="0"/>
              <w:bottom w:val="single" w:color="auto" w:sz="4" w:space="0"/>
              <w:right w:val="single" w:color="auto" w:sz="4" w:space="0"/>
            </w:tcBorders>
          </w:tcPr>
          <w:p>
            <w:pPr>
              <w:pStyle w:val="104"/>
            </w:pPr>
            <w:r>
              <w:rPr>
                <w:rFonts w:cs="Tahoma"/>
              </w:rPr>
              <w:t>Test requirement measured power within 21m</w:t>
            </w:r>
            <w:r>
              <w:rPr>
                <w:rFonts w:cs="Arial"/>
                <w:vertAlign w:val="superscript"/>
              </w:rPr>
              <w:t xml:space="preserve"> 2</w:t>
            </w:r>
          </w:p>
        </w:tc>
      </w:tr>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PUCCH</w:t>
            </w:r>
          </w:p>
        </w:tc>
        <w:tc>
          <w:tcPr>
            <w:tcW w:w="3944" w:type="dxa"/>
            <w:tcBorders>
              <w:top w:val="single" w:color="auto" w:sz="4" w:space="0"/>
              <w:left w:val="single" w:color="auto" w:sz="4" w:space="0"/>
              <w:bottom w:val="single" w:color="auto" w:sz="4" w:space="0"/>
              <w:right w:val="single" w:color="auto" w:sz="4" w:space="0"/>
            </w:tcBorders>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 </w:t>
            </w:r>
            <w:r>
              <w:rPr>
                <w:rFonts w:cs="Tahoma"/>
              </w:rPr>
              <w:t>± 3.2 dB</w:t>
            </w:r>
            <w:r>
              <w:t xml:space="preserve"> of the 1</w:t>
            </w:r>
            <w:r>
              <w:rPr>
                <w:vertAlign w:val="superscript"/>
              </w:rPr>
              <w:t>st</w:t>
            </w:r>
            <w:r>
              <w:t xml:space="preserve"> measurement.</w:t>
            </w:r>
          </w:p>
        </w:tc>
      </w:tr>
      <w:tr>
        <w:tblPrEx>
          <w:tblCellMar>
            <w:top w:w="0" w:type="dxa"/>
            <w:left w:w="108" w:type="dxa"/>
            <w:bottom w:w="0" w:type="dxa"/>
            <w:right w:w="108" w:type="dxa"/>
          </w:tblCellMar>
        </w:tblPrEx>
        <w:trPr>
          <w:trHeight w:val="302" w:hRule="atLeast"/>
        </w:trPr>
        <w:tc>
          <w:tcPr>
            <w:tcW w:w="1557" w:type="dxa"/>
            <w:tcBorders>
              <w:top w:val="single" w:color="auto" w:sz="4" w:space="0"/>
              <w:left w:val="single" w:color="auto" w:sz="4" w:space="0"/>
              <w:bottom w:val="single" w:color="auto" w:sz="4" w:space="0"/>
              <w:right w:val="single" w:color="auto" w:sz="4" w:space="0"/>
            </w:tcBorders>
          </w:tcPr>
          <w:p>
            <w:pPr>
              <w:pStyle w:val="105"/>
            </w:pPr>
            <w:r>
              <w:rPr>
                <w:rFonts w:cs="Tahoma"/>
              </w:rPr>
              <w:t>0 dB</w:t>
            </w:r>
          </w:p>
        </w:tc>
        <w:tc>
          <w:tcPr>
            <w:tcW w:w="1703" w:type="dxa"/>
            <w:tcBorders>
              <w:top w:val="single" w:color="auto" w:sz="4" w:space="0"/>
              <w:left w:val="single" w:color="auto" w:sz="4" w:space="0"/>
              <w:bottom w:val="single" w:color="auto" w:sz="4" w:space="0"/>
              <w:right w:val="single" w:color="auto" w:sz="4" w:space="0"/>
            </w:tcBorders>
          </w:tcPr>
          <w:p>
            <w:pPr>
              <w:pStyle w:val="105"/>
            </w:pPr>
            <w:r>
              <w:rPr>
                <w:rFonts w:cs="Tahoma"/>
              </w:rPr>
              <w:t>PUSCH</w:t>
            </w:r>
          </w:p>
        </w:tc>
        <w:tc>
          <w:tcPr>
            <w:tcW w:w="3944" w:type="dxa"/>
            <w:tcBorders>
              <w:top w:val="single" w:color="auto" w:sz="4" w:space="0"/>
              <w:left w:val="single" w:color="auto" w:sz="4" w:space="0"/>
              <w:bottom w:val="single" w:color="auto" w:sz="4" w:space="0"/>
              <w:right w:val="single" w:color="auto" w:sz="4" w:space="0"/>
            </w:tcBorders>
          </w:tcPr>
          <w:p>
            <w:pPr>
              <w:pStyle w:val="105"/>
            </w:pPr>
            <w:r>
              <w:t>Given 5 power measurements in the pattern, the 2</w:t>
            </w:r>
            <w:r>
              <w:rPr>
                <w:vertAlign w:val="superscript"/>
              </w:rPr>
              <w:t>nd</w:t>
            </w:r>
            <w:r>
              <w:t>, 3</w:t>
            </w:r>
            <w:r>
              <w:rPr>
                <w:vertAlign w:val="superscript"/>
              </w:rPr>
              <w:t>rd</w:t>
            </w:r>
            <w:r>
              <w:t>, 4</w:t>
            </w:r>
            <w:r>
              <w:rPr>
                <w:vertAlign w:val="superscript"/>
              </w:rPr>
              <w:t>th</w:t>
            </w:r>
            <w:r>
              <w:t>, and 5</w:t>
            </w:r>
            <w:r>
              <w:rPr>
                <w:vertAlign w:val="superscript"/>
              </w:rPr>
              <w:t>th</w:t>
            </w:r>
            <w:r>
              <w:t xml:space="preserve"> measurements shall be within</w:t>
            </w:r>
            <w:r>
              <w:rPr>
                <w:rFonts w:cs="Tahoma"/>
              </w:rPr>
              <w:t xml:space="preserve"> ± 4.2 dB</w:t>
            </w:r>
            <w:r>
              <w:t xml:space="preserve"> of the 1</w:t>
            </w:r>
            <w:r>
              <w:rPr>
                <w:vertAlign w:val="superscript"/>
              </w:rPr>
              <w:t>st</w:t>
            </w:r>
            <w:r>
              <w:t xml:space="preserve"> measurement.</w:t>
            </w:r>
          </w:p>
        </w:tc>
      </w:tr>
      <w:tr>
        <w:tblPrEx>
          <w:tblCellMar>
            <w:top w:w="0" w:type="dxa"/>
            <w:left w:w="108" w:type="dxa"/>
            <w:bottom w:w="0" w:type="dxa"/>
            <w:right w:w="108" w:type="dxa"/>
          </w:tblCellMar>
        </w:tblPrEx>
        <w:trPr>
          <w:trHeight w:val="302" w:hRule="atLeast"/>
        </w:trPr>
        <w:tc>
          <w:tcPr>
            <w:tcW w:w="7204" w:type="dxa"/>
            <w:gridSpan w:val="3"/>
            <w:tcBorders>
              <w:top w:val="single" w:color="auto" w:sz="4" w:space="0"/>
              <w:left w:val="single" w:color="auto" w:sz="4" w:space="0"/>
              <w:bottom w:val="single" w:color="auto" w:sz="4" w:space="0"/>
              <w:right w:val="single" w:color="auto" w:sz="4" w:space="0"/>
            </w:tcBorders>
          </w:tcPr>
          <w:p>
            <w:pPr>
              <w:pStyle w:val="118"/>
              <w:rPr>
                <w:rFonts w:cs="Arial"/>
              </w:rPr>
            </w:pPr>
            <w:r>
              <w:rPr>
                <w:rFonts w:cs="Tahoma"/>
                <w:szCs w:val="16"/>
              </w:rPr>
              <w:t>Note 1:</w:t>
            </w:r>
            <w:r>
              <w:rPr>
                <w:rFonts w:cs="Tahoma"/>
                <w:szCs w:val="16"/>
              </w:rPr>
              <w:tab/>
            </w:r>
            <w:r>
              <w:rPr>
                <w:rFonts w:cs="Tahoma"/>
                <w:szCs w:val="16"/>
              </w:rPr>
              <w:t xml:space="preserve">The UE transmission gap is 4 ms </w:t>
            </w:r>
            <w:r>
              <w:rPr>
                <w:rFonts w:cs="Arial"/>
              </w:rPr>
              <w:t>for full-duplex FDD.</w:t>
            </w:r>
          </w:p>
          <w:p>
            <w:pPr>
              <w:pStyle w:val="118"/>
              <w:ind w:firstLine="1"/>
              <w:rPr>
                <w:rFonts w:cs="Tahoma"/>
                <w:szCs w:val="16"/>
              </w:rPr>
            </w:pPr>
            <w:r>
              <w:rPr>
                <w:rFonts w:cs="Arial"/>
              </w:rPr>
              <w:t>For UE of half-duplex FDD, the transmission gap is 9 ms</w:t>
            </w:r>
            <w:r>
              <w:rPr>
                <w:rFonts w:cs="Tahoma"/>
                <w:szCs w:val="16"/>
              </w:rPr>
              <w:t xml:space="preserve"> TPC command is transmitted via PDCCH 4 subframes preceding each PUCCH/PUSCH transmission.</w:t>
            </w:r>
          </w:p>
          <w:p>
            <w:pPr>
              <w:pStyle w:val="118"/>
            </w:pPr>
            <w:r>
              <w:rPr>
                <w:rFonts w:cs="Arial"/>
              </w:rPr>
              <w:t>Note 2:</w:t>
            </w:r>
            <w:r>
              <w:rPr>
                <w:rFonts w:cs="Tahoma"/>
                <w:szCs w:val="16"/>
              </w:rPr>
              <w:tab/>
            </w:r>
            <w:r>
              <w:t>For UE of half-duplex FDD MHz, the test interval is 41 ms.</w:t>
            </w:r>
          </w:p>
        </w:tc>
      </w:tr>
    </w:tbl>
    <w:p/>
    <w:p>
      <w:pPr>
        <w:pStyle w:val="4"/>
        <w:rPr>
          <w:rFonts w:cs="v5.0.0"/>
        </w:rPr>
      </w:pPr>
      <w:bookmarkStart w:id="351" w:name="_Toc7707"/>
      <w:bookmarkStart w:id="352" w:name="_Toc20379"/>
      <w:r>
        <w:rPr>
          <w:rFonts w:cs="v5.0.0"/>
        </w:rPr>
        <w:t>6.3B</w:t>
      </w:r>
      <w:r>
        <w:rPr>
          <w:rFonts w:cs="v5.0.0"/>
        </w:rPr>
        <w:tab/>
      </w:r>
      <w:r>
        <w:rPr>
          <w:rFonts w:cs="v5.0.0"/>
        </w:rPr>
        <w:t>Output power dynamics for category NB1 and NB2</w:t>
      </w:r>
      <w:bookmarkEnd w:id="342"/>
      <w:bookmarkEnd w:id="343"/>
      <w:bookmarkEnd w:id="344"/>
      <w:bookmarkEnd w:id="351"/>
      <w:bookmarkEnd w:id="352"/>
    </w:p>
    <w:p>
      <w:pPr>
        <w:pStyle w:val="5"/>
      </w:pPr>
      <w:bookmarkStart w:id="353" w:name="_Toc121162833"/>
      <w:bookmarkStart w:id="354" w:name="_Toc120570041"/>
      <w:bookmarkStart w:id="355" w:name="_Toc1407"/>
      <w:bookmarkStart w:id="356" w:name="_Toc30505"/>
      <w:bookmarkStart w:id="357" w:name="_Toc4642"/>
      <w:r>
        <w:t>6.3B.1</w:t>
      </w:r>
      <w:r>
        <w:tab/>
      </w:r>
      <w:r>
        <w:t>UE Minimum output power for category NB1 and NB2</w:t>
      </w:r>
      <w:bookmarkEnd w:id="323"/>
      <w:bookmarkEnd w:id="353"/>
      <w:bookmarkEnd w:id="354"/>
      <w:bookmarkEnd w:id="355"/>
      <w:bookmarkEnd w:id="356"/>
      <w:bookmarkEnd w:id="357"/>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6.3B.1.1</w:t>
      </w:r>
      <w:r>
        <w:tab/>
      </w:r>
      <w:r>
        <w:t>Test purpose</w:t>
      </w:r>
    </w:p>
    <w:p>
      <w:r>
        <w:rPr>
          <w:rFonts w:cs="v5.0.0"/>
        </w:rPr>
        <w:t>To verify the UE's ability to transmit with a broadband output power</w:t>
      </w:r>
      <w:r>
        <w:t xml:space="preserve"> </w:t>
      </w:r>
      <w:r>
        <w:rPr>
          <w:rFonts w:cs="v5.0.0"/>
        </w:rPr>
        <w:t xml:space="preserve">below </w:t>
      </w:r>
      <w:r>
        <w:t>the value specified in the test requirement</w:t>
      </w:r>
      <w:r>
        <w:rPr>
          <w:rFonts w:cs="v5.0.0"/>
        </w:rPr>
        <w:t xml:space="preserve"> when the power is set to a minimum value.</w:t>
      </w:r>
    </w:p>
    <w:p>
      <w:pPr>
        <w:pStyle w:val="9"/>
      </w:pPr>
      <w:r>
        <w:t>6.3B.1.2</w:t>
      </w:r>
      <w:r>
        <w:tab/>
      </w:r>
      <w:r>
        <w:t>Test applicability</w:t>
      </w:r>
    </w:p>
    <w:p>
      <w:r>
        <w:t>This test case applies to all types of E-UTRA UE release 17 and forward of UE category NB11 and NB2 that support satellite access operation.</w:t>
      </w:r>
    </w:p>
    <w:p>
      <w:pPr>
        <w:pStyle w:val="9"/>
      </w:pPr>
      <w:r>
        <w:t>6.3B.1.3</w:t>
      </w:r>
      <w:r>
        <w:tab/>
      </w:r>
      <w:r>
        <w:t>Minimum conformance requirements</w:t>
      </w:r>
    </w:p>
    <w:p>
      <w:r>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6.3B.1.</w:t>
      </w:r>
    </w:p>
    <w:p>
      <w:pPr>
        <w:pStyle w:val="9"/>
      </w:pPr>
      <w:r>
        <w:t>6.3B.1.4</w:t>
      </w:r>
      <w:r>
        <w:tab/>
      </w:r>
      <w:r>
        <w:t>Test description</w:t>
      </w:r>
    </w:p>
    <w:p>
      <w:pPr>
        <w:pStyle w:val="9"/>
      </w:pPr>
      <w:r>
        <w:t>6.3B.1.4.1</w:t>
      </w:r>
      <w:r>
        <w:tab/>
      </w:r>
      <w:r>
        <w:t>Initial conditions</w:t>
      </w:r>
    </w:p>
    <w:p>
      <w:pPr>
        <w:rPr>
          <w:rFonts w:eastAsiaTheme="minorEastAsia"/>
        </w:rPr>
      </w:pPr>
      <w:r>
        <w:rPr>
          <w:rFonts w:eastAsiaTheme="minorEastAsia"/>
        </w:rP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in clause 5.2B. All of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pPr>
        <w:pStyle w:val="113"/>
        <w:rPr>
          <w:lang w:eastAsia="ko-KR"/>
        </w:rPr>
      </w:pPr>
      <w:r>
        <w:t xml:space="preserve">Table 6.3B.1.4.1-1: Test Configuration Table </w:t>
      </w:r>
    </w:p>
    <w:tbl>
      <w:tblPr>
        <w:tblStyle w:val="89"/>
        <w:tblW w:w="9154" w:type="dxa"/>
        <w:jc w:val="center"/>
        <w:shd w:val="clear" w:color="auto" w:fill="FFFFFF"/>
        <w:tblLayout w:type="autofit"/>
        <w:tblCellMar>
          <w:top w:w="0" w:type="dxa"/>
          <w:left w:w="0" w:type="dxa"/>
          <w:bottom w:w="0" w:type="dxa"/>
          <w:right w:w="0" w:type="dxa"/>
        </w:tblCellMar>
      </w:tblPr>
      <w:tblGrid>
        <w:gridCol w:w="1466"/>
        <w:gridCol w:w="2702"/>
        <w:gridCol w:w="2030"/>
        <w:gridCol w:w="1779"/>
        <w:gridCol w:w="1177"/>
      </w:tblGrid>
      <w:tr>
        <w:tblPrEx>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rPr>
                <w:rFonts w:cs="Arial"/>
              </w:rPr>
            </w:pPr>
            <w:r>
              <w:t>Initial Conditions</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spacing w:line="252" w:lineRule="auto"/>
              <w:jc w:val="left"/>
            </w:pPr>
            <w:r>
              <w:t>Test Environment as specified in</w:t>
            </w:r>
          </w:p>
          <w:p>
            <w:pPr>
              <w:pStyle w:val="105"/>
              <w:spacing w:line="252" w:lineRule="auto"/>
              <w:jc w:val="left"/>
            </w:pPr>
            <w:r>
              <w:t>TS 36.508 [12] subclause 8.1.1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Normal, TL/VL, TL/VH, TH/VL, TH/VH</w:t>
            </w:r>
          </w:p>
        </w:tc>
      </w:tr>
      <w:tr>
        <w:tblPrEx>
          <w:shd w:val="clear" w:color="auto" w:fill="FFFFFF"/>
          <w:tblCellMar>
            <w:top w:w="0" w:type="dxa"/>
            <w:left w:w="0" w:type="dxa"/>
            <w:bottom w:w="0" w:type="dxa"/>
            <w:right w:w="0" w:type="dxa"/>
          </w:tblCellMar>
        </w:tblPrEx>
        <w:trPr>
          <w:cantSplit/>
          <w:jc w:val="center"/>
        </w:trPr>
        <w:tc>
          <w:tcPr>
            <w:tcW w:w="416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3"/>
              <w:spacing w:line="252" w:lineRule="auto"/>
            </w:pPr>
            <w:r>
              <w:t>Test Frequencies as specified in</w:t>
            </w:r>
          </w:p>
          <w:p>
            <w:pPr>
              <w:pStyle w:val="103"/>
              <w:spacing w:line="252" w:lineRule="auto"/>
            </w:pPr>
            <w:r>
              <w:t>TS 36.508 [12] subclause 8.1.3.1</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3"/>
              <w:spacing w:line="252" w:lineRule="auto"/>
            </w:pPr>
            <w:r>
              <w:t>Frequency ranges defined in Annex K.1.1</w:t>
            </w:r>
          </w:p>
        </w:tc>
      </w:tr>
      <w:tr>
        <w:tblPrEx>
          <w:shd w:val="clear" w:color="auto" w:fill="FFFFFF"/>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Test Parameters</w:t>
            </w:r>
          </w:p>
        </w:tc>
      </w:tr>
      <w:tr>
        <w:tblPrEx>
          <w:tblCellMar>
            <w:top w:w="0" w:type="dxa"/>
            <w:left w:w="0" w:type="dxa"/>
            <w:bottom w:w="0" w:type="dxa"/>
            <w:right w:w="0" w:type="dxa"/>
          </w:tblCellMar>
        </w:tblPrEx>
        <w:trPr>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4"/>
              <w:spacing w:line="252" w:lineRule="auto"/>
            </w:pPr>
            <w:r>
              <w:t>Configuration ID</w:t>
            </w:r>
          </w:p>
        </w:tc>
        <w:tc>
          <w:tcPr>
            <w:tcW w:w="270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Downlink Configuration</w:t>
            </w:r>
          </w:p>
        </w:tc>
        <w:tc>
          <w:tcPr>
            <w:tcW w:w="4986"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spacing w:line="252" w:lineRule="auto"/>
            </w:pPr>
            <w:r>
              <w:t>Uplink Configuration</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pStyle w:val="105"/>
            </w:pPr>
          </w:p>
        </w:tc>
        <w:tc>
          <w:tcPr>
            <w:tcW w:w="2702"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N/A</w:t>
            </w: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Modulation</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N</w:t>
            </w:r>
            <w:r>
              <w:rPr>
                <w:vertAlign w:val="subscript"/>
              </w:rPr>
              <w:t>tones</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Sub-carrier spacing (kHz)</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1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2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BPSK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1@47</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3.75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3 (Note 2)</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4 (Note 3)</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1@11</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1466" w:type="dxa"/>
            <w:tcBorders>
              <w:top w:val="single" w:color="auto" w:sz="4" w:space="0"/>
              <w:left w:val="single" w:color="auto" w:sz="4" w:space="0"/>
              <w:bottom w:val="single" w:color="auto" w:sz="4" w:space="0"/>
              <w:right w:val="single" w:color="auto" w:sz="4" w:space="0"/>
            </w:tcBorders>
            <w:shd w:val="clear" w:color="auto" w:fill="FFFFFF"/>
          </w:tcPr>
          <w:p>
            <w:pPr>
              <w:jc w:val="center"/>
              <w:rPr>
                <w:rFonts w:ascii="Arial" w:hAnsi="Arial"/>
                <w:sz w:val="18"/>
              </w:rPr>
            </w:pPr>
            <w:r>
              <w:rPr>
                <w:rFonts w:ascii="Arial" w:hAnsi="Arial"/>
                <w:sz w:val="18"/>
              </w:rPr>
              <w:t>5 (Note 1)</w:t>
            </w:r>
          </w:p>
        </w:tc>
        <w:tc>
          <w:tcPr>
            <w:tcW w:w="270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ja-JP"/>
              </w:rPr>
            </w:pPr>
          </w:p>
        </w:tc>
        <w:tc>
          <w:tcPr>
            <w:tcW w:w="2030"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QPSK</w:t>
            </w:r>
          </w:p>
        </w:tc>
        <w:tc>
          <w:tcPr>
            <w:tcW w:w="1779"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12@0</w:t>
            </w:r>
          </w:p>
        </w:tc>
        <w:tc>
          <w:tcPr>
            <w:tcW w:w="1177"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spacing w:line="252" w:lineRule="auto"/>
            </w:pPr>
            <w:r>
              <w:t>15</w:t>
            </w:r>
          </w:p>
        </w:tc>
      </w:tr>
      <w:tr>
        <w:tblPrEx>
          <w:shd w:val="clear" w:color="auto" w:fill="FFFFFF"/>
          <w:tblCellMar>
            <w:top w:w="0" w:type="dxa"/>
            <w:left w:w="0" w:type="dxa"/>
            <w:bottom w:w="0" w:type="dxa"/>
            <w:right w:w="0" w:type="dxa"/>
          </w:tblCellMar>
        </w:tblPrEx>
        <w:trPr>
          <w:cantSplit/>
          <w:jc w:val="center"/>
        </w:trPr>
        <w:tc>
          <w:tcPr>
            <w:tcW w:w="9154" w:type="dxa"/>
            <w:gridSpan w:val="5"/>
            <w:tcBorders>
              <w:top w:val="single" w:color="auto" w:sz="4" w:space="0"/>
              <w:left w:val="single" w:color="auto" w:sz="4" w:space="0"/>
              <w:bottom w:val="single" w:color="auto" w:sz="4" w:space="0"/>
              <w:right w:val="single" w:color="auto" w:sz="4" w:space="0"/>
            </w:tcBorders>
            <w:shd w:val="clear" w:color="auto" w:fill="FFFFFF"/>
          </w:tcPr>
          <w:p>
            <w:pPr>
              <w:pStyle w:val="118"/>
              <w:spacing w:line="252" w:lineRule="auto"/>
            </w:pPr>
            <w:r>
              <w:t>Note 1: Applicable to UE supporting UL multi-tone transmissions</w:t>
            </w:r>
          </w:p>
          <w:p>
            <w:pPr>
              <w:pStyle w:val="118"/>
              <w:spacing w:line="252" w:lineRule="auto"/>
            </w:pPr>
            <w:r>
              <w:t>Note 2: only applicable for low range</w:t>
            </w:r>
          </w:p>
          <w:p>
            <w:pPr>
              <w:pStyle w:val="118"/>
              <w:spacing w:line="252" w:lineRule="auto"/>
            </w:pPr>
            <w:r>
              <w:t>Note 3: only applicable for high range</w:t>
            </w:r>
          </w:p>
        </w:tc>
      </w:tr>
    </w:tbl>
    <w:p>
      <w:pPr>
        <w:rPr>
          <w:rFonts w:eastAsiaTheme="minorEastAsia"/>
        </w:rPr>
      </w:pP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1.</w:t>
      </w:r>
      <w:r>
        <w:rPr>
          <w:rFonts w:hint="eastAsia" w:eastAsia="Times New Roman"/>
          <w:lang w:eastAsia="en-GB"/>
        </w:rPr>
        <w:tab/>
      </w:r>
      <w:r>
        <w:rPr>
          <w:rFonts w:hint="eastAsia" w:eastAsia="Times New Roman"/>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w:t>
      </w:r>
      <w:r>
        <w:rPr>
          <w:rFonts w:hint="eastAsia" w:eastAsia="Times New Roman"/>
          <w:lang w:eastAsia="en-GB"/>
        </w:rPr>
        <w:tab/>
      </w:r>
      <w:r>
        <w:rPr>
          <w:rFonts w:hint="eastAsia" w:eastAsia="Times New Roman"/>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w:t>
      </w:r>
      <w:r>
        <w:rPr>
          <w:rFonts w:hint="eastAsia" w:eastAsia="Times New Roman"/>
          <w:lang w:eastAsia="en-GB"/>
        </w:rPr>
        <w:tab/>
      </w:r>
      <w:r>
        <w:rPr>
          <w:rFonts w:hint="eastAsia" w:eastAsia="Times New Roman"/>
          <w:lang w:eastAsia="en-GB"/>
        </w:rPr>
        <w:t>Downlink signals are initially set up according to TS 36.521-1[14] Annex C.0, C.1, and C.3.0, and uplink signals according to Annex H.1.1 and H.4.0.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4.</w:t>
      </w:r>
      <w:r>
        <w:rPr>
          <w:rFonts w:hint="eastAsia" w:eastAsia="Times New Roman"/>
          <w:lang w:eastAsia="en-GB"/>
        </w:rPr>
        <w:tab/>
      </w:r>
      <w:r>
        <w:rPr>
          <w:rFonts w:hint="eastAsia" w:eastAsia="Times New Roman"/>
          <w:lang w:eastAsia="en-GB"/>
        </w:rPr>
        <w:t>The UL Reference Measurement channel is set according to Table 6.3B.1.4.1-1.</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eastAsia="Times New Roman"/>
          <w:lang w:eastAsia="en-GB"/>
        </w:rPr>
        <w:tab/>
      </w:r>
      <w:r>
        <w:rPr>
          <w:rFonts w:hint="eastAsia" w:eastAsia="Times New Roman"/>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eastAsia="Times New Roman"/>
          <w:lang w:eastAsia="en-GB"/>
        </w:rPr>
        <w:tab/>
      </w:r>
      <w:r>
        <w:rPr>
          <w:rFonts w:hint="eastAsia" w:eastAsia="Times New Roman"/>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8.</w:t>
      </w:r>
      <w:r>
        <w:rPr>
          <w:rFonts w:hint="eastAsia" w:eastAsia="Times New Roman"/>
          <w:lang w:eastAsia="en-GB"/>
        </w:rPr>
        <w:tab/>
      </w:r>
      <w:r>
        <w:rPr>
          <w:rFonts w:hint="eastAsia" w:eastAsia="Times New Roman"/>
          <w:lang w:eastAsia="en-GB"/>
        </w:rPr>
        <w:t xml:space="preserve">Ensure the UE is in State 2A-NB with CP CIoT Optimisation according to TS 36.508 [12] clause 8.1.5. Message contents are defined in clause 6.3B.1.4.3. </w:t>
      </w:r>
    </w:p>
    <w:p>
      <w:pPr>
        <w:pStyle w:val="9"/>
      </w:pPr>
      <w:r>
        <w:t>6.3B.1.4.2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6.3B.1.4.3</w:t>
      </w:r>
      <w:r>
        <w:tab/>
      </w:r>
      <w:r>
        <w:t>Message contents</w:t>
      </w:r>
    </w:p>
    <w:p>
      <w:r>
        <w:rPr>
          <w:rFonts w:eastAsiaTheme="minorEastAsia"/>
        </w:rPr>
        <w:t>Message contents are according to TS 36.508 [12] subclause 8.1.6 with the following exception.</w:t>
      </w:r>
    </w:p>
    <w:p>
      <w:pPr>
        <w:pStyle w:val="113"/>
      </w:pPr>
      <w:r>
        <w:t>Table 6.3B.1.4.3-1: NPDSCH-ConfigCommon-NB-DEFAULT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36.508 clause 8.1.6.3, Table 8.1.6.3-4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vMerge w:val="restart"/>
          </w:tcPr>
          <w:p>
            <w:pPr>
              <w:pStyle w:val="103"/>
            </w:pPr>
            <w:r>
              <w:t xml:space="preserve">  nrs-Power-r13</w:t>
            </w:r>
          </w:p>
        </w:tc>
        <w:tc>
          <w:tcPr>
            <w:tcW w:w="2268" w:type="dxa"/>
          </w:tcPr>
          <w:p>
            <w:pPr>
              <w:pStyle w:val="103"/>
            </w:pPr>
            <w:r>
              <w:t>-39 (dBm)</w:t>
            </w:r>
          </w:p>
        </w:tc>
        <w:tc>
          <w:tcPr>
            <w:tcW w:w="1701" w:type="dxa"/>
          </w:tcPr>
          <w:p>
            <w:pPr>
              <w:pStyle w:val="103"/>
            </w:pPr>
          </w:p>
        </w:tc>
        <w:tc>
          <w:tcPr>
            <w:tcW w:w="1275" w:type="dxa"/>
          </w:tcPr>
          <w:p>
            <w:pPr>
              <w:pStyle w:val="103"/>
            </w:pPr>
            <w:r>
              <w:t xml:space="preserve">15 kHz SCS </w:t>
            </w:r>
          </w:p>
          <w:p>
            <w:pPr>
              <w:pStyle w:val="103"/>
            </w:pPr>
            <w:r>
              <w:t>N</w:t>
            </w:r>
            <w:r>
              <w:rPr>
                <w:vertAlign w:val="subscript"/>
              </w:rPr>
              <w:t>tones</w:t>
            </w:r>
            <w:r>
              <w:t xml:space="preserve">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vMerge w:val="continue"/>
          </w:tcPr>
          <w:p>
            <w:pPr>
              <w:pStyle w:val="103"/>
            </w:pPr>
          </w:p>
        </w:tc>
        <w:tc>
          <w:tcPr>
            <w:tcW w:w="2268" w:type="dxa"/>
          </w:tcPr>
          <w:p>
            <w:pPr>
              <w:pStyle w:val="103"/>
            </w:pPr>
            <w:r>
              <w:t>-50 (dBm)</w:t>
            </w:r>
          </w:p>
        </w:tc>
        <w:tc>
          <w:tcPr>
            <w:tcW w:w="1701" w:type="dxa"/>
          </w:tcPr>
          <w:p>
            <w:pPr>
              <w:pStyle w:val="103"/>
            </w:pPr>
          </w:p>
        </w:tc>
        <w:tc>
          <w:tcPr>
            <w:tcW w:w="1275" w:type="dxa"/>
          </w:tcPr>
          <w:p>
            <w:pPr>
              <w:pStyle w:val="103"/>
            </w:pPr>
            <w:r>
              <w:t>15 kHz SCS</w:t>
            </w:r>
          </w:p>
          <w:p>
            <w:pPr>
              <w:pStyle w:val="103"/>
            </w:pPr>
            <w:r>
              <w:t>N</w:t>
            </w:r>
            <w:r>
              <w:rPr>
                <w:vertAlign w:val="subscript"/>
              </w:rPr>
              <w:t>tones</w:t>
            </w:r>
            <w:r>
              <w:t xml:space="preserve"> =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vMerge w:val="continue"/>
            <w:tcBorders>
              <w:bottom w:val="single" w:color="auto" w:sz="4" w:space="0"/>
            </w:tcBorders>
          </w:tcPr>
          <w:p>
            <w:pPr>
              <w:pStyle w:val="103"/>
            </w:pPr>
          </w:p>
        </w:tc>
        <w:tc>
          <w:tcPr>
            <w:tcW w:w="2268" w:type="dxa"/>
          </w:tcPr>
          <w:p>
            <w:pPr>
              <w:pStyle w:val="103"/>
            </w:pPr>
            <w:r>
              <w:t>-33 (dBm)</w:t>
            </w:r>
          </w:p>
        </w:tc>
        <w:tc>
          <w:tcPr>
            <w:tcW w:w="1701" w:type="dxa"/>
          </w:tcPr>
          <w:p>
            <w:pPr>
              <w:pStyle w:val="103"/>
            </w:pPr>
          </w:p>
        </w:tc>
        <w:tc>
          <w:tcPr>
            <w:tcW w:w="1275" w:type="dxa"/>
          </w:tcPr>
          <w:p>
            <w:pPr>
              <w:pStyle w:val="103"/>
            </w:pPr>
            <w:r>
              <w:t>3.75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
      <w:pPr>
        <w:pStyle w:val="113"/>
      </w:pPr>
      <w:r>
        <w:t>Table 6.3B.1.4.3-2: UplinkPowerControlCommon-NB-DEFAULT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36.508 clause 8.1.6.3. Table 8.1.6.3-14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pStyle w:val="103"/>
            </w:pPr>
            <w:r>
              <w:t>-95 (-95 dBm)</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alpha-r13</w:t>
            </w:r>
          </w:p>
        </w:tc>
        <w:tc>
          <w:tcPr>
            <w:tcW w:w="2268" w:type="dxa"/>
            <w:tcBorders>
              <w:top w:val="single" w:color="auto" w:sz="4" w:space="0"/>
              <w:left w:val="single" w:color="auto" w:sz="4" w:space="0"/>
              <w:bottom w:val="single" w:color="auto" w:sz="4" w:space="0"/>
              <w:right w:val="single" w:color="auto" w:sz="4" w:space="0"/>
            </w:tcBorders>
          </w:tcPr>
          <w:p>
            <w:pPr>
              <w:pStyle w:val="103"/>
            </w:pPr>
            <w:r>
              <w:t>al1 (1)</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pStyle w:val="103"/>
            </w:pPr>
            <w:r>
              <w:t>4</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6.3B.1.5</w:t>
      </w:r>
      <w:r>
        <w:tab/>
      </w:r>
      <w:r>
        <w:t>Test requirement</w:t>
      </w:r>
    </w:p>
    <w:p>
      <w:r>
        <w:t>The minimum output power measured shall not exceed the value of -39 dBm for the channel bandwidth of category NB1 and NB2 UE.</w:t>
      </w:r>
    </w:p>
    <w:p>
      <w:pPr>
        <w:pStyle w:val="5"/>
      </w:pPr>
      <w:bookmarkStart w:id="358" w:name="_Toc27821"/>
      <w:bookmarkStart w:id="359" w:name="_Toc121162834"/>
      <w:bookmarkStart w:id="360" w:name="_Toc18703"/>
      <w:bookmarkStart w:id="361" w:name="_Toc120570042"/>
      <w:bookmarkStart w:id="362" w:name="_Toc111062043"/>
      <w:bookmarkStart w:id="363" w:name="_Toc10034"/>
      <w:r>
        <w:t>6.3B.2</w:t>
      </w:r>
      <w:r>
        <w:tab/>
      </w:r>
      <w:r>
        <w:t>Transmit OFF power for category NB1 and NB2</w:t>
      </w:r>
      <w:bookmarkEnd w:id="358"/>
      <w:bookmarkEnd w:id="359"/>
      <w:bookmarkEnd w:id="360"/>
      <w:bookmarkEnd w:id="361"/>
      <w:bookmarkEnd w:id="362"/>
      <w:bookmarkEnd w:id="363"/>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9"/>
      </w:pPr>
      <w:r>
        <w:t>6.3B.2.1</w:t>
      </w:r>
      <w:r>
        <w:tab/>
      </w:r>
      <w:r>
        <w:t>Test purpose</w:t>
      </w:r>
    </w:p>
    <w:p>
      <w:pPr>
        <w:rPr>
          <w:rFonts w:eastAsia="PMingLiU"/>
          <w:lang w:eastAsia="zh-TW"/>
        </w:rPr>
      </w:pPr>
      <w:r>
        <w:t>To verify that the UE transmit OFF power is lower than the value specified in the test requirement.</w:t>
      </w:r>
    </w:p>
    <w:p>
      <w:pPr>
        <w:pStyle w:val="9"/>
      </w:pPr>
      <w:r>
        <w:t>6.3B.2.2</w:t>
      </w:r>
      <w:r>
        <w:tab/>
      </w:r>
      <w:r>
        <w:t>Test applicability</w:t>
      </w:r>
    </w:p>
    <w:p>
      <w:r>
        <w:t>The requirements of this test apply in test cases 6.3B.3.1 General ON/OFF time mask and 6.3B.3.2 NPRACH time mask for all types of NB-IoT FDD UE release 1</w:t>
      </w:r>
      <w:r>
        <w:rPr>
          <w:rFonts w:eastAsia="PMingLiU"/>
          <w:lang w:eastAsia="zh-TW"/>
        </w:rPr>
        <w:t>7</w:t>
      </w:r>
      <w:r>
        <w:t xml:space="preserve"> and forward of UE category NB1 and NB2 that support satellite access operation.</w:t>
      </w:r>
    </w:p>
    <w:p>
      <w:pPr>
        <w:pStyle w:val="9"/>
      </w:pPr>
      <w:r>
        <w:t>6.3B.2.3</w:t>
      </w:r>
      <w:r>
        <w:tab/>
      </w:r>
      <w:r>
        <w:t>Minimum conformance requirements</w:t>
      </w:r>
    </w:p>
    <w:p>
      <w:pPr>
        <w:rPr>
          <w:rFonts w:eastAsia="PMingLiU"/>
          <w:lang w:eastAsia="zh-TW"/>
        </w:rPr>
      </w:pPr>
      <w:r>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r>
        <w:t>The normative reference for this requirement is TS 36.102 [11] clause 6.3B.2.</w:t>
      </w:r>
    </w:p>
    <w:p>
      <w:pPr>
        <w:pStyle w:val="9"/>
      </w:pPr>
      <w:r>
        <w:t>6.3B.2.4</w:t>
      </w:r>
      <w:r>
        <w:tab/>
      </w:r>
      <w:r>
        <w:t>Test description</w:t>
      </w:r>
    </w:p>
    <w:p>
      <w:r>
        <w:t>This test is covered by clause 6.3B.3.1 General ON/OFF time mask for category NB1 and NB2 and 6.3B.3.2 NPRACH time mask for category NB1 and NB2.</w:t>
      </w:r>
    </w:p>
    <w:p>
      <w:pPr>
        <w:pStyle w:val="9"/>
      </w:pPr>
      <w:r>
        <w:t>6.3B.2.5</w:t>
      </w:r>
      <w:r>
        <w:tab/>
      </w:r>
      <w:r>
        <w:t>Test requirement</w:t>
      </w:r>
    </w:p>
    <w:p>
      <w:pPr>
        <w:rPr>
          <w:rFonts w:eastAsia="PMingLiU"/>
          <w:lang w:eastAsia="zh-TW"/>
        </w:rPr>
      </w:pPr>
      <w:r>
        <w:t xml:space="preserve">The requirement for the transmit OFF power shall not exceed the values </w:t>
      </w:r>
      <w:r>
        <w:rPr>
          <w:rFonts w:eastAsia="PMingLiU"/>
          <w:lang w:eastAsia="zh-TW"/>
        </w:rPr>
        <w:t xml:space="preserve">of </w:t>
      </w:r>
      <w:r>
        <w:rPr>
          <w:lang w:eastAsia="ja-JP"/>
        </w:rPr>
        <w:t xml:space="preserve">-48.5 </w:t>
      </w:r>
      <w:r>
        <w:rPr>
          <w:rFonts w:eastAsia="PMingLiU"/>
          <w:lang w:eastAsia="zh-TW"/>
        </w:rPr>
        <w:t xml:space="preserve">dBm </w:t>
      </w:r>
      <w:r>
        <w:t>for the channel bandwidth</w:t>
      </w:r>
      <w:r>
        <w:rPr>
          <w:rFonts w:eastAsia="PMingLiU"/>
          <w:lang w:eastAsia="zh-TW"/>
        </w:rPr>
        <w:t xml:space="preserve"> of </w:t>
      </w:r>
      <w:r>
        <w:t>category NB1 and NB2</w:t>
      </w:r>
      <w:r>
        <w:rPr>
          <w:rFonts w:eastAsia="PMingLiU"/>
          <w:lang w:eastAsia="zh-TW"/>
        </w:rPr>
        <w:t>.</w:t>
      </w:r>
    </w:p>
    <w:p>
      <w:pPr>
        <w:pStyle w:val="5"/>
        <w:rPr>
          <w:lang w:eastAsia="zh-CN"/>
        </w:rPr>
      </w:pPr>
      <w:bookmarkStart w:id="364" w:name="_Toc111062045"/>
      <w:bookmarkStart w:id="365" w:name="_Toc23945"/>
      <w:bookmarkStart w:id="366" w:name="_Toc120570043"/>
      <w:bookmarkStart w:id="367" w:name="_Toc12040"/>
      <w:bookmarkStart w:id="368" w:name="_Toc121162835"/>
      <w:bookmarkStart w:id="369" w:name="_Toc14294"/>
      <w:r>
        <w:t>6.3B.3</w:t>
      </w:r>
      <w:r>
        <w:tab/>
      </w:r>
      <w:r>
        <w:t xml:space="preserve">ON/OFF time mask </w:t>
      </w:r>
      <w:r>
        <w:rPr>
          <w:lang w:eastAsia="zh-CN"/>
        </w:rPr>
        <w:t>for category NB1 and NB2</w:t>
      </w:r>
      <w:bookmarkEnd w:id="364"/>
      <w:bookmarkEnd w:id="365"/>
      <w:bookmarkEnd w:id="366"/>
      <w:bookmarkEnd w:id="367"/>
      <w:bookmarkEnd w:id="368"/>
      <w:bookmarkEnd w:id="369"/>
    </w:p>
    <w:p>
      <w:pPr>
        <w:pStyle w:val="6"/>
      </w:pPr>
      <w:bookmarkStart w:id="370" w:name="_Toc5354"/>
      <w:bookmarkStart w:id="371" w:name="_Toc16851"/>
      <w:r>
        <w:t>6.3B.3.1</w:t>
      </w:r>
      <w:r>
        <w:tab/>
      </w:r>
      <w:r>
        <w:rPr>
          <w:lang w:eastAsia="zh-TW"/>
        </w:rPr>
        <w:t>General ON/OFF time mask for category NB1 and NB2</w:t>
      </w:r>
      <w:bookmarkEnd w:id="370"/>
      <w:bookmarkEnd w:id="371"/>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6.3B.3.1.1</w:t>
      </w:r>
      <w:r>
        <w:tab/>
      </w:r>
      <w:r>
        <w:t>Test purpose</w:t>
      </w:r>
    </w:p>
    <w:p>
      <w:r>
        <w:t>To verify that the general ON/OFF time mask meets the requirements given in 6.3</w:t>
      </w:r>
      <w:r>
        <w:rPr>
          <w:rFonts w:eastAsia="PMingLiU"/>
          <w:lang w:eastAsia="zh-TW"/>
        </w:rPr>
        <w:t>B</w:t>
      </w:r>
      <w:r>
        <w:t>.3.1.5.</w:t>
      </w:r>
    </w:p>
    <w:p>
      <w:r>
        <w:t>The time mask for transmit ON/OFF defines the ramping time allowed for the UE between transmit OFF power and transmit ON power.</w:t>
      </w:r>
    </w:p>
    <w:p>
      <w:r>
        <w:t>Transmission of the wrong power increases interference to other channels or increases transmission errors in the uplink channel.</w:t>
      </w:r>
    </w:p>
    <w:p>
      <w:pPr>
        <w:pStyle w:val="9"/>
      </w:pPr>
      <w:r>
        <w:t>6.3B.3.1.2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6.3B.3.1.3</w:t>
      </w:r>
      <w:r>
        <w:tab/>
      </w:r>
      <w:r>
        <w:t>Minimum conformance requirements</w:t>
      </w:r>
    </w:p>
    <w:p>
      <w:r>
        <w:rPr>
          <w:rFonts w:eastAsia="ヒラギノ角ゴ Pro W3"/>
          <w:kern w:val="24"/>
        </w:rPr>
        <w:t xml:space="preserve">E-UTRA general ON/OFF time mask in TS 36.521-1[14] subclause 6.3.4.1 applies for category NB1 and NB2 UE with an exception that </w:t>
      </w:r>
      <w:r>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pPr>
        <w:rPr>
          <w:rFonts w:eastAsia="ヒラギノ角ゴ Pro W3"/>
        </w:rPr>
      </w:pPr>
      <w:r>
        <w:rPr>
          <w:rFonts w:eastAsia="ヒラギノ角ゴ Pro W3"/>
        </w:rPr>
        <w:t>The normative reference for this requirement is TS 36.102 [11] clause 6.3B.3.1.</w:t>
      </w:r>
    </w:p>
    <w:p>
      <w:pPr>
        <w:pStyle w:val="9"/>
      </w:pPr>
      <w:r>
        <w:t>6.3B.3.1.4</w:t>
      </w:r>
      <w:r>
        <w:tab/>
      </w:r>
      <w:r>
        <w:t>Test description</w:t>
      </w:r>
    </w:p>
    <w:p>
      <w:r>
        <w:t>This test is covered by clause 6.3B.3.1 General ON/OFF time mask for category NB1 and NB2 and 6.3B.3.2 NPRACH time mask</w:t>
      </w:r>
      <w:r>
        <w:rPr>
          <w:rFonts w:eastAsia="PMingLiU"/>
          <w:lang w:eastAsia="zh-TW"/>
        </w:rPr>
        <w:t xml:space="preserve"> for category NB1 and NB2</w:t>
      </w:r>
      <w:r>
        <w:t>.</w:t>
      </w:r>
    </w:p>
    <w:p>
      <w:pPr>
        <w:pStyle w:val="9"/>
      </w:pPr>
      <w:r>
        <w:t>6.3B.3.1.4.1</w:t>
      </w:r>
      <w:r>
        <w:tab/>
      </w:r>
      <w:r>
        <w:t>Initial conditions</w:t>
      </w:r>
    </w:p>
    <w:p>
      <w:pPr>
        <w:rPr>
          <w:rFonts w:eastAsia="ヒラギノ角ゴ Pro W3"/>
        </w:rPr>
      </w:pPr>
      <w:r>
        <w:rPr>
          <w:rFonts w:eastAsia="ヒラギノ角ゴ Pro W3"/>
        </w:rP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6.3B.3.1.4.1-1. The details of the uplink reference measurement channel (RMCs) are specified in TS 36.521-1[14] Annex A.2. Configurations of NPDSCH and NPDCCH before measurement are specified in TS 36.521-1 [14] Annex C.2.</w:t>
      </w:r>
    </w:p>
    <w:p>
      <w:pPr>
        <w:pStyle w:val="113"/>
        <w:rPr>
          <w:rFonts w:eastAsia="PMingLiU"/>
          <w:lang w:eastAsia="zh-TW"/>
        </w:rPr>
      </w:pPr>
      <w:r>
        <w:t>Table 6.3B.3.1.4.1-1: Test Configuration Table</w:t>
      </w:r>
      <w:r>
        <w:rPr>
          <w:lang w:eastAsia="zh-TW"/>
        </w:rPr>
        <w:t xml:space="preserve"> for FDD </w:t>
      </w:r>
    </w:p>
    <w:tbl>
      <w:tblPr>
        <w:tblStyle w:val="89"/>
        <w:tblW w:w="86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3"/>
        <w:gridCol w:w="2464"/>
        <w:gridCol w:w="1221"/>
        <w:gridCol w:w="1843"/>
        <w:gridCol w:w="16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615" w:type="dxa"/>
            <w:gridSpan w:val="5"/>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7" w:type="dxa"/>
            <w:gridSpan w:val="2"/>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widowControl w:val="0"/>
              <w:spacing w:after="0"/>
              <w:rPr>
                <w:b/>
                <w:bCs/>
              </w:rPr>
            </w:pPr>
            <w:r>
              <w:rPr>
                <w:rFonts w:ascii="Arial" w:hAnsi="Arial" w:eastAsia="MingLiU" w:cs="Arial"/>
                <w:color w:val="000000"/>
                <w:sz w:val="18"/>
                <w:szCs w:val="18"/>
                <w:lang w:eastAsia="zh-TW"/>
              </w:rPr>
              <w:t>TS 36.508 [12] subclause 8.1.1</w:t>
            </w:r>
          </w:p>
        </w:tc>
        <w:tc>
          <w:tcPr>
            <w:tcW w:w="4678" w:type="dxa"/>
            <w:gridSpan w:val="3"/>
            <w:vAlign w:val="center"/>
          </w:tcPr>
          <w:p>
            <w:pPr>
              <w:pStyle w:val="104"/>
              <w:jc w:val="left"/>
              <w:rPr>
                <w:b w:val="0"/>
                <w:bCs/>
              </w:rPr>
            </w:pPr>
            <w:r>
              <w:rPr>
                <w:rFonts w:cs="v5.0.0"/>
                <w:b w:val="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37" w:type="dxa"/>
            <w:gridSpan w:val="2"/>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4"/>
              <w:jc w:val="left"/>
              <w:rPr>
                <w:b w:val="0"/>
                <w:bCs/>
              </w:rPr>
            </w:pPr>
            <w:r>
              <w:rPr>
                <w:rFonts w:eastAsia="MingLiU" w:cs="Arial"/>
                <w:b w:val="0"/>
                <w:szCs w:val="18"/>
                <w:lang w:eastAsia="zh-TW"/>
              </w:rPr>
              <w:t>TS 36.508 [12] subclause 8.1.3.1</w:t>
            </w:r>
          </w:p>
        </w:tc>
        <w:tc>
          <w:tcPr>
            <w:tcW w:w="4678" w:type="dxa"/>
            <w:gridSpan w:val="3"/>
            <w:vAlign w:val="center"/>
          </w:tcPr>
          <w:p>
            <w:pPr>
              <w:pStyle w:val="104"/>
              <w:jc w:val="left"/>
              <w:rPr>
                <w:rFonts w:eastAsia="PMingLiU"/>
                <w:b w:val="0"/>
                <w:bCs/>
                <w:lang w:eastAsia="zh-TW"/>
              </w:rPr>
            </w:pPr>
            <w:r>
              <w:rPr>
                <w:rFonts w:cs="Arial"/>
                <w:b w:val="0"/>
                <w:szCs w:val="18"/>
                <w:lang w:eastAsia="zh-TW"/>
              </w:rPr>
              <w:t>Frequency ranges defined in Annex K.1.</w:t>
            </w:r>
            <w:r>
              <w:rPr>
                <w:rFonts w:eastAsia="PMingLiU" w:cs="Arial"/>
                <w:b w:val="0"/>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5" w:type="dxa"/>
            <w:gridSpan w:val="5"/>
            <w:vAlign w:val="center"/>
          </w:tcPr>
          <w:p>
            <w:pPr>
              <w:pStyle w:val="104"/>
              <w:rPr>
                <w:rFonts w:eastAsia="PMingLiU"/>
                <w:lang w:eastAsia="zh-TW"/>
              </w:rPr>
            </w:pPr>
            <w:r>
              <w:rPr>
                <w:rFonts w:eastAsia="PMingLiU"/>
                <w:lang w:eastAsia="zh-TW"/>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4"/>
              <w:rPr>
                <w:rFonts w:eastAsia="PMingLiU"/>
                <w:lang w:eastAsia="zh-TW"/>
              </w:rPr>
            </w:pPr>
            <w:r>
              <w:rPr>
                <w:rFonts w:eastAsia="PMingLiU"/>
                <w:lang w:eastAsia="zh-TW"/>
              </w:rPr>
              <w:t>Configuration ID</w:t>
            </w:r>
          </w:p>
        </w:tc>
        <w:tc>
          <w:tcPr>
            <w:tcW w:w="2464" w:type="dxa"/>
          </w:tcPr>
          <w:p>
            <w:pPr>
              <w:pStyle w:val="105"/>
              <w:rPr>
                <w:b/>
              </w:rPr>
            </w:pPr>
            <w:r>
              <w:rPr>
                <w:b/>
              </w:rPr>
              <w:t>Downlink Configuration</w:t>
            </w:r>
          </w:p>
        </w:tc>
        <w:tc>
          <w:tcPr>
            <w:tcW w:w="4678" w:type="dxa"/>
            <w:gridSpan w:val="3"/>
          </w:tcPr>
          <w:p>
            <w:pPr>
              <w:pStyle w:val="104"/>
              <w:rPr>
                <w:rFonts w:eastAsia="PMingLiU"/>
                <w:lang w:eastAsia="zh-TW"/>
              </w:rPr>
            </w:pPr>
            <w:r>
              <w:rPr>
                <w:rFonts w:eastAsia="PMingLiU"/>
                <w:lang w:eastAsia="zh-TW"/>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p>
        </w:tc>
        <w:tc>
          <w:tcPr>
            <w:tcW w:w="2464" w:type="dxa"/>
            <w:vMerge w:val="restart"/>
          </w:tcPr>
          <w:p>
            <w:pPr>
              <w:pStyle w:val="105"/>
              <w:rPr>
                <w:rFonts w:eastAsia="PMingLiU"/>
                <w:lang w:eastAsia="zh-TW"/>
              </w:rPr>
            </w:pPr>
            <w:r>
              <w:rPr>
                <w:rFonts w:eastAsia="PMingLiU"/>
                <w:lang w:eastAsia="zh-TW"/>
              </w:rPr>
              <w:t>N/A</w:t>
            </w:r>
          </w:p>
        </w:tc>
        <w:tc>
          <w:tcPr>
            <w:tcW w:w="1221" w:type="dxa"/>
          </w:tcPr>
          <w:p>
            <w:pPr>
              <w:pStyle w:val="105"/>
              <w:rPr>
                <w:b/>
              </w:rPr>
            </w:pPr>
            <w:r>
              <w:rPr>
                <w:b/>
              </w:rPr>
              <w:t>Modulation</w:t>
            </w:r>
          </w:p>
        </w:tc>
        <w:tc>
          <w:tcPr>
            <w:tcW w:w="1843" w:type="dxa"/>
          </w:tcPr>
          <w:p>
            <w:pPr>
              <w:pStyle w:val="105"/>
              <w:rPr>
                <w:b/>
              </w:rPr>
            </w:pPr>
            <w:r>
              <w:rPr>
                <w:b/>
              </w:rPr>
              <w:t>N</w:t>
            </w:r>
            <w:r>
              <w:rPr>
                <w:b/>
                <w:vertAlign w:val="subscript"/>
              </w:rPr>
              <w:t>tones</w:t>
            </w:r>
          </w:p>
        </w:tc>
        <w:tc>
          <w:tcPr>
            <w:tcW w:w="1614" w:type="dxa"/>
          </w:tcPr>
          <w:p>
            <w:pPr>
              <w:pStyle w:val="105"/>
              <w:rPr>
                <w:b/>
              </w:rPr>
            </w:pPr>
            <w:r>
              <w:rPr>
                <w:rFonts w:eastAsia="MingLiU" w:cs="Arial"/>
                <w:b/>
                <w:szCs w:val="18"/>
                <w:lang w:eastAsia="zh-TW"/>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3" w:type="dxa"/>
          </w:tcPr>
          <w:p>
            <w:pPr>
              <w:pStyle w:val="105"/>
              <w:rPr>
                <w:rFonts w:eastAsia="PMingLiU"/>
                <w:lang w:eastAsia="zh-TW"/>
              </w:rPr>
            </w:pPr>
            <w:r>
              <w:rPr>
                <w:rFonts w:eastAsia="PMingLiU"/>
                <w:lang w:eastAsia="zh-TW"/>
              </w:rPr>
              <w:t>1</w:t>
            </w:r>
          </w:p>
        </w:tc>
        <w:tc>
          <w:tcPr>
            <w:tcW w:w="2464" w:type="dxa"/>
            <w:vMerge w:val="continue"/>
          </w:tcPr>
          <w:p>
            <w:pPr>
              <w:pStyle w:val="105"/>
              <w:rPr>
                <w:rFonts w:eastAsia="PMingLiU"/>
                <w:lang w:eastAsia="zh-TW"/>
              </w:rPr>
            </w:pPr>
          </w:p>
        </w:tc>
        <w:tc>
          <w:tcPr>
            <w:tcW w:w="1221" w:type="dxa"/>
          </w:tcPr>
          <w:p>
            <w:pPr>
              <w:pStyle w:val="105"/>
              <w:rPr>
                <w:rFonts w:eastAsia="PMingLiU"/>
                <w:lang w:eastAsia="zh-TW"/>
              </w:rPr>
            </w:pPr>
            <w:r>
              <w:rPr>
                <w:rFonts w:eastAsia="PMingLiU"/>
                <w:lang w:eastAsia="zh-TW"/>
              </w:rPr>
              <w:t>QP</w:t>
            </w:r>
            <w:r>
              <w:t>SK</w:t>
            </w:r>
          </w:p>
        </w:tc>
        <w:tc>
          <w:tcPr>
            <w:tcW w:w="1843" w:type="dxa"/>
          </w:tcPr>
          <w:p>
            <w:pPr>
              <w:pStyle w:val="105"/>
              <w:rPr>
                <w:rFonts w:eastAsia="PMingLiU"/>
                <w:lang w:eastAsia="zh-TW"/>
              </w:rPr>
            </w:pPr>
            <w:r>
              <w:t>1@</w:t>
            </w:r>
            <w:r>
              <w:rPr>
                <w:rFonts w:eastAsia="PMingLiU"/>
                <w:lang w:eastAsia="zh-TW"/>
              </w:rPr>
              <w:t>0</w:t>
            </w:r>
          </w:p>
        </w:tc>
        <w:tc>
          <w:tcPr>
            <w:tcW w:w="1614" w:type="dxa"/>
          </w:tcPr>
          <w:p>
            <w:pPr>
              <w:pStyle w:val="105"/>
              <w:rPr>
                <w:rFonts w:eastAsia="PMingLiU"/>
                <w:lang w:eastAsia="zh-TW"/>
              </w:rPr>
            </w:pPr>
            <w:r>
              <w:t>15kHz</w:t>
            </w:r>
          </w:p>
        </w:tc>
      </w:tr>
    </w:tbl>
    <w:p>
      <w:pPr>
        <w:rPr>
          <w:lang w:eastAsia="zh-TW"/>
        </w:rPr>
      </w:pP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TS 36.521-1[14] Annex C.0, C.1 and C.3.0, and uplink signals according to TS 36.521-1 [14] Annex H.1.1 and H.4.0.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6.3B.3.1.4.1-1.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eastAsia="Times New Roman"/>
          <w:lang w:eastAsia="en-GB"/>
        </w:rPr>
        <w:t>UE location according to TS 36.508 [12] clause 4.13 is provided to the UE through AT commands or any other preconfigured means</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w:t>
      </w:r>
      <w:r>
        <w:rPr>
          <w:rFonts w:hint="eastAsia"/>
          <w:lang w:eastAsia="en-GB"/>
        </w:rPr>
        <w:tab/>
      </w:r>
      <w:r>
        <w:rPr>
          <w:rFonts w:hint="eastAsia"/>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8.</w:t>
      </w:r>
      <w:r>
        <w:rPr>
          <w:rFonts w:hint="eastAsia"/>
          <w:lang w:eastAsia="en-GB"/>
        </w:rPr>
        <w:tab/>
      </w:r>
      <w:r>
        <w:rPr>
          <w:rFonts w:hint="eastAsia"/>
          <w:lang w:eastAsia="en-GB"/>
        </w:rPr>
        <w:t>Ensure the UE is in State 2A-NB with CP CIoT Optimisation according to TS 36.508 [12] clause 8.1.5. Message contents are defined in clause 6.3B.3.1.4.3.</w:t>
      </w:r>
    </w:p>
    <w:p>
      <w:pPr>
        <w:pStyle w:val="9"/>
      </w:pPr>
      <w:r>
        <w:t>6.3B.3.1.4.2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1.</w:t>
      </w:r>
      <w:r>
        <w:rPr>
          <w:rFonts w:hint="eastAsia" w:eastAsia="Times New Roman"/>
          <w:lang w:eastAsia="en-GB"/>
        </w:rPr>
        <w:tab/>
      </w:r>
      <w:r>
        <w:rPr>
          <w:rFonts w:hint="eastAsia"/>
          <w:lang w:eastAsia="en-GB"/>
        </w:rPr>
        <w:t xml:space="preserve">SS sends uplink scheduling information via </w:t>
      </w:r>
      <w:r>
        <w:rPr>
          <w:rFonts w:hint="eastAsia" w:eastAsia="Times New Roman"/>
          <w:lang w:eastAsia="en-GB"/>
        </w:rPr>
        <w:t>N</w:t>
      </w:r>
      <w:r>
        <w:rPr>
          <w:rFonts w:hint="eastAsia"/>
          <w:lang w:eastAsia="en-GB"/>
        </w:rPr>
        <w:t xml:space="preserve">PDCCH DCI format </w:t>
      </w:r>
      <w:r>
        <w:rPr>
          <w:rFonts w:hint="eastAsia" w:eastAsia="Times New Roman"/>
          <w:lang w:eastAsia="en-GB"/>
        </w:rPr>
        <w:t>N0</w:t>
      </w:r>
      <w:r>
        <w:rPr>
          <w:rFonts w:hint="eastAsia"/>
          <w:lang w:eastAsia="en-GB"/>
        </w:rPr>
        <w:t xml:space="preserve"> for C_RNTI to schedule the UL RMC according to Table 6.3B.3.1.4.1-1. Since the UE has no payload and no loopback data to send the UE sends uplink MAC padding bits on the UL RMC.</w:t>
      </w:r>
      <w:r>
        <w:rPr>
          <w:rFonts w:hint="eastAsia" w:eastAsia="Times New Roman"/>
          <w:lang w:eastAsia="en-GB"/>
        </w:rPr>
        <w:t xml:space="preserve"> </w:t>
      </w:r>
      <w:r>
        <w:rPr>
          <w:rFonts w:hint="eastAsia"/>
          <w:lang w:eastAsia="en-GB"/>
        </w:rPr>
        <w:t>(UE should be already transmitting P</w:t>
      </w:r>
      <w:r>
        <w:rPr>
          <w:rFonts w:hint="eastAsia"/>
          <w:vertAlign w:val="baseline"/>
          <w:lang w:eastAsia="en-GB"/>
        </w:rPr>
        <w:t>UMAX</w:t>
      </w:r>
      <w:r>
        <w:rPr>
          <w:rFonts w:hint="eastAsia"/>
          <w:lang w:eastAsia="en-GB"/>
        </w:rPr>
        <w:t xml:space="preserve"> after Initial Conditions setting)</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2.</w:t>
      </w:r>
      <w:r>
        <w:rPr>
          <w:rFonts w:hint="eastAsia" w:eastAsia="Times New Roman"/>
          <w:lang w:eastAsia="en-GB"/>
        </w:rPr>
        <w:tab/>
      </w:r>
      <w:r>
        <w:rPr>
          <w:rFonts w:hint="eastAsia"/>
          <w:lang w:eastAsia="en-GB"/>
        </w:rPr>
        <w:t xml:space="preserve">For HD-FDD : Measure the UE transmission OFF power as the mean power in one sub-frame (1ms)  prior to the </w:t>
      </w:r>
      <w:r>
        <w:rPr>
          <w:rFonts w:hint="eastAsia" w:eastAsia="Times New Roman"/>
          <w:lang w:eastAsia="en-GB"/>
        </w:rPr>
        <w:t>N</w:t>
      </w:r>
      <w:r>
        <w:rPr>
          <w:rFonts w:hint="eastAsia"/>
          <w:lang w:eastAsia="en-GB"/>
        </w:rPr>
        <w:t xml:space="preserve">PUSCH </w:t>
      </w:r>
      <w:r>
        <w:rPr>
          <w:rFonts w:hint="eastAsia" w:eastAsia="Times New Roman"/>
          <w:lang w:eastAsia="en-GB"/>
        </w:rPr>
        <w:t>RU,</w:t>
      </w:r>
      <w:r>
        <w:rPr>
          <w:rFonts w:hint="eastAsia"/>
          <w:lang w:eastAsia="en-GB"/>
        </w:rPr>
        <w:t xml:space="preserve"> excluding a transient period of 20 µs at the beginning of the </w:t>
      </w:r>
      <w:r>
        <w:rPr>
          <w:rFonts w:hint="eastAsia" w:eastAsia="Times New Roman"/>
          <w:lang w:eastAsia="en-GB"/>
        </w:rPr>
        <w:t>sub-frame.</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3.</w:t>
      </w:r>
      <w:r>
        <w:rPr>
          <w:rFonts w:hint="eastAsia" w:eastAsia="Times New Roman"/>
          <w:lang w:eastAsia="en-GB"/>
        </w:rPr>
        <w:tab/>
      </w:r>
      <w:r>
        <w:rPr>
          <w:rFonts w:hint="eastAsia"/>
          <w:lang w:eastAsia="en-GB"/>
        </w:rPr>
        <w:t xml:space="preserve">Measure the output power of the UE </w:t>
      </w:r>
      <w:r>
        <w:rPr>
          <w:rFonts w:hint="eastAsia" w:eastAsia="Times New Roman"/>
          <w:lang w:eastAsia="en-GB"/>
        </w:rPr>
        <w:t>N</w:t>
      </w:r>
      <w:r>
        <w:rPr>
          <w:rFonts w:hint="eastAsia"/>
          <w:lang w:eastAsia="en-GB"/>
        </w:rPr>
        <w:t xml:space="preserve">PUSCH transmission as the mean power in one </w:t>
      </w:r>
      <w:r>
        <w:rPr>
          <w:rFonts w:hint="eastAsia" w:eastAsia="Times New Roman"/>
          <w:lang w:eastAsia="en-GB"/>
        </w:rPr>
        <w:t>RU</w:t>
      </w:r>
      <w:r>
        <w:rPr>
          <w:rFonts w:hint="eastAsia"/>
          <w:lang w:eastAsia="en-GB"/>
        </w:rPr>
        <w:t xml:space="preserve">, excluding a transient period of 20 µs at the beginning of the </w:t>
      </w:r>
      <w:r>
        <w:rPr>
          <w:rFonts w:hint="eastAsia" w:eastAsia="Times New Roman"/>
          <w:lang w:eastAsia="en-GB"/>
        </w:rPr>
        <w:t>RU</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4.</w:t>
      </w:r>
      <w:r>
        <w:rPr>
          <w:rFonts w:hint="eastAsia" w:eastAsia="Times New Roman"/>
          <w:lang w:eastAsia="en-GB"/>
        </w:rPr>
        <w:tab/>
      </w:r>
      <w:r>
        <w:rPr>
          <w:rFonts w:hint="eastAsia"/>
          <w:lang w:eastAsia="en-GB"/>
        </w:rPr>
        <w:t xml:space="preserve">Measure the UE transmission OFF power as the mean power in one sub-frame (1ms) </w:t>
      </w:r>
      <w:r>
        <w:rPr>
          <w:rFonts w:hint="eastAsia" w:eastAsia="Times New Roman"/>
          <w:lang w:eastAsia="en-GB"/>
        </w:rPr>
        <w:t xml:space="preserve"> </w:t>
      </w:r>
      <w:r>
        <w:rPr>
          <w:rFonts w:hint="eastAsia"/>
          <w:lang w:eastAsia="en-GB"/>
        </w:rPr>
        <w:t xml:space="preserve">following the </w:t>
      </w:r>
      <w:r>
        <w:rPr>
          <w:rFonts w:hint="eastAsia" w:eastAsia="Times New Roman"/>
          <w:lang w:eastAsia="en-GB"/>
        </w:rPr>
        <w:t>N</w:t>
      </w:r>
      <w:r>
        <w:rPr>
          <w:rFonts w:hint="eastAsia"/>
          <w:lang w:eastAsia="en-GB"/>
        </w:rPr>
        <w:t xml:space="preserve">PUSCH </w:t>
      </w:r>
      <w:r>
        <w:rPr>
          <w:rFonts w:hint="eastAsia" w:eastAsia="Times New Roman"/>
          <w:lang w:eastAsia="en-GB"/>
        </w:rPr>
        <w:t>RU</w:t>
      </w:r>
      <w:r>
        <w:rPr>
          <w:rFonts w:hint="eastAsia"/>
          <w:lang w:eastAsia="en-GB"/>
        </w:rPr>
        <w:t xml:space="preserve">, excluding a transient period of 20 µs at the beginning of the </w:t>
      </w:r>
      <w:r>
        <w:rPr>
          <w:rFonts w:hint="eastAsia" w:eastAsia="Times New Roman"/>
          <w:lang w:eastAsia="en-GB"/>
        </w:rPr>
        <w:t>sub-frame</w:t>
      </w:r>
      <w:r>
        <w:rPr>
          <w:rFonts w:hint="eastAsia"/>
          <w:lang w:eastAsia="en-GB"/>
        </w:rPr>
        <w:t>.</w:t>
      </w:r>
    </w:p>
    <w:p>
      <w:pPr>
        <w:pStyle w:val="9"/>
      </w:pPr>
      <w:r>
        <w:t>6.3B.3.1.4.3</w:t>
      </w:r>
      <w:r>
        <w:tab/>
      </w:r>
      <w:r>
        <w:t>Message contents</w:t>
      </w:r>
    </w:p>
    <w:p>
      <w:r>
        <w:t>Message contents are according to TS 36.508 [12] subclause 8.1.6 with the following exceptions.</w:t>
      </w:r>
    </w:p>
    <w:p>
      <w:pPr>
        <w:pStyle w:val="113"/>
      </w:pPr>
      <w:r>
        <w:t>Table 6.3B.3.1.4.3-1: P0-NominalNPUSCH-r13 configuration</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rPr>
                <w:rFonts w:eastAsia="PMingLiU"/>
                <w:lang w:eastAsia="zh-TW"/>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-117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alpha-r13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al1 (1)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4</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r>
              <w:rPr>
                <w:rFonts w:eastAsia="PMingLiU"/>
                <w:lang w:eastAsia="zh-TW"/>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PMingLiU"/>
                <w:lang w:eastAsia="zh-TW"/>
              </w:rPr>
            </w:pPr>
          </w:p>
        </w:tc>
      </w:tr>
    </w:tbl>
    <w:p>
      <w:pPr>
        <w:rPr>
          <w:lang w:eastAsia="ja-JP"/>
        </w:rPr>
      </w:pPr>
    </w:p>
    <w:p>
      <w:pPr>
        <w:pStyle w:val="113"/>
      </w:pPr>
      <w:r>
        <w:t>Table 6.3B.1.4.3-2: NPDSCH-ConfigCommon-NB-DEFAULT configuration</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w:t>
            </w:r>
            <w:r>
              <w:rPr>
                <w:rFonts w:ascii="Arial" w:hAnsi="Arial"/>
                <w:color w:val="000000"/>
                <w:sz w:val="18"/>
              </w:rPr>
              <w:t>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21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9"/>
      </w:pPr>
      <w:r>
        <w:t>6.3B.3.1.5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6.3B.1.5-1: </w:t>
      </w:r>
      <w:r>
        <w:rPr>
          <w:rFonts w:eastAsia="PMingLiU"/>
          <w:lang w:eastAsia="zh-TW"/>
        </w:rPr>
        <w:t>General ON/OFF time mask for category NB1 and NB2</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9" w:type="dxa"/>
            <w:vMerge w:val="restart"/>
          </w:tcPr>
          <w:p>
            <w:pPr>
              <w:pStyle w:val="104"/>
            </w:pPr>
          </w:p>
        </w:tc>
        <w:tc>
          <w:tcPr>
            <w:tcW w:w="5245"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9" w:type="dxa"/>
            <w:vMerge w:val="continue"/>
          </w:tcPr>
          <w:p/>
        </w:tc>
        <w:tc>
          <w:tcPr>
            <w:tcW w:w="5245" w:type="dxa"/>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5"/>
            </w:pPr>
            <w:r>
              <w:t>Transmit OFF power</w:t>
            </w:r>
          </w:p>
        </w:tc>
        <w:tc>
          <w:tcPr>
            <w:tcW w:w="5245" w:type="dxa"/>
            <w:vAlign w:val="center"/>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Transmission OFF Measurement bandwidth</w:t>
            </w:r>
          </w:p>
        </w:tc>
        <w:tc>
          <w:tcPr>
            <w:tcW w:w="5245" w:type="dxa"/>
            <w:vAlign w:val="center"/>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Expected Transmission ON Measured power</w:t>
            </w:r>
          </w:p>
        </w:tc>
        <w:tc>
          <w:tcPr>
            <w:tcW w:w="5245" w:type="dxa"/>
            <w:vAlign w:val="center"/>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6"/>
      </w:pPr>
      <w:bookmarkStart w:id="372" w:name="_Toc5727"/>
      <w:bookmarkStart w:id="373" w:name="_Toc15080"/>
      <w:bookmarkStart w:id="374" w:name="_Toc121162836"/>
      <w:bookmarkStart w:id="375" w:name="_Toc9934"/>
      <w:bookmarkStart w:id="376" w:name="_Toc111062048"/>
      <w:bookmarkStart w:id="377" w:name="_Toc120570044"/>
      <w:r>
        <w:t>6.3B.3.2</w:t>
      </w:r>
      <w:r>
        <w:tab/>
      </w:r>
      <w:r>
        <w:rPr>
          <w:lang w:eastAsia="zh-TW"/>
        </w:rPr>
        <w:t>NPRACH time mask for category NB1 and NB2</w:t>
      </w:r>
      <w:bookmarkEnd w:id="372"/>
      <w:bookmarkEnd w:id="373"/>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6.3B.3.2.1</w:t>
      </w:r>
      <w:r>
        <w:tab/>
      </w:r>
      <w:r>
        <w:t>Test purpose</w:t>
      </w:r>
    </w:p>
    <w:p>
      <w:pPr>
        <w:rPr>
          <w:rFonts w:eastAsia="PMingLiU"/>
          <w:lang w:eastAsia="zh-TW"/>
        </w:rPr>
      </w:pPr>
      <w:r>
        <w:rPr>
          <w:rFonts w:eastAsia="PMingLiU"/>
          <w:lang w:eastAsia="zh-TW"/>
        </w:rPr>
        <w:t>To verify that the NPRACH time mask meets the requirements given in 6.3B.3.2.5.</w:t>
      </w:r>
    </w:p>
    <w:p>
      <w:pPr>
        <w:rPr>
          <w:rFonts w:eastAsia="PMingLiU"/>
          <w:lang w:eastAsia="zh-TW"/>
        </w:rPr>
      </w:pPr>
      <w:r>
        <w:rPr>
          <w:rFonts w:eastAsia="PMingLiU"/>
          <w:lang w:eastAsia="zh-TW"/>
        </w:rPr>
        <w:t>The time mask for NPRACH time mask defines the ramping time allowed for the UE between transmit OFF power and transmit ON power when transmitting the NPRACH.</w:t>
      </w:r>
    </w:p>
    <w:p>
      <w:pPr>
        <w:rPr>
          <w:rFonts w:eastAsia="PMingLiU"/>
          <w:lang w:eastAsia="zh-TW"/>
        </w:rPr>
      </w:pPr>
      <w:r>
        <w:rPr>
          <w:rFonts w:eastAsia="PMingLiU"/>
          <w:lang w:eastAsia="zh-TW"/>
        </w:rPr>
        <w:t>Transmission of the wrong power increases interference to other channels or increases transmission errors in the uplink channel.</w:t>
      </w:r>
    </w:p>
    <w:p>
      <w:pPr>
        <w:pStyle w:val="9"/>
      </w:pPr>
      <w:r>
        <w:t>6.3B.3.2.2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6.3B.3.2.3</w:t>
      </w:r>
      <w:r>
        <w:tab/>
      </w:r>
      <w:r>
        <w:t>Minimum conformance requirements</w:t>
      </w:r>
    </w:p>
    <w:p>
      <w:r>
        <w:t>The NPRACH ON power is specified as the mean power over the NPRACH measurement period excluding any transient periods as shown in Figure 6.3B.3.2</w:t>
      </w:r>
      <w:r>
        <w:rPr>
          <w:rFonts w:eastAsia="PMingLiU"/>
          <w:lang w:eastAsia="zh-TW"/>
        </w:rPr>
        <w:t>.3</w:t>
      </w:r>
      <w:r>
        <w:t>-1. The measurement period for different NPRACH preamble format is specified in Table 6.3B.2</w:t>
      </w:r>
      <w:r>
        <w:rPr>
          <w:rFonts w:eastAsia="PMingLiU"/>
          <w:lang w:eastAsia="zh-TW"/>
        </w:rPr>
        <w:t>.3</w:t>
      </w:r>
      <w:r>
        <w:t>-1.</w:t>
      </w:r>
    </w:p>
    <w:p>
      <w:r>
        <w:t>There are no additional requirements on UE transmit power beyond that which is required in subclause 6.2B and 6.5B</w:t>
      </w:r>
    </w:p>
    <w:p>
      <w:pPr>
        <w:pStyle w:val="113"/>
      </w:pPr>
      <w:r>
        <w:t>Table 6.3B.3.2</w:t>
      </w:r>
      <w:r>
        <w:rPr>
          <w:rFonts w:eastAsia="PMingLiU"/>
          <w:lang w:eastAsia="zh-TW"/>
        </w:rPr>
        <w:t>.3</w:t>
      </w:r>
      <w:r>
        <w:t>-1: NPRACH ON power measurement period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2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vAlign w:val="center"/>
          </w:tcPr>
          <w:p>
            <w:pPr>
              <w:pStyle w:val="104"/>
              <w:rPr>
                <w:rFonts w:eastAsia="Osaka" w:cs="Arial"/>
              </w:rPr>
            </w:pPr>
            <w:r>
              <w:rPr>
                <w:rFonts w:cs="Arial"/>
              </w:rPr>
              <w:t>NPRACH preamble format</w:t>
            </w:r>
          </w:p>
        </w:tc>
        <w:tc>
          <w:tcPr>
            <w:tcW w:w="2518" w:type="dxa"/>
            <w:vAlign w:val="center"/>
          </w:tcPr>
          <w:p>
            <w:pPr>
              <w:pStyle w:val="104"/>
              <w:rPr>
                <w:rFonts w:cs="Arial"/>
              </w:rPr>
            </w:pPr>
            <w:r>
              <w:rPr>
                <w:rFonts w:cs="Arial"/>
              </w:rPr>
              <w:t>Measurement period (ms)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rPr>
                <w:rFonts w:cs="Arial"/>
              </w:rPr>
            </w:pPr>
            <w:r>
              <w:rPr>
                <w:rFonts w:eastAsia="MS Mincho" w:cs="Arial"/>
              </w:rPr>
              <w:t>0</w:t>
            </w:r>
          </w:p>
        </w:tc>
        <w:tc>
          <w:tcPr>
            <w:tcW w:w="2518" w:type="dxa"/>
          </w:tcPr>
          <w:p>
            <w:pPr>
              <w:pStyle w:val="105"/>
              <w:rPr>
                <w:rFonts w:cs="Arial"/>
              </w:rPr>
            </w:pPr>
            <w:r>
              <w:rPr>
                <w:rFonts w:cs="Arial"/>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18" w:type="dxa"/>
          </w:tcPr>
          <w:p>
            <w:pPr>
              <w:pStyle w:val="105"/>
              <w:rPr>
                <w:rFonts w:cs="Arial"/>
              </w:rPr>
            </w:pPr>
            <w:r>
              <w:rPr>
                <w:rFonts w:eastAsia="MS Mincho" w:cs="Arial"/>
              </w:rPr>
              <w:t>1</w:t>
            </w:r>
          </w:p>
        </w:tc>
        <w:tc>
          <w:tcPr>
            <w:tcW w:w="2518" w:type="dxa"/>
          </w:tcPr>
          <w:p>
            <w:pPr>
              <w:pStyle w:val="105"/>
              <w:rPr>
                <w:rFonts w:cs="Arial"/>
              </w:rPr>
            </w:pPr>
            <w:r>
              <w:rPr>
                <w:rFonts w:cs="Arial"/>
              </w:rPr>
              <w:t>6.4</w:t>
            </w:r>
          </w:p>
        </w:tc>
      </w:tr>
    </w:tbl>
    <w:p/>
    <w:p>
      <w:pPr>
        <w:pStyle w:val="113"/>
      </w:pPr>
      <w:r>
        <w:drawing>
          <wp:inline distT="0" distB="0" distL="0" distR="0">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pPr>
        <w:pStyle w:val="120"/>
      </w:pPr>
      <w:r>
        <w:t>Figure 6.3B.3.2</w:t>
      </w:r>
      <w:r>
        <w:rPr>
          <w:rFonts w:eastAsia="PMingLiU"/>
          <w:lang w:eastAsia="zh-TW"/>
        </w:rPr>
        <w:t>.3</w:t>
      </w:r>
      <w:r>
        <w:t>-1: NPRACH ON/OFF time mask</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6.3B.3.3.</w:t>
      </w:r>
    </w:p>
    <w:p>
      <w:pPr>
        <w:pStyle w:val="9"/>
      </w:pPr>
      <w:r>
        <w:t>6.3B.3.2.4</w:t>
      </w:r>
      <w:r>
        <w:tab/>
      </w:r>
      <w:r>
        <w:t>Test description</w:t>
      </w:r>
    </w:p>
    <w:p>
      <w:pPr>
        <w:pStyle w:val="9"/>
      </w:pPr>
      <w:r>
        <w:t>6.3B.3.2.4.1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6.3B.3.2.4.1-1. The details of the uplink reference measurement channel (RMCs) are specified in TS 36.521-1[14] Annex A.2.4. </w:t>
      </w:r>
    </w:p>
    <w:p>
      <w:pPr>
        <w:pStyle w:val="113"/>
      </w:pPr>
      <w:r>
        <w:t>Table 6.3B.3.2.4.1-1: Test Configuration</w:t>
      </w:r>
      <w:r>
        <w:rPr>
          <w:rFonts w:eastAsia="PMingLiU"/>
          <w:lang w:eastAsia="zh-TW"/>
        </w:rPr>
        <w:t xml:space="preserve"> </w:t>
      </w:r>
      <w:r>
        <w:t>Table</w:t>
      </w:r>
    </w:p>
    <w:tbl>
      <w:tblPr>
        <w:tblStyle w:val="89"/>
        <w:tblW w:w="71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08"/>
        <w:gridCol w:w="4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7149" w:type="dxa"/>
            <w:gridSpan w:val="2"/>
          </w:tcPr>
          <w:p>
            <w:pPr>
              <w:pStyle w:val="104"/>
            </w:pPr>
            <w:r>
              <w:rPr>
                <w:rFonts w:cs="v5.0.0"/>
                <w:bCs/>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widowControl w:val="0"/>
              <w:spacing w:after="0"/>
              <w:rPr>
                <w:rFonts w:ascii="Arial" w:hAnsi="Arial" w:eastAsia="MingLiU" w:cs="Arial"/>
                <w:color w:val="000000"/>
                <w:sz w:val="18"/>
                <w:szCs w:val="18"/>
                <w:lang w:eastAsia="zh-TW"/>
              </w:rPr>
            </w:pPr>
            <w:r>
              <w:rPr>
                <w:rFonts w:ascii="Arial" w:hAnsi="Arial" w:eastAsia="MingLiU" w:cs="Arial"/>
                <w:color w:val="000000"/>
                <w:sz w:val="18"/>
                <w:szCs w:val="18"/>
                <w:lang w:eastAsia="zh-TW"/>
              </w:rPr>
              <w:t>Test Environment as specified in</w:t>
            </w:r>
          </w:p>
          <w:p>
            <w:pPr>
              <w:pStyle w:val="103"/>
              <w:rPr>
                <w:bCs/>
              </w:rPr>
            </w:pPr>
            <w:r>
              <w:rPr>
                <w:rFonts w:eastAsia="MingLiU" w:cs="Arial"/>
                <w:szCs w:val="18"/>
                <w:lang w:eastAsia="zh-TW"/>
              </w:rPr>
              <w:t>TS 36.508 [12] subclause 8.1.1</w:t>
            </w:r>
          </w:p>
        </w:tc>
        <w:tc>
          <w:tcPr>
            <w:tcW w:w="4141" w:type="dxa"/>
            <w:vAlign w:val="center"/>
          </w:tcPr>
          <w:p>
            <w:pPr>
              <w:pStyle w:val="105"/>
              <w:jc w:val="both"/>
              <w:rPr>
                <w:rFonts w:eastAsia="PMingLiU"/>
                <w:lang w:eastAsia="zh-TW"/>
              </w:rPr>
            </w:pPr>
            <w:r>
              <w:rPr>
                <w:rFonts w:eastAsia="PMingLiU"/>
                <w:lang w:eastAsia="zh-TW"/>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tcPr>
          <w:p>
            <w:pPr>
              <w:pStyle w:val="104"/>
              <w:jc w:val="left"/>
              <w:rPr>
                <w:rFonts w:eastAsia="MingLiU" w:cs="Arial"/>
                <w:b w:val="0"/>
                <w:szCs w:val="18"/>
                <w:lang w:eastAsia="zh-TW"/>
              </w:rPr>
            </w:pPr>
            <w:r>
              <w:rPr>
                <w:rFonts w:eastAsia="MingLiU" w:cs="Arial"/>
                <w:b w:val="0"/>
                <w:szCs w:val="18"/>
                <w:lang w:eastAsia="zh-TW"/>
              </w:rPr>
              <w:t>Test Frequencies as specified in</w:t>
            </w:r>
          </w:p>
          <w:p>
            <w:pPr>
              <w:pStyle w:val="103"/>
            </w:pPr>
            <w:r>
              <w:rPr>
                <w:rFonts w:eastAsia="MingLiU" w:cs="Arial"/>
                <w:szCs w:val="18"/>
                <w:lang w:eastAsia="zh-TW"/>
              </w:rPr>
              <w:t>TS 36.508 [12] subclause 8.1.3.1</w:t>
            </w:r>
          </w:p>
        </w:tc>
        <w:tc>
          <w:tcPr>
            <w:tcW w:w="4141" w:type="dxa"/>
            <w:vAlign w:val="center"/>
          </w:tcPr>
          <w:p>
            <w:pPr>
              <w:pStyle w:val="105"/>
              <w:jc w:val="both"/>
              <w:rPr>
                <w:rFonts w:eastAsia="PMingLiU"/>
                <w:szCs w:val="18"/>
                <w:lang w:eastAsia="zh-TW"/>
              </w:rPr>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restart"/>
            <w:vAlign w:val="center"/>
          </w:tcPr>
          <w:p>
            <w:pPr>
              <w:pStyle w:val="103"/>
              <w:jc w:val="both"/>
            </w:pPr>
            <w:r>
              <w:rPr>
                <w:rFonts w:eastAsia="PMingLiU"/>
                <w:bCs/>
                <w:lang w:eastAsia="zh-TW"/>
              </w:rPr>
              <w:t>N</w:t>
            </w:r>
            <w:r>
              <w:rPr>
                <w:bCs/>
              </w:rPr>
              <w:t xml:space="preserve">PRACH preamble format </w:t>
            </w:r>
          </w:p>
        </w:tc>
        <w:tc>
          <w:tcPr>
            <w:tcW w:w="4141" w:type="dxa"/>
            <w:vAlign w:val="center"/>
          </w:tcPr>
          <w:p>
            <w:pPr>
              <w:pStyle w:val="105"/>
              <w:rPr>
                <w:rFonts w:eastAsia="PMingLiU"/>
                <w:lang w:eastAsia="zh-TW"/>
              </w:rPr>
            </w:pPr>
            <w:r>
              <w:rPr>
                <w:rFonts w:eastAsia="PMingLiU"/>
                <w:lang w:eastAsia="zh-TW"/>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008" w:type="dxa"/>
            <w:vMerge w:val="continue"/>
          </w:tcPr>
          <w:p>
            <w:pPr>
              <w:pStyle w:val="103"/>
              <w:rPr>
                <w:rFonts w:eastAsia="PMingLiU"/>
                <w:bCs/>
                <w:lang w:eastAsia="zh-TW"/>
              </w:rPr>
            </w:pPr>
          </w:p>
        </w:tc>
        <w:tc>
          <w:tcPr>
            <w:tcW w:w="4141" w:type="dxa"/>
            <w:vAlign w:val="center"/>
          </w:tcPr>
          <w:p>
            <w:pPr>
              <w:pStyle w:val="105"/>
              <w:rPr>
                <w:rFonts w:eastAsia="PMingLiU"/>
                <w:lang w:eastAsia="zh-TW"/>
              </w:rPr>
            </w:pPr>
            <w:r>
              <w:rPr>
                <w:rFonts w:eastAsia="PMingLiU"/>
                <w:lang w:eastAsia="zh-TW"/>
              </w:rPr>
              <w:t>1</w:t>
            </w:r>
          </w:p>
        </w:tc>
      </w:tr>
    </w:tbl>
    <w:p>
      <w:pPr>
        <w:rPr>
          <w:lang w:eastAsia="zh-TW"/>
        </w:rPr>
      </w:pP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TS 36.521-1[14] Annex C.0, C.1 and C.3.0, and uplink signals according to TS 36.521-1 [14] Annex H.1.1 and H.4.0.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eastAsia="Times New Roman"/>
          <w:lang w:eastAsia="en-GB"/>
        </w:rPr>
        <w:t>UE location according to TS 36.508 [12] clause 4.13 is provided to the UE through AT commands or any other preconfigured means</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w:t>
      </w:r>
      <w:r>
        <w:rPr>
          <w:rFonts w:hint="eastAsia"/>
          <w:lang w:eastAsia="en-GB"/>
        </w:rPr>
        <w:tab/>
      </w:r>
      <w:r>
        <w:rPr>
          <w:rFonts w:hint="eastAsia"/>
          <w:lang w:eastAsia="en-GB"/>
        </w:rPr>
        <w:t>Ensure the UE is in State 3A-NB with CP CIoT Optimisation according to TS 36.508 [12] clause 8.1.5. Message contents are defined in clause 6.3B.3.2.4.3.</w:t>
      </w:r>
    </w:p>
    <w:p>
      <w:pPr>
        <w:pStyle w:val="9"/>
      </w:pPr>
      <w:r>
        <w:t>6.3B.3.2.4.2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1.</w:t>
      </w:r>
      <w:r>
        <w:rPr>
          <w:rFonts w:hint="eastAsia" w:eastAsia="Times New Roman"/>
          <w:lang w:eastAsia="en-GB"/>
        </w:rPr>
        <w:tab/>
      </w:r>
      <w:r>
        <w:rPr>
          <w:rFonts w:hint="eastAsia"/>
          <w:lang w:eastAsia="en-GB"/>
        </w:rPr>
        <w:t>The SS shall set RS EPRE according to Table 6.3B.3.2.4.1-1.</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2.</w:t>
      </w:r>
      <w:r>
        <w:rPr>
          <w:rFonts w:hint="eastAsia" w:eastAsia="Times New Roman"/>
          <w:lang w:eastAsia="en-GB"/>
        </w:rPr>
        <w:tab/>
      </w:r>
      <w:r>
        <w:rPr>
          <w:rFonts w:hint="eastAsia" w:eastAsia="Times New Roman"/>
          <w:lang w:eastAsia="en-GB"/>
        </w:rPr>
        <w:t xml:space="preserve">The SS send the paging and </w:t>
      </w:r>
      <w:r>
        <w:rPr>
          <w:rFonts w:hint="eastAsia"/>
          <w:lang w:eastAsia="en-GB"/>
        </w:rPr>
        <w:t>UE shall send a preamble to the SS.</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3.</w:t>
      </w:r>
      <w:r>
        <w:rPr>
          <w:rFonts w:hint="eastAsia" w:eastAsia="Times New Roman"/>
          <w:lang w:eastAsia="en-GB"/>
        </w:rPr>
        <w:tab/>
      </w:r>
      <w:r>
        <w:rPr>
          <w:rFonts w:hint="eastAsia" w:eastAsia="Times New Roman"/>
          <w:lang w:eastAsia="en-GB"/>
        </w:rPr>
        <w:t>T</w:t>
      </w:r>
      <w:r>
        <w:rPr>
          <w:rFonts w:hint="eastAsia"/>
          <w:lang w:eastAsia="en-GB"/>
        </w:rPr>
        <w:t xml:space="preserve">he SS measure the UE transmission OFF power during the sub-frame preceding the </w:t>
      </w:r>
      <w:r>
        <w:rPr>
          <w:rFonts w:hint="eastAsia" w:eastAsia="Times New Roman"/>
          <w:lang w:eastAsia="en-GB"/>
        </w:rPr>
        <w:t>N</w:t>
      </w:r>
      <w:r>
        <w:rPr>
          <w:rFonts w:hint="eastAsia"/>
          <w:lang w:eastAsia="en-GB"/>
        </w:rPr>
        <w:t>PRACH preamble excluding a transient period of 20 µs according to Figure 6.3B.3.2</w:t>
      </w:r>
      <w:r>
        <w:rPr>
          <w:rFonts w:hint="eastAsia" w:eastAsia="Times New Roman"/>
          <w:lang w:eastAsia="en-GB"/>
        </w:rPr>
        <w:t>.3</w:t>
      </w:r>
      <w:r>
        <w:rPr>
          <w:rFonts w:hint="eastAsia"/>
          <w:lang w:eastAsia="en-GB"/>
        </w:rPr>
        <w:t>-1.</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4.</w:t>
      </w:r>
      <w:r>
        <w:rPr>
          <w:rFonts w:hint="eastAsia" w:eastAsia="Times New Roman"/>
          <w:lang w:eastAsia="en-GB"/>
        </w:rPr>
        <w:tab/>
      </w:r>
      <w:r>
        <w:rPr>
          <w:rFonts w:hint="eastAsia"/>
          <w:lang w:eastAsia="en-GB"/>
        </w:rPr>
        <w:t xml:space="preserve">Measure the output power of the transmitted </w:t>
      </w:r>
      <w:r>
        <w:rPr>
          <w:rFonts w:hint="eastAsia" w:eastAsia="Times New Roman"/>
          <w:lang w:eastAsia="en-GB"/>
        </w:rPr>
        <w:t>N</w:t>
      </w:r>
      <w:r>
        <w:rPr>
          <w:rFonts w:hint="eastAsia"/>
          <w:lang w:eastAsia="en-GB"/>
        </w:rPr>
        <w:t>PRACH preamble according to Figure 6.3B.3.2</w:t>
      </w:r>
      <w:r>
        <w:rPr>
          <w:rFonts w:hint="eastAsia" w:eastAsia="Times New Roman"/>
          <w:lang w:eastAsia="en-GB"/>
        </w:rPr>
        <w:t>.3</w:t>
      </w:r>
      <w:r>
        <w:rPr>
          <w:rFonts w:hint="eastAsia"/>
          <w:lang w:eastAsia="en-GB"/>
        </w:rPr>
        <w:t>-1.</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lang w:eastAsia="en-GB"/>
        </w:rPr>
        <w:t>.</w:t>
      </w:r>
      <w:r>
        <w:rPr>
          <w:rFonts w:hint="eastAsia"/>
          <w:lang w:eastAsia="en-GB"/>
        </w:rPr>
        <w:tab/>
      </w:r>
      <w:r>
        <w:rPr>
          <w:rFonts w:hint="eastAsia"/>
          <w:lang w:eastAsia="en-GB"/>
        </w:rPr>
        <w:t xml:space="preserve">Measure the UE transmission OFF power, starting 20 µs after the </w:t>
      </w:r>
      <w:r>
        <w:rPr>
          <w:rFonts w:hint="eastAsia" w:eastAsia="Times New Roman"/>
          <w:lang w:eastAsia="en-GB"/>
        </w:rPr>
        <w:t>N</w:t>
      </w:r>
      <w:r>
        <w:rPr>
          <w:rFonts w:hint="eastAsia"/>
          <w:lang w:eastAsia="en-GB"/>
        </w:rPr>
        <w:t>PRACH preamble ends for a measurement period of 980 µs.</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eastAsia="Times New Roman"/>
          <w:lang w:eastAsia="en-GB"/>
        </w:rPr>
        <w:t>S</w:t>
      </w:r>
      <w:r>
        <w:rPr>
          <w:rFonts w:hint="eastAsia"/>
          <w:lang w:eastAsia="en-GB"/>
        </w:rPr>
        <w:t>witches off and on the UE and ensures</w:t>
      </w:r>
      <w:r>
        <w:rPr>
          <w:rFonts w:hint="eastAsia" w:eastAsia="Times New Roman"/>
          <w:lang w:eastAsia="en-GB"/>
        </w:rPr>
        <w:t xml:space="preserve"> the UE is </w:t>
      </w:r>
      <w:r>
        <w:rPr>
          <w:rFonts w:hint="eastAsia"/>
          <w:lang w:eastAsia="en-GB"/>
        </w:rPr>
        <w:t xml:space="preserve">in </w:t>
      </w:r>
      <w:r>
        <w:rPr>
          <w:rFonts w:hint="eastAsia" w:eastAsia="Times New Roman"/>
          <w:lang w:eastAsia="en-GB"/>
        </w:rPr>
        <w:t>State 3A-NB with CP CIoT Optimisation</w:t>
      </w:r>
      <w:r>
        <w:rPr>
          <w:rFonts w:hint="eastAsia"/>
          <w:lang w:eastAsia="en-GB"/>
        </w:rPr>
        <w:t xml:space="preserve"> according to TS 36.508 [12] clause </w:t>
      </w:r>
      <w:r>
        <w:rPr>
          <w:rFonts w:hint="eastAsia" w:eastAsia="Times New Roman"/>
          <w:lang w:eastAsia="en-GB"/>
        </w:rPr>
        <w:t xml:space="preserve">8.1.5. </w:t>
      </w:r>
      <w:r>
        <w:rPr>
          <w:rFonts w:hint="eastAsia"/>
          <w:lang w:eastAsia="en-GB"/>
        </w:rPr>
        <w:t>Message contents are defined in clause 6.3B.3.2.4.3</w:t>
      </w:r>
      <w:r>
        <w:rPr>
          <w:rFonts w:hint="eastAsia" w:eastAsia="Times New Roman"/>
          <w:lang w:eastAsia="en-GB"/>
        </w:rPr>
        <w:t xml:space="preserve"> with </w:t>
      </w:r>
      <w:r>
        <w:rPr>
          <w:rFonts w:hint="eastAsia" w:eastAsia="Times New Roman" w:cs="Times New Roman"/>
          <w:lang w:eastAsia="en-GB"/>
        </w:rPr>
        <w:t>N</w:t>
      </w:r>
      <w:r>
        <w:rPr>
          <w:rFonts w:hint="eastAsia" w:cs="Times New Roman"/>
          <w:lang w:eastAsia="en-GB"/>
        </w:rPr>
        <w:t xml:space="preserve">PRACH </w:t>
      </w:r>
      <w:r>
        <w:rPr>
          <w:rFonts w:hint="eastAsia" w:eastAsia="Times New Roman" w:cs="Times New Roman"/>
          <w:lang w:eastAsia="en-GB"/>
        </w:rPr>
        <w:t>F</w:t>
      </w:r>
      <w:r>
        <w:rPr>
          <w:rFonts w:hint="eastAsia" w:cs="Times New Roman"/>
          <w:lang w:eastAsia="en-GB"/>
        </w:rPr>
        <w:t xml:space="preserve">ormat </w:t>
      </w:r>
      <w:r>
        <w:rPr>
          <w:rFonts w:hint="eastAsia" w:eastAsia="Times New Roman" w:cs="Times New Roman"/>
          <w:lang w:eastAsia="en-GB"/>
        </w:rPr>
        <w:t>1</w:t>
      </w:r>
      <w:r>
        <w:rPr>
          <w:rFonts w:hint="eastAsia"/>
          <w:lang w:eastAsia="en-GB"/>
        </w:rPr>
        <w:t>.</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7</w:t>
      </w:r>
      <w:r>
        <w:rPr>
          <w:rFonts w:hint="eastAsia"/>
          <w:lang w:eastAsia="en-GB"/>
        </w:rPr>
        <w:t>.</w:t>
      </w:r>
      <w:r>
        <w:rPr>
          <w:rFonts w:hint="eastAsia"/>
          <w:lang w:eastAsia="en-GB"/>
        </w:rPr>
        <w:tab/>
      </w:r>
      <w:r>
        <w:rPr>
          <w:rFonts w:hint="eastAsia"/>
          <w:lang w:eastAsia="en-GB"/>
        </w:rPr>
        <w:t xml:space="preserve">Repeat </w:t>
      </w:r>
      <w:r>
        <w:rPr>
          <w:rFonts w:hint="eastAsia" w:eastAsia="Times New Roman"/>
          <w:lang w:eastAsia="en-GB"/>
        </w:rPr>
        <w:t xml:space="preserve">test with </w:t>
      </w:r>
      <w:r>
        <w:rPr>
          <w:rFonts w:hint="eastAsia"/>
          <w:lang w:eastAsia="en-GB"/>
        </w:rPr>
        <w:t xml:space="preserve">step </w:t>
      </w:r>
      <w:r>
        <w:rPr>
          <w:rFonts w:hint="eastAsia" w:eastAsia="Times New Roman"/>
          <w:lang w:eastAsia="en-GB"/>
        </w:rPr>
        <w:t>1-5.</w:t>
      </w:r>
    </w:p>
    <w:p>
      <w:pPr>
        <w:pStyle w:val="9"/>
      </w:pPr>
      <w:r>
        <w:t>6.3B.3.2.4.3</w:t>
      </w:r>
      <w:r>
        <w:tab/>
      </w:r>
      <w:r>
        <w:t>Message contents</w:t>
      </w:r>
    </w:p>
    <w:p>
      <w:r>
        <w:t>Message contents are according to TS 36.508 [12] subclause 8.1.6 with the following exceptions.</w:t>
      </w:r>
    </w:p>
    <w:p>
      <w:pPr>
        <w:pStyle w:val="113"/>
      </w:pPr>
      <w:r>
        <w:t>Table 6.3B.3.2.4.3-1: RACH-ConfigCommon-NB-DEFAULT</w:t>
      </w:r>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[12] clause </w:t>
            </w:r>
            <w:r>
              <w:rPr>
                <w:rFonts w:eastAsia="PMingLiU"/>
                <w:lang w:eastAsia="zh-TW"/>
              </w:rPr>
              <w:t>8.1.6</w:t>
            </w:r>
            <w:r>
              <w:t>.3,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powerRampingStep</w:t>
            </w:r>
          </w:p>
        </w:tc>
        <w:tc>
          <w:tcPr>
            <w:tcW w:w="2268" w:type="dxa"/>
            <w:shd w:val="clear" w:color="auto" w:fill="auto"/>
          </w:tcPr>
          <w:p>
            <w:pPr>
              <w:pStyle w:val="103"/>
              <w:rPr>
                <w:rFonts w:eastAsia="PMingLiU"/>
                <w:lang w:eastAsia="zh-TW"/>
              </w:rPr>
            </w:pPr>
            <w:r>
              <w:rPr>
                <w:rFonts w:eastAsia="PMingLiU"/>
                <w:lang w:eastAsia="zh-TW"/>
              </w:rPr>
              <w:t>dB0</w:t>
            </w:r>
          </w:p>
        </w:tc>
        <w:tc>
          <w:tcPr>
            <w:tcW w:w="1701" w:type="dxa"/>
            <w:shd w:val="clear" w:color="auto" w:fill="auto"/>
          </w:tcPr>
          <w:p>
            <w:pPr>
              <w:pStyle w:val="103"/>
            </w:pPr>
            <w:r>
              <w:t>0 dB</w:t>
            </w: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rPr>
                <w:rFonts w:eastAsia="MS Mincho"/>
              </w:rPr>
              <w:t xml:space="preserve">    </w:t>
            </w:r>
            <w:r>
              <w:t>preambleInitialReceivedTargetPower</w:t>
            </w:r>
          </w:p>
        </w:tc>
        <w:tc>
          <w:tcPr>
            <w:tcW w:w="2268" w:type="dxa"/>
            <w:shd w:val="clear" w:color="auto" w:fill="auto"/>
          </w:tcPr>
          <w:p>
            <w:pPr>
              <w:pStyle w:val="103"/>
              <w:rPr>
                <w:rFonts w:eastAsia="PMingLiU"/>
                <w:lang w:eastAsia="zh-TW"/>
              </w:rPr>
            </w:pPr>
            <w:r>
              <w:rPr>
                <w:rFonts w:eastAsia="PMingLiU"/>
                <w:lang w:eastAsia="zh-TW"/>
              </w:rPr>
              <w:t>-dBm-120</w:t>
            </w:r>
          </w:p>
        </w:tc>
        <w:tc>
          <w:tcPr>
            <w:tcW w:w="1701" w:type="dxa"/>
            <w:shd w:val="clear" w:color="auto" w:fill="auto"/>
          </w:tcPr>
          <w:p>
            <w:pPr>
              <w:pStyle w:val="103"/>
            </w:pPr>
            <w:r>
              <w:t>-120 dBm</w:t>
            </w:r>
          </w:p>
        </w:tc>
        <w:tc>
          <w:tcPr>
            <w:tcW w:w="1275" w:type="dxa"/>
            <w:shd w:val="clear" w:color="auto" w:fill="auto"/>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MS Mincho" w:cs="Arial"/>
              </w:rPr>
              <w:t>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rPr>
                <w:rFonts w:eastAsia="MS Mincho"/>
              </w:rPr>
            </w:pPr>
          </w:p>
        </w:tc>
        <w:tc>
          <w:tcPr>
            <w:tcW w:w="2268" w:type="dxa"/>
            <w:shd w:val="clear" w:color="auto" w:fill="auto"/>
          </w:tcPr>
          <w:p>
            <w:pPr>
              <w:pStyle w:val="103"/>
              <w:rPr>
                <w:rFonts w:eastAsia="PMingLiU"/>
                <w:lang w:eastAsia="zh-TW"/>
              </w:rPr>
            </w:pPr>
            <w:r>
              <w:rPr>
                <w:rFonts w:eastAsia="PMingLiU"/>
                <w:lang w:eastAsia="zh-TW"/>
              </w:rPr>
              <w:t>dBm-120</w:t>
            </w:r>
          </w:p>
        </w:tc>
        <w:tc>
          <w:tcPr>
            <w:tcW w:w="1701" w:type="dxa"/>
            <w:shd w:val="clear" w:color="auto" w:fill="auto"/>
          </w:tcPr>
          <w:p>
            <w:pPr>
              <w:pStyle w:val="103"/>
            </w:pPr>
            <w:r>
              <w:t>-120 dBm</w:t>
            </w:r>
          </w:p>
        </w:tc>
        <w:tc>
          <w:tcPr>
            <w:tcW w:w="1275" w:type="dxa"/>
            <w:shd w:val="clear" w:color="auto" w:fill="auto"/>
          </w:tcPr>
          <w:p>
            <w:pPr>
              <w:pStyle w:val="103"/>
              <w:rPr>
                <w:rFonts w:eastAsia="PMingLiU"/>
                <w:lang w:eastAsia="zh-TW"/>
              </w:rPr>
            </w:pPr>
            <w:r>
              <w:rPr>
                <w:rFonts w:eastAsia="PMingLiU" w:cs="Arial"/>
                <w:lang w:eastAsia="zh-TW"/>
              </w:rPr>
              <w:t>N</w:t>
            </w:r>
            <w:r>
              <w:rPr>
                <w:rFonts w:cs="Arial"/>
              </w:rPr>
              <w:t xml:space="preserve">PRACH </w:t>
            </w:r>
            <w:r>
              <w:rPr>
                <w:rFonts w:eastAsia="MS Mincho" w:cs="Arial"/>
              </w:rPr>
              <w:t>F</w:t>
            </w:r>
            <w:r>
              <w:rPr>
                <w:rFonts w:cs="Arial"/>
              </w:rPr>
              <w:t xml:space="preserve">ormat </w:t>
            </w:r>
            <w:r>
              <w:rPr>
                <w:rFonts w:eastAsia="PMingLiU" w:cs="Arial"/>
                <w:lang w:eastAsia="zh-TW"/>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Pr>
        <w:rPr>
          <w:rFonts w:eastAsia="PMingLiU"/>
          <w:lang w:eastAsia="zh-TW"/>
        </w:rPr>
      </w:pPr>
    </w:p>
    <w:p>
      <w:pPr>
        <w:pStyle w:val="113"/>
      </w:pPr>
      <w:r>
        <w:t>Table 6.3B.3.2.4.3-2: NPDSCH-ConfigCommon-NB-DEFAULT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[12] clause </w:t>
            </w:r>
            <w:r>
              <w:rPr>
                <w:rFonts w:eastAsia="PMingLiU"/>
                <w:lang w:eastAsia="zh-TW"/>
              </w:rPr>
              <w:t>8.1.6.3</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single" w:color="auto" w:sz="4" w:space="0"/>
            </w:tcBorders>
          </w:tcPr>
          <w:p>
            <w:pPr>
              <w:pStyle w:val="103"/>
            </w:pPr>
            <w:r>
              <w:t xml:space="preserve">  nrs-Power-r13</w:t>
            </w:r>
          </w:p>
        </w:tc>
        <w:tc>
          <w:tcPr>
            <w:tcW w:w="2268" w:type="dxa"/>
          </w:tcPr>
          <w:p>
            <w:pPr>
              <w:pStyle w:val="103"/>
            </w:pPr>
            <w:r>
              <w:t>24 (dBm)</w:t>
            </w:r>
          </w:p>
        </w:tc>
        <w:tc>
          <w:tcPr>
            <w:tcW w:w="1701" w:type="dxa"/>
          </w:tcPr>
          <w:p>
            <w:pPr>
              <w:pStyle w:val="103"/>
            </w:pPr>
          </w:p>
        </w:tc>
        <w:tc>
          <w:tcPr>
            <w:tcW w:w="1275"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Pr>
        <w:rPr>
          <w:rFonts w:eastAsia="PMingLiU"/>
          <w:lang w:eastAsia="zh-TW"/>
        </w:rPr>
      </w:pPr>
    </w:p>
    <w:p>
      <w:pPr>
        <w:pStyle w:val="113"/>
      </w:pPr>
      <w:r>
        <w:t>Table 6.3B.3.2.4.3-3: NPRACH-ConfigSIB-NB-DEFAULT</w:t>
      </w:r>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[12] clause </w:t>
            </w:r>
            <w:r>
              <w:rPr>
                <w:rFonts w:eastAsia="PMingLiU"/>
                <w:lang w:eastAsia="zh-TW"/>
              </w:rPr>
              <w:t>8.1.6</w:t>
            </w:r>
            <w:r>
              <w:t>.3, Table 8.1.6.3-5 NPRACH-ConfigSIB-NB-DEFAULT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NPRACH-ConfigSIB-NB-DEFAULT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nil"/>
            </w:tcBorders>
          </w:tcPr>
          <w:p>
            <w:pPr>
              <w:pStyle w:val="103"/>
            </w:pPr>
            <w:r>
              <w:t xml:space="preserve">  n</w:t>
            </w:r>
            <w:r>
              <w:rPr>
                <w:rFonts w:cs="Courier New"/>
                <w:szCs w:val="16"/>
              </w:rPr>
              <w:t>prach-CP-Length-r13</w:t>
            </w:r>
          </w:p>
        </w:tc>
        <w:tc>
          <w:tcPr>
            <w:tcW w:w="2268" w:type="dxa"/>
          </w:tcPr>
          <w:p>
            <w:pPr>
              <w:pStyle w:val="103"/>
            </w:pPr>
            <w:r>
              <w:t>us66dot7</w:t>
            </w:r>
          </w:p>
        </w:tc>
        <w:tc>
          <w:tcPr>
            <w:tcW w:w="1701" w:type="dxa"/>
          </w:tcPr>
          <w:p>
            <w:pPr>
              <w:pStyle w:val="103"/>
            </w:pPr>
            <w:r>
              <w:t>2048*Ts</w:t>
            </w:r>
          </w:p>
        </w:tc>
        <w:tc>
          <w:tcPr>
            <w:tcW w:w="1275" w:type="dxa"/>
          </w:tcPr>
          <w:p>
            <w:pPr>
              <w:pStyle w:val="103"/>
            </w:pPr>
            <w:r>
              <w:rPr>
                <w:rFonts w:eastAsia="PMingLiU" w:cs="Arial"/>
                <w:lang w:eastAsia="zh-TW"/>
              </w:rPr>
              <w:t>N</w:t>
            </w:r>
            <w:r>
              <w:rPr>
                <w:rFonts w:cs="Arial"/>
              </w:rPr>
              <w:t>PRACH Format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nil"/>
            </w:tcBorders>
          </w:tcPr>
          <w:p>
            <w:pPr>
              <w:pStyle w:val="103"/>
            </w:pPr>
          </w:p>
        </w:tc>
        <w:tc>
          <w:tcPr>
            <w:tcW w:w="2268" w:type="dxa"/>
          </w:tcPr>
          <w:p>
            <w:pPr>
              <w:pStyle w:val="103"/>
            </w:pPr>
            <w:r>
              <w:t>us266dot7</w:t>
            </w:r>
          </w:p>
        </w:tc>
        <w:tc>
          <w:tcPr>
            <w:tcW w:w="1701" w:type="dxa"/>
          </w:tcPr>
          <w:p>
            <w:pPr>
              <w:pStyle w:val="103"/>
            </w:pPr>
            <w:r>
              <w:t>8192*Ts</w:t>
            </w:r>
          </w:p>
        </w:tc>
        <w:tc>
          <w:tcPr>
            <w:tcW w:w="1275" w:type="dxa"/>
          </w:tcPr>
          <w:p>
            <w:pPr>
              <w:pStyle w:val="103"/>
            </w:pPr>
            <w:r>
              <w:rPr>
                <w:rFonts w:eastAsia="PMingLiU" w:cs="Arial"/>
                <w:lang w:eastAsia="zh-TW"/>
              </w:rPr>
              <w:t>N</w:t>
            </w:r>
            <w:r>
              <w:rPr>
                <w:rFonts w:cs="Arial"/>
              </w:rPr>
              <w:t xml:space="preserve">PRACH Format </w:t>
            </w:r>
            <w:r>
              <w:rPr>
                <w:rFonts w:eastAsia="PMingLiU" w:cs="Arial"/>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6.3B.3.2.5</w:t>
      </w:r>
      <w:r>
        <w:tab/>
      </w:r>
      <w:r>
        <w:t>Test requirement</w:t>
      </w:r>
    </w:p>
    <w:p>
      <w:r>
        <w:t xml:space="preserve">The requirement for the power measured in steps (2), (3) and (4) of the test procedure shall not </w:t>
      </w:r>
      <w:r>
        <w:rPr>
          <w:rFonts w:eastAsia="香~??’c‘I"/>
        </w:rPr>
        <w:t>exceed</w:t>
      </w:r>
      <w:r>
        <w:t xml:space="preserve"> the values specified in Table 6.3B.1.5-1.</w:t>
      </w:r>
    </w:p>
    <w:p>
      <w:pPr>
        <w:pStyle w:val="113"/>
      </w:pPr>
      <w:r>
        <w:t xml:space="preserve">Table 6.3B.3.2.5-1: </w:t>
      </w:r>
      <w:r>
        <w:rPr>
          <w:rFonts w:eastAsia="PMingLiU"/>
          <w:lang w:eastAsia="zh-TW"/>
        </w:rPr>
        <w:t>General ON/OFF time mask for category NB1 and NB2</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5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restart"/>
          </w:tcPr>
          <w:p>
            <w:pPr>
              <w:pStyle w:val="104"/>
            </w:pPr>
          </w:p>
        </w:tc>
        <w:tc>
          <w:tcPr>
            <w:tcW w:w="5245" w:type="dxa"/>
          </w:tcPr>
          <w:p>
            <w:pPr>
              <w:pStyle w:val="104"/>
            </w:pPr>
            <w:r>
              <w:t>Channel bandwidth / minimum output power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continue"/>
          </w:tcPr>
          <w:p/>
        </w:tc>
        <w:tc>
          <w:tcPr>
            <w:tcW w:w="5245" w:type="dxa"/>
          </w:tcPr>
          <w:p>
            <w:pPr>
              <w:pStyle w:val="104"/>
            </w:pPr>
            <w:r>
              <w:rPr>
                <w:rFonts w:eastAsia="PMingLiU"/>
                <w:lang w:eastAsia="zh-TW"/>
              </w:rPr>
              <w:t>200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5"/>
            </w:pPr>
            <w:r>
              <w:t>Transmit OFF power</w:t>
            </w:r>
          </w:p>
        </w:tc>
        <w:tc>
          <w:tcPr>
            <w:tcW w:w="5245" w:type="dxa"/>
            <w:vAlign w:val="center"/>
          </w:tcPr>
          <w:p>
            <w:pPr>
              <w:pStyle w:val="105"/>
              <w:rPr>
                <w:rFonts w:eastAsia="PMingLiU"/>
                <w:lang w:eastAsia="zh-TW"/>
              </w:rPr>
            </w:pPr>
            <w:r>
              <w:rPr>
                <w:rFonts w:cs="v4.2.0"/>
              </w:rPr>
              <w:t xml:space="preserve">For carrier frequency f </w:t>
            </w:r>
            <w:r>
              <w:rPr>
                <w:rFonts w:cs="Arial"/>
              </w:rPr>
              <w:t>≤</w:t>
            </w:r>
            <w:r>
              <w:rPr>
                <w:rFonts w:cs="v4.2.0"/>
              </w:rPr>
              <w:t xml:space="preserve"> 3.0GHz: </w:t>
            </w:r>
            <w:r>
              <w:rPr>
                <w:rFonts w:cs="Arial"/>
              </w:rPr>
              <w:t>≤</w:t>
            </w:r>
            <w:r>
              <w:rPr>
                <w:rFonts w:cs="v4.2.0"/>
              </w:rPr>
              <w:t xml:space="preserve"> </w:t>
            </w:r>
            <w:r>
              <w:t>-48.5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Transmission OFF Measurement bandwidth</w:t>
            </w:r>
          </w:p>
        </w:tc>
        <w:tc>
          <w:tcPr>
            <w:tcW w:w="5245" w:type="dxa"/>
            <w:vAlign w:val="center"/>
          </w:tcPr>
          <w:p>
            <w:pPr>
              <w:pStyle w:val="105"/>
              <w:rPr>
                <w:rFonts w:eastAsia="PMingLiU"/>
                <w:lang w:eastAsia="zh-TW"/>
              </w:rPr>
            </w:pPr>
            <w:r>
              <w:rPr>
                <w:rFonts w:eastAsia="PMingLiU"/>
                <w:lang w:eastAsia="zh-TW"/>
              </w:rPr>
              <w:t>180kHz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Expected Transmission ON Measured power</w:t>
            </w:r>
          </w:p>
        </w:tc>
        <w:tc>
          <w:tcPr>
            <w:tcW w:w="5245" w:type="dxa"/>
            <w:vAlign w:val="center"/>
          </w:tcPr>
          <w:p>
            <w:pPr>
              <w:pStyle w:val="105"/>
              <w:rPr>
                <w:rFonts w:eastAsia="PMingLiU"/>
                <w:lang w:eastAsia="zh-TW"/>
              </w:rPr>
            </w:pPr>
            <w:r>
              <w:rPr>
                <w:rFonts w:eastAsia="PMingLiU"/>
                <w:lang w:eastAsia="zh-TW"/>
              </w:rPr>
              <w:t xml:space="preserve">-11 </w:t>
            </w:r>
            <w:r>
              <w:t>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Align w:val="center"/>
          </w:tcPr>
          <w:p>
            <w:pPr>
              <w:pStyle w:val="103"/>
            </w:pPr>
            <w:r>
              <w:t>ON power tolerance</w:t>
            </w:r>
          </w:p>
          <w:p>
            <w:pPr>
              <w:pStyle w:val="103"/>
              <w:rPr>
                <w:rFonts w:eastAsia="PMingLiU"/>
                <w:lang w:eastAsia="zh-TW"/>
              </w:rPr>
            </w:pPr>
            <w:r>
              <w:rPr>
                <w:rFonts w:cs="v4.2.0"/>
              </w:rPr>
              <w:t xml:space="preserve">f </w:t>
            </w:r>
            <w:r>
              <w:rPr>
                <w:rFonts w:cs="Arial"/>
              </w:rPr>
              <w:t>≤</w:t>
            </w:r>
            <w:r>
              <w:rPr>
                <w:rFonts w:cs="v4.2.0"/>
              </w:rPr>
              <w:t xml:space="preserve"> 3.0GHz</w:t>
            </w:r>
          </w:p>
        </w:tc>
        <w:tc>
          <w:tcPr>
            <w:tcW w:w="5245" w:type="dxa"/>
            <w:vAlign w:val="center"/>
          </w:tcPr>
          <w:p>
            <w:pPr>
              <w:pStyle w:val="105"/>
              <w:rPr>
                <w:rFonts w:eastAsia="PMingLiU"/>
                <w:lang w:eastAsia="zh-TW"/>
              </w:rPr>
            </w:pPr>
            <w:r>
              <w:rPr>
                <w:snapToGrid w:val="0"/>
              </w:rPr>
              <w:t>±</w:t>
            </w:r>
            <w:r>
              <w:t xml:space="preserve"> </w:t>
            </w:r>
            <w:r>
              <w:rPr>
                <w:rFonts w:eastAsia="PMingLiU"/>
                <w:lang w:eastAsia="zh-TW"/>
              </w:rPr>
              <w:t xml:space="preserve">7.5 </w:t>
            </w:r>
            <w:r>
              <w:t>dB</w:t>
            </w:r>
          </w:p>
        </w:tc>
      </w:tr>
    </w:tbl>
    <w:p/>
    <w:p>
      <w:pPr>
        <w:pStyle w:val="5"/>
      </w:pPr>
      <w:bookmarkStart w:id="378" w:name="_Toc2790"/>
      <w:bookmarkStart w:id="379" w:name="_Toc15823"/>
      <w:r>
        <w:t>6.3B.4</w:t>
      </w:r>
      <w:r>
        <w:tab/>
      </w:r>
      <w:r>
        <w:t>Power Control for category NB1 and NB2</w:t>
      </w:r>
      <w:bookmarkEnd w:id="374"/>
      <w:bookmarkEnd w:id="375"/>
      <w:bookmarkEnd w:id="376"/>
      <w:bookmarkEnd w:id="377"/>
      <w:bookmarkEnd w:id="378"/>
      <w:bookmarkEnd w:id="379"/>
    </w:p>
    <w:p>
      <w:pPr>
        <w:pStyle w:val="6"/>
      </w:pPr>
      <w:bookmarkStart w:id="380" w:name="_Toc4696"/>
      <w:bookmarkStart w:id="381" w:name="_Toc13196"/>
      <w:r>
        <w:t>6.3B.4.1</w:t>
      </w:r>
      <w:r>
        <w:tab/>
      </w:r>
      <w:r>
        <w:t>Power Control Absolute power tolerance for category NB1 and NB2</w:t>
      </w:r>
      <w:bookmarkEnd w:id="380"/>
      <w:bookmarkEnd w:id="381"/>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6.3B.4.1.1</w:t>
      </w:r>
      <w:r>
        <w:tab/>
      </w:r>
      <w:r>
        <w:t>Test purpose</w:t>
      </w:r>
    </w:p>
    <w:p>
      <w:r>
        <w:t xml:space="preserve">To verify the </w:t>
      </w:r>
      <w:r>
        <w:rPr>
          <w:rFonts w:cs="v5.0.0"/>
        </w:rPr>
        <w:t>ability of the UE transmitter to set its initial output power to a specific value at the start of a contiguous transmission</w:t>
      </w:r>
      <w:r>
        <w:rPr>
          <w:rFonts w:cs="v5.0.0"/>
          <w:snapToGrid w:val="0"/>
        </w:rPr>
        <w:t xml:space="preserve"> or non-contiguous transmission with a long transmission gap, i.e., transmission gap is larger than 20 ms.</w:t>
      </w:r>
    </w:p>
    <w:p>
      <w:pPr>
        <w:pStyle w:val="9"/>
      </w:pPr>
      <w:r>
        <w:t>6.3B.4.1.2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6.3B.4.1.3</w:t>
      </w:r>
      <w:r>
        <w:tab/>
      </w:r>
      <w:r>
        <w:t>Minimum conformance requirements</w:t>
      </w:r>
    </w:p>
    <w:p>
      <w:r>
        <w:t>The minimum requirement for absolute power tolerance is given in Table 6.3B.4.1.3-1 over the power range bounded by the Maximum output power as defined in subclause 6.2B and the Minimum output power as defined in subclause 6.3B</w:t>
      </w:r>
    </w:p>
    <w:p>
      <w:pPr>
        <w:pStyle w:val="113"/>
      </w:pPr>
      <w:r>
        <w:t>Table 6.3B.4.1.3-1: Absolute power tolerance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60" w:type="dxa"/>
          </w:tcPr>
          <w:p>
            <w:pPr>
              <w:pStyle w:val="104"/>
              <w:rPr>
                <w:rFonts w:cs="Arial"/>
              </w:rPr>
            </w:pPr>
            <w:r>
              <w:rPr>
                <w:rFonts w:cs="Arial"/>
              </w:rPr>
              <w:t>Conditions</w:t>
            </w:r>
          </w:p>
        </w:tc>
        <w:tc>
          <w:tcPr>
            <w:tcW w:w="1827" w:type="dxa"/>
          </w:tcPr>
          <w:p>
            <w:pPr>
              <w:pStyle w:val="104"/>
              <w:rPr>
                <w:rFonts w:cs="Arial"/>
              </w:rPr>
            </w:pPr>
            <w:r>
              <w:rPr>
                <w:rFonts w:cs="Arial"/>
              </w:rPr>
              <w:t>Tolerance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60" w:type="dxa"/>
            <w:vAlign w:val="center"/>
          </w:tcPr>
          <w:p>
            <w:pPr>
              <w:pStyle w:val="103"/>
              <w:rPr>
                <w:rFonts w:eastAsia="Osaka" w:cs="Arial"/>
              </w:rPr>
            </w:pPr>
            <w:r>
              <w:rPr>
                <w:rFonts w:cs="Arial"/>
              </w:rPr>
              <w:t>Normal</w:t>
            </w:r>
          </w:p>
        </w:tc>
        <w:tc>
          <w:tcPr>
            <w:tcW w:w="1827" w:type="dxa"/>
            <w:vAlign w:val="center"/>
          </w:tcPr>
          <w:p>
            <w:pPr>
              <w:pStyle w:val="105"/>
              <w:rPr>
                <w:rFonts w:eastAsia="Osaka" w:cs="Arial"/>
              </w:rPr>
            </w:pPr>
            <w:r>
              <w:rPr>
                <w:rFonts w:cs="Arial"/>
                <w:snapToGrid w:val="0"/>
              </w:rPr>
              <w:t>±</w:t>
            </w:r>
            <w:r>
              <w:rPr>
                <w:rFonts w:cs="Arial"/>
              </w:rPr>
              <w:t xml:space="preserve"> 9.0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60" w:type="dxa"/>
            <w:vAlign w:val="center"/>
          </w:tcPr>
          <w:p>
            <w:pPr>
              <w:pStyle w:val="103"/>
              <w:rPr>
                <w:rFonts w:eastAsia="Osaka" w:cs="Arial"/>
              </w:rPr>
            </w:pPr>
            <w:r>
              <w:rPr>
                <w:rFonts w:cs="Arial"/>
              </w:rPr>
              <w:t>Extreme</w:t>
            </w:r>
          </w:p>
        </w:tc>
        <w:tc>
          <w:tcPr>
            <w:tcW w:w="1827" w:type="dxa"/>
            <w:vAlign w:val="center"/>
          </w:tcPr>
          <w:p>
            <w:pPr>
              <w:pStyle w:val="105"/>
              <w:rPr>
                <w:rFonts w:eastAsia="Osaka" w:cs="Arial"/>
              </w:rPr>
            </w:pPr>
            <w:r>
              <w:rPr>
                <w:rFonts w:cs="Arial"/>
                <w:snapToGrid w:val="0"/>
              </w:rPr>
              <w:t>±</w:t>
            </w:r>
            <w:r>
              <w:rPr>
                <w:rFonts w:cs="Arial"/>
              </w:rPr>
              <w:t xml:space="preserve"> 12.0 dB</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6.3B.3.4.</w:t>
      </w:r>
    </w:p>
    <w:p>
      <w:pPr>
        <w:pStyle w:val="9"/>
      </w:pPr>
      <w:r>
        <w:t>6.3B.4.1.4</w:t>
      </w:r>
      <w:r>
        <w:tab/>
      </w:r>
      <w:r>
        <w:t>Test description</w:t>
      </w:r>
    </w:p>
    <w:p>
      <w:pPr>
        <w:pStyle w:val="9"/>
      </w:pPr>
      <w:r>
        <w:t>6.3B.4.1.4.1</w:t>
      </w:r>
      <w:r>
        <w:tab/>
      </w:r>
      <w:r>
        <w:t>Initial conditions</w:t>
      </w:r>
    </w:p>
    <w:p>
      <w: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6.3B.4.1.4.1-1. The details of the uplink reference measurement channel (RMCs) are specified in TS 36.521-1[14] Annex A.2. </w:t>
      </w:r>
      <w:r>
        <w:t>Configurations of NPDSCH and NPDCCH before measurement are specified in TS 36.521-1[14] Annex C.2.</w:t>
      </w:r>
    </w:p>
    <w:p>
      <w:pPr>
        <w:pStyle w:val="113"/>
      </w:pPr>
      <w:r>
        <w:t>Table 6.3B.4.1.4.1-1: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rPr>
                <w:rFonts w:cs="Arial"/>
                <w:szCs w:val="18"/>
                <w:lang w:eastAsia="zh-TW"/>
              </w:rPr>
              <w:t>Frequency ranges defined in Annex K.1.</w:t>
            </w:r>
            <w:r>
              <w:rPr>
                <w:rFonts w:eastAsia="PMingLiU" w:cs="Arial"/>
                <w:szCs w:val="18"/>
                <w:lang w:eastAsia="zh-TW"/>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p>
        </w:tc>
        <w:tc>
          <w:tcPr>
            <w:tcW w:w="1164" w:type="dxa"/>
          </w:tcPr>
          <w:p>
            <w:pPr>
              <w:pStyle w:val="105"/>
            </w:pPr>
            <w:r>
              <w:t>Modulation</w:t>
            </w:r>
          </w:p>
        </w:tc>
        <w:tc>
          <w:tcPr>
            <w:tcW w:w="1354" w:type="dxa"/>
          </w:tcPr>
          <w:p>
            <w:pPr>
              <w:pStyle w:val="105"/>
              <w:rPr>
                <w:highlight w:val="yellow"/>
              </w:rPr>
            </w:pPr>
            <w:r>
              <w:rPr>
                <w:rFonts w:cs="Arial"/>
              </w:rPr>
              <w:t>Subcarriers</w:t>
            </w:r>
          </w:p>
        </w:tc>
        <w:tc>
          <w:tcPr>
            <w:tcW w:w="2139" w:type="dxa"/>
          </w:tcPr>
          <w:p>
            <w:pPr>
              <w:pStyle w:val="105"/>
            </w:pPr>
            <w:r>
              <w:t>Modulation</w:t>
            </w:r>
          </w:p>
        </w:tc>
        <w:tc>
          <w:tcPr>
            <w:tcW w:w="1164" w:type="dxa"/>
          </w:tcPr>
          <w:p>
            <w:pPr>
              <w:pStyle w:val="105"/>
              <w:rPr>
                <w:highlight w:val="yellow"/>
              </w:rPr>
            </w:pPr>
            <w:r>
              <w:t>N</w:t>
            </w:r>
            <w:r>
              <w:rPr>
                <w:vertAlign w:val="subscript"/>
              </w:rPr>
              <w:t>tones</w:t>
            </w:r>
          </w:p>
        </w:tc>
        <w:tc>
          <w:tcPr>
            <w:tcW w:w="1194" w:type="dxa"/>
          </w:tcPr>
          <w:p>
            <w:pPr>
              <w:pStyle w:val="105"/>
              <w:rPr>
                <w:highlight w:val="yellow"/>
              </w:rPr>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pPr>
            <w:r>
              <w:t>1</w:t>
            </w:r>
          </w:p>
        </w:tc>
        <w:tc>
          <w:tcPr>
            <w:tcW w:w="2518" w:type="dxa"/>
            <w:gridSpan w:val="2"/>
            <w:vMerge w:val="restart"/>
          </w:tcPr>
          <w:p>
            <w:pPr>
              <w:pStyle w:val="105"/>
              <w:rPr>
                <w:highlight w:val="yellow"/>
                <w:lang w:eastAsia="ko-KR"/>
              </w:rPr>
            </w:pPr>
            <w:r>
              <w:rPr>
                <w:lang w:eastAsia="ko-KR"/>
              </w:rPr>
              <w:t>N/A</w:t>
            </w:r>
          </w:p>
        </w:tc>
        <w:tc>
          <w:tcPr>
            <w:tcW w:w="2139" w:type="dxa"/>
          </w:tcPr>
          <w:p>
            <w:pPr>
              <w:pStyle w:val="105"/>
            </w:pPr>
            <w:r>
              <w:t>QPSK</w:t>
            </w:r>
          </w:p>
        </w:tc>
        <w:tc>
          <w:tcPr>
            <w:tcW w:w="1164" w:type="dxa"/>
          </w:tcPr>
          <w:p>
            <w:pPr>
              <w:pStyle w:val="105"/>
              <w:rPr>
                <w:highlight w:val="yellow"/>
              </w:rPr>
            </w:pPr>
            <w:r>
              <w:t>1@0</w:t>
            </w:r>
          </w:p>
        </w:tc>
        <w:tc>
          <w:tcPr>
            <w:tcW w:w="1194" w:type="dxa"/>
          </w:tcPr>
          <w:p>
            <w:pPr>
              <w:pStyle w:val="105"/>
              <w:rPr>
                <w:highlight w:val="yellow"/>
              </w:rPr>
            </w:pPr>
            <w:r>
              <w:t>3.75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2</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5"/>
              <w:rPr>
                <w:lang w:eastAsia="ko-KR"/>
              </w:rPr>
            </w:pPr>
            <w:r>
              <w:rPr>
                <w:lang w:eastAsia="ko-KR"/>
              </w:rPr>
              <w:t>3 (NOTE 1)</w:t>
            </w:r>
          </w:p>
        </w:tc>
        <w:tc>
          <w:tcPr>
            <w:tcW w:w="2518" w:type="dxa"/>
            <w:gridSpan w:val="2"/>
            <w:vMerge w:val="continue"/>
          </w:tcPr>
          <w:p>
            <w:pPr>
              <w:pStyle w:val="105"/>
            </w:pPr>
          </w:p>
        </w:tc>
        <w:tc>
          <w:tcPr>
            <w:tcW w:w="2139" w:type="dxa"/>
          </w:tcPr>
          <w:p>
            <w:pPr>
              <w:pStyle w:val="105"/>
            </w:pPr>
            <w:r>
              <w:t>QPSK</w:t>
            </w:r>
          </w:p>
        </w:tc>
        <w:tc>
          <w:tcPr>
            <w:tcW w:w="1164" w:type="dxa"/>
          </w:tcPr>
          <w:p>
            <w:pPr>
              <w:pStyle w:val="105"/>
            </w:pPr>
            <w:r>
              <w:t>12@0</w:t>
            </w:r>
          </w:p>
        </w:tc>
        <w:tc>
          <w:tcPr>
            <w:tcW w:w="1194" w:type="dxa"/>
          </w:tcPr>
          <w:p>
            <w:pPr>
              <w:pStyle w:val="105"/>
            </w:pPr>
            <w:r>
              <w:t>15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85" w:type="dxa"/>
            <w:gridSpan w:val="6"/>
          </w:tcPr>
          <w:p>
            <w:pPr>
              <w:pStyle w:val="105"/>
              <w:jc w:val="left"/>
            </w:pPr>
            <w:r>
              <w:t>Note 1:</w:t>
            </w:r>
            <w:r>
              <w:tab/>
            </w:r>
            <w: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TS 36.521-1[14] Annex C.0, C.1 and C.3.0, and uplink signals according to TS 36.521-1 [14] Annex H.1.1 and H.4.0.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6.3B.4.1.4.1-1.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eastAsia="Times New Roman"/>
          <w:lang w:eastAsia="en-GB"/>
        </w:rPr>
        <w:t>UE location according to TS 36.508 [12] clause 4.13 is provided to the UE through AT commands or any other preconfigured means</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w:t>
      </w:r>
      <w:r>
        <w:rPr>
          <w:rFonts w:hint="eastAsia"/>
          <w:lang w:eastAsia="en-GB"/>
        </w:rPr>
        <w:tab/>
      </w:r>
      <w:r>
        <w:rPr>
          <w:rFonts w:hint="eastAsia"/>
          <w:lang w:eastAsia="en-GB"/>
        </w:rPr>
        <w:t>Ensure the UE is in State 2A-NB with CP CIoT Optimisation according to TS 36.508 [12] clause 8.1.5. Message contents are defined in clause 6.3B.4.1.4.3.</w:t>
      </w:r>
    </w:p>
    <w:p>
      <w:pPr>
        <w:pStyle w:val="9"/>
      </w:pPr>
      <w:r>
        <w:t>6.3B.4.1.4.2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1.</w:t>
      </w:r>
      <w:r>
        <w:rPr>
          <w:rFonts w:hint="eastAsia" w:eastAsia="Times New Roman"/>
          <w:lang w:eastAsia="en-GB"/>
        </w:rPr>
        <w:tab/>
      </w:r>
      <w:r>
        <w:rPr>
          <w:rFonts w:hint="eastAsia"/>
          <w:lang w:eastAsia="en-GB"/>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2.</w:t>
      </w:r>
      <w:r>
        <w:rPr>
          <w:rFonts w:hint="eastAsia" w:eastAsia="Times New Roman"/>
          <w:lang w:eastAsia="en-GB"/>
        </w:rPr>
        <w:tab/>
      </w:r>
      <w:r>
        <w:rPr>
          <w:rFonts w:hint="eastAsia"/>
          <w:lang w:eastAsia="en-GB"/>
        </w:rPr>
        <w:t>The SS shall configure the UE to transmit according to Table 6.3B.4.1.4.3-1 and Table 6.3B.4.1.4.3-2.</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3.</w:t>
      </w:r>
      <w:r>
        <w:rPr>
          <w:rFonts w:hint="eastAsia" w:eastAsia="Times New Roman"/>
          <w:lang w:eastAsia="en-GB"/>
        </w:rPr>
        <w:tab/>
      </w:r>
      <w:r>
        <w:rPr>
          <w:rFonts w:hint="eastAsia"/>
          <w:lang w:eastAsia="en-GB"/>
        </w:rPr>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4.</w:t>
      </w:r>
      <w:r>
        <w:rPr>
          <w:rFonts w:hint="eastAsia" w:eastAsia="Times New Roman"/>
          <w:lang w:eastAsia="en-GB"/>
        </w:rPr>
        <w:tab/>
      </w:r>
      <w:r>
        <w:rPr>
          <w:rFonts w:hint="eastAsia"/>
          <w:snapToGrid/>
          <w:lang w:eastAsia="en-GB"/>
        </w:rPr>
        <w:t>Release the connection through State 3A-NB.</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lang w:eastAsia="en-GB"/>
        </w:rPr>
        <w:t>.</w:t>
      </w:r>
      <w:r>
        <w:rPr>
          <w:rFonts w:hint="eastAsia"/>
          <w:lang w:eastAsia="en-GB"/>
        </w:rPr>
        <w:tab/>
      </w:r>
      <w:r>
        <w:rPr>
          <w:rFonts w:hint="eastAsia"/>
          <w:snapToGrid/>
          <w:lang w:eastAsia="en-GB"/>
        </w:rPr>
        <w:t>Modify system information elements according to Table 6.3B.4.1.4.3-3 and Table 6.3B.4.1.4.3-4 and notify the UE via paging message with SystemInformationModification included.</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snapToGrid/>
          <w:lang w:eastAsia="en-GB"/>
        </w:rPr>
        <w:t>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7</w:t>
      </w:r>
      <w:r>
        <w:rPr>
          <w:rFonts w:hint="eastAsia"/>
          <w:lang w:eastAsia="en-GB"/>
        </w:rPr>
        <w:t>.</w:t>
      </w:r>
      <w:r>
        <w:rPr>
          <w:rFonts w:hint="eastAsia"/>
          <w:lang w:eastAsia="en-GB"/>
        </w:rPr>
        <w:tab/>
      </w:r>
      <w:r>
        <w:rPr>
          <w:rFonts w:hint="eastAsia"/>
          <w:lang w:eastAsia="en-GB"/>
        </w:rPr>
        <w:t>SS sends uplink scheduling information for each UL HARQ process via NPDCCH DCI format N0 for C_RNTI to schedule the UL RMC according to Table 6.3B.4.1.4.1-1.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snapToGrid/>
          <w:lang w:eastAsia="en-GB"/>
        </w:rPr>
      </w:pPr>
      <w:r>
        <w:rPr>
          <w:rFonts w:hint="eastAsia"/>
          <w:lang w:eastAsia="en-GB"/>
        </w:rPr>
        <w:t>8.</w:t>
      </w:r>
      <w:r>
        <w:rPr>
          <w:rFonts w:hint="eastAsia"/>
          <w:lang w:eastAsia="en-GB"/>
        </w:rPr>
        <w:tab/>
      </w:r>
      <w:r>
        <w:rPr>
          <w:rFonts w:hint="eastAsia"/>
          <w:lang w:eastAsia="en-GB"/>
        </w:rPr>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pPr>
        <w:pStyle w:val="111"/>
        <w:overflowPunct w:val="0"/>
        <w:autoSpaceDE w:val="0"/>
        <w:autoSpaceDN w:val="0"/>
        <w:adjustRightInd w:val="0"/>
        <w:ind w:left="0" w:firstLine="0"/>
        <w:contextualSpacing w:val="0"/>
        <w:textAlignment w:val="baseline"/>
        <w:rPr>
          <w:rFonts w:hint="eastAsia"/>
          <w:lang w:eastAsia="en-GB"/>
        </w:rPr>
      </w:pPr>
      <w:r>
        <w:rPr>
          <w:rFonts w:hint="eastAsia"/>
          <w:lang w:eastAsia="en-GB"/>
        </w:rPr>
        <w:t>NOTE 1:</w:t>
      </w:r>
      <w:r>
        <w:rPr>
          <w:rFonts w:hint="eastAsia"/>
          <w:lang w:eastAsia="en-GB"/>
        </w:rPr>
        <w:tab/>
      </w:r>
      <w:r>
        <w:rPr>
          <w:rFonts w:hint="eastAsia"/>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pPr>
      <w:r>
        <w:t>6.3B.4.1.4.3</w:t>
      </w:r>
      <w:r>
        <w:tab/>
      </w:r>
      <w:r>
        <w:t>Message contents</w:t>
      </w:r>
    </w:p>
    <w:p>
      <w:r>
        <w:t>Message contents are according to TS 36.508 [12] subclause 8.1.6 with the following exceptions.</w:t>
      </w:r>
    </w:p>
    <w:p>
      <w:pPr>
        <w:pStyle w:val="113"/>
      </w:pPr>
      <w:r>
        <w:t>Table 6.3B.4.1.4.3-1: UplinkPowerControlCommon: Test point 1</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-124 (-124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lang w:eastAsia="ko-KR"/>
              </w:rPr>
            </w:pPr>
            <w:r>
              <w:rPr>
                <w:lang w:eastAsia="ko-KR"/>
              </w:rPr>
              <w:t>Test point 1 to verify a UE relative low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6.3B.4.1.4.3-2: NPDSCH-ConfigCommon-NB-DEFAULT: Test Point 1</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20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6.3B.4.1.4.3-3: UplinkPowerControlCommon: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-94 (-94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rPr>
                <w:lang w:eastAsia="ko-KR"/>
              </w:rPr>
              <w:t>Test point 2 to verify a UE relative high initial power transmission</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6.3B.4.1.4.3-4: NPDSCH-ConfigCommon-NB-DEFAULT: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36.331 clause 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3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113"/>
      </w:pPr>
      <w:r>
        <w:t>Table 6.3B.4.1.4.3-5: PhysicalConfigDedicated</w:t>
      </w:r>
    </w:p>
    <w:tbl>
      <w:tblPr>
        <w:tblStyle w:val="89"/>
        <w:tblW w:w="0" w:type="auto"/>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700"/>
        <w:gridCol w:w="124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Borders>
              <w:top w:val="single" w:color="000000" w:sz="4" w:space="0"/>
              <w:left w:val="single" w:color="000000" w:sz="4" w:space="0"/>
              <w:bottom w:val="single" w:color="000000" w:sz="4" w:space="0"/>
              <w:right w:val="single" w:color="000000" w:sz="4" w:space="0"/>
            </w:tcBorders>
          </w:tcPr>
          <w:p>
            <w:pPr>
              <w:pStyle w:val="103"/>
            </w:pPr>
            <w:r>
              <w:t>Derivation Path: TS 36.508 [12] clause 8.1.8.2,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Information Element</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Value/remark</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Comment</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PhysicalConfigDedicated-NB-DEFAULT ::= SEQUENCE {</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 xml:space="preserve">  uplinkPowerControlDedicated-r13</w:t>
            </w:r>
          </w:p>
        </w:tc>
        <w:tc>
          <w:tcPr>
            <w:tcW w:w="2267"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UplinkPowerControlDedicated-NB-DEFAULT</w:t>
            </w:r>
          </w:p>
        </w:tc>
        <w:tc>
          <w:tcPr>
            <w:tcW w:w="1700"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r>
              <w:t>See subclause 8.1.6.3</w:t>
            </w:r>
          </w:p>
        </w:tc>
        <w:tc>
          <w:tcPr>
            <w:tcW w:w="1245" w:type="dxa"/>
            <w:tcBorders>
              <w:top w:val="single" w:color="000000" w:sz="4" w:space="0"/>
              <w:left w:val="single" w:color="000000" w:sz="4" w:space="0"/>
              <w:bottom w:val="single" w:color="000000" w:sz="4" w:space="0"/>
              <w:right w:val="single" w:color="000000" w:sz="4" w:space="0"/>
            </w:tcBorders>
            <w:tcMar>
              <w:top w:w="0" w:type="dxa"/>
              <w:left w:w="108" w:type="dxa"/>
              <w:bottom w:w="0" w:type="dxa"/>
              <w:right w:w="108" w:type="dxa"/>
            </w:tcMar>
          </w:tcPr>
          <w:p>
            <w:pPr>
              <w:pStyle w:val="103"/>
            </w:pPr>
          </w:p>
        </w:tc>
      </w:tr>
    </w:tbl>
    <w:p/>
    <w:p>
      <w:pPr>
        <w:pStyle w:val="113"/>
      </w:pPr>
      <w:r>
        <w:t>Table 6.3B.4.1.4.3-6: UplinkPowerControlDedicated-NB-DEFAULT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Derivation Path: TS 36.508 [12] clause 8.1.6.3, Table 8.1.6.3-15 UplinkPowerControlDedicated-NB-DEFAULT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UplinkPowerControlDedicated-NB-DEFAULT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 xml:space="preserve">  p0-UE-NPUSCH-r13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0</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Default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6.3B.4.1.5</w:t>
      </w:r>
      <w:r>
        <w:tab/>
      </w:r>
      <w:r>
        <w:t>Test requirement</w:t>
      </w:r>
    </w:p>
    <w:p>
      <w:r>
        <w:t xml:space="preserve">The requirement for the power measured in steps (2), (3) and (4) of the test procedure shall not </w:t>
      </w:r>
      <w:r>
        <w:rPr>
          <w:rFonts w:eastAsia="香~??’c‘I"/>
        </w:rPr>
        <w:t>exceed</w:t>
      </w:r>
      <w:r>
        <w:t xml:space="preserve"> the values specified in Table 6.3B.4.1.5-1 and 6.3B.4.1.5-2.</w:t>
      </w:r>
    </w:p>
    <w:p>
      <w:pPr>
        <w:pStyle w:val="113"/>
      </w:pPr>
      <w:r>
        <w:t>Table 6.3B.4.1.5-1: Absolute power tolerance: test point 1</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1843"/>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restart"/>
            <w:tcBorders>
              <w:top w:val="single" w:color="auto" w:sz="4" w:space="0"/>
              <w:left w:val="single" w:color="auto" w:sz="4" w:space="0"/>
              <w:bottom w:val="single" w:color="auto" w:sz="4" w:space="0"/>
              <w:right w:val="single" w:color="auto" w:sz="4" w:space="0"/>
            </w:tcBorders>
          </w:tcPr>
          <w:p/>
        </w:tc>
        <w:tc>
          <w:tcPr>
            <w:tcW w:w="5529" w:type="dxa"/>
            <w:gridSpan w:val="3"/>
            <w:tcBorders>
              <w:top w:val="single" w:color="auto" w:sz="4" w:space="0"/>
              <w:left w:val="single" w:color="auto" w:sz="4" w:space="0"/>
              <w:bottom w:val="single" w:color="auto" w:sz="4" w:space="0"/>
              <w:right w:val="single" w:color="auto" w:sz="4" w:space="0"/>
            </w:tcBorders>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8" w:type="dxa"/>
            <w:vMerge w:val="continue"/>
            <w:tcBorders>
              <w:top w:val="single" w:color="auto" w:sz="4" w:space="0"/>
              <w:left w:val="single" w:color="auto" w:sz="4" w:space="0"/>
              <w:bottom w:val="single" w:color="auto" w:sz="4" w:space="0"/>
              <w:right w:val="single" w:color="auto" w:sz="4" w:space="0"/>
            </w:tcBorders>
            <w:vAlign w:val="center"/>
          </w:tcPr>
          <w:p>
            <w:pPr>
              <w:spacing w:after="0"/>
            </w:pP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-25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-19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-8.2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8" w:type="dxa"/>
            <w:gridSpan w:val="4"/>
            <w:tcBorders>
              <w:top w:val="single" w:color="auto" w:sz="4" w:space="0"/>
              <w:left w:val="single" w:color="auto" w:sz="4" w:space="0"/>
              <w:bottom w:val="single" w:color="auto" w:sz="4" w:space="0"/>
              <w:right w:val="single" w:color="auto" w:sz="4" w:space="0"/>
            </w:tcBorders>
            <w:vAlign w:val="center"/>
          </w:tcPr>
          <w:p>
            <w:pPr>
              <w:pStyle w:val="118"/>
              <w:rPr>
                <w:snapToGrid w:val="0"/>
              </w:rPr>
            </w:pPr>
            <w:r>
              <w:t>Note 1:</w:t>
            </w:r>
            <w:r>
              <w:tab/>
            </w:r>
            <w:r>
              <w:t>The lower power limit shall not exceed the minimum output power requirements defined in sub-clause 6.3B.1</w:t>
            </w:r>
          </w:p>
        </w:tc>
      </w:tr>
    </w:tbl>
    <w:p/>
    <w:p>
      <w:pPr>
        <w:pStyle w:val="113"/>
      </w:pPr>
      <w:r>
        <w:t>Table 6.3B.4.1.5-2: Absolute power tolerance: test point 2</w:t>
      </w:r>
    </w:p>
    <w:tbl>
      <w:tblPr>
        <w:tblStyle w:val="89"/>
        <w:tblW w:w="0" w:type="auto"/>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9"/>
        <w:gridCol w:w="1843"/>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vMerge w:val="restart"/>
            <w:tcBorders>
              <w:top w:val="single" w:color="auto" w:sz="4" w:space="0"/>
              <w:left w:val="single" w:color="auto" w:sz="4" w:space="0"/>
              <w:bottom w:val="single" w:color="auto" w:sz="4" w:space="0"/>
              <w:right w:val="single" w:color="auto" w:sz="4" w:space="0"/>
            </w:tcBorders>
          </w:tcPr>
          <w:p/>
        </w:tc>
        <w:tc>
          <w:tcPr>
            <w:tcW w:w="5529" w:type="dxa"/>
            <w:gridSpan w:val="3"/>
            <w:tcBorders>
              <w:top w:val="single" w:color="auto" w:sz="4" w:space="0"/>
              <w:left w:val="single" w:color="auto" w:sz="4" w:space="0"/>
              <w:bottom w:val="single" w:color="auto" w:sz="4" w:space="0"/>
              <w:right w:val="single" w:color="auto" w:sz="4" w:space="0"/>
            </w:tcBorders>
          </w:tcPr>
          <w:p>
            <w:pPr>
              <w:pStyle w:val="104"/>
            </w:pPr>
            <w:r>
              <w:t>Channel bandwidth / expected output power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8" w:type="dxa"/>
            <w:vMerge w:val="continue"/>
            <w:tcBorders>
              <w:top w:val="single" w:color="auto" w:sz="4" w:space="0"/>
              <w:left w:val="single" w:color="auto" w:sz="4" w:space="0"/>
              <w:bottom w:val="single" w:color="auto" w:sz="4" w:space="0"/>
              <w:right w:val="single" w:color="auto" w:sz="4" w:space="0"/>
            </w:tcBorders>
            <w:vAlign w:val="center"/>
          </w:tcPr>
          <w:p>
            <w:pPr>
              <w:spacing w:after="0"/>
            </w:pP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1</w:t>
            </w:r>
          </w:p>
          <w:p>
            <w:pPr>
              <w:pStyle w:val="104"/>
            </w:pPr>
            <w:r>
              <w:t>3.75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2</w:t>
            </w:r>
          </w:p>
          <w:p>
            <w:pPr>
              <w:pStyle w:val="104"/>
            </w:pPr>
            <w:r>
              <w:t>15 kHz (1 tone)</w:t>
            </w:r>
          </w:p>
        </w:tc>
        <w:tc>
          <w:tcPr>
            <w:tcW w:w="1843" w:type="dxa"/>
            <w:tcBorders>
              <w:top w:val="single" w:color="auto" w:sz="4" w:space="0"/>
              <w:left w:val="single" w:color="auto" w:sz="4" w:space="0"/>
              <w:bottom w:val="single" w:color="auto" w:sz="4" w:space="0"/>
              <w:right w:val="single" w:color="auto" w:sz="4" w:space="0"/>
            </w:tcBorders>
          </w:tcPr>
          <w:p>
            <w:pPr>
              <w:pStyle w:val="104"/>
            </w:pPr>
            <w:r>
              <w:t>Configuration ID 3</w:t>
            </w:r>
          </w:p>
          <w:p>
            <w:pPr>
              <w:pStyle w:val="104"/>
            </w:pPr>
            <w:r>
              <w:t>15 kHz (12 tones)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Normal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10.0dB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3"/>
              <w:jc w:val="center"/>
            </w:pPr>
            <w:r>
              <w:t>Expected Measured power Extreme conditions</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-12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-6 dBm</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pPr>
            <w:r>
              <w:t>4.8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9" w:type="dxa"/>
            <w:tcBorders>
              <w:top w:val="single" w:color="auto" w:sz="4" w:space="0"/>
              <w:left w:val="single" w:color="auto" w:sz="4" w:space="0"/>
              <w:bottom w:val="single" w:color="auto" w:sz="4" w:space="0"/>
              <w:right w:val="single" w:color="auto" w:sz="4" w:space="0"/>
            </w:tcBorders>
            <w:vAlign w:val="center"/>
          </w:tcPr>
          <w:p>
            <w:pPr>
              <w:pStyle w:val="105"/>
            </w:pPr>
            <w:r>
              <w:t>Power tolerance</w:t>
            </w:r>
          </w:p>
          <w:p>
            <w:pPr>
              <w:pStyle w:val="103"/>
              <w:jc w:val="center"/>
              <w:rPr>
                <w:rFonts w:eastAsia="MS Mincho"/>
              </w:rPr>
            </w:pPr>
            <w:r>
              <w:rPr>
                <w:rFonts w:cs="v4.2.0"/>
              </w:rPr>
              <w:t xml:space="preserve">f </w:t>
            </w:r>
            <w:r>
              <w:rPr>
                <w:rFonts w:cs="Arial"/>
              </w:rPr>
              <w:t>≤</w:t>
            </w:r>
            <w:r>
              <w:rPr>
                <w:rFonts w:cs="v4.2.0"/>
              </w:rPr>
              <w:t xml:space="preserve"> 3.0GHz</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c>
          <w:tcPr>
            <w:tcW w:w="1843" w:type="dxa"/>
            <w:tcBorders>
              <w:top w:val="single" w:color="auto" w:sz="4" w:space="0"/>
              <w:left w:val="single" w:color="auto" w:sz="4" w:space="0"/>
              <w:bottom w:val="single" w:color="auto" w:sz="4" w:space="0"/>
              <w:right w:val="single" w:color="auto" w:sz="4" w:space="0"/>
            </w:tcBorders>
            <w:vAlign w:val="center"/>
          </w:tcPr>
          <w:p>
            <w:pPr>
              <w:pStyle w:val="105"/>
              <w:rPr>
                <w:rFonts w:eastAsia="MS Mincho"/>
              </w:rPr>
            </w:pPr>
            <w:r>
              <w:rPr>
                <w:snapToGrid w:val="0"/>
              </w:rPr>
              <w:t>±</w:t>
            </w:r>
            <w:r>
              <w:t xml:space="preserve"> 13.0dB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8" w:type="dxa"/>
            <w:gridSpan w:val="4"/>
            <w:tcBorders>
              <w:top w:val="single" w:color="auto" w:sz="4" w:space="0"/>
              <w:left w:val="single" w:color="auto" w:sz="4" w:space="0"/>
              <w:bottom w:val="single" w:color="auto" w:sz="4" w:space="0"/>
              <w:right w:val="single" w:color="auto" w:sz="4" w:space="0"/>
            </w:tcBorders>
            <w:vAlign w:val="center"/>
          </w:tcPr>
          <w:p>
            <w:pPr>
              <w:pStyle w:val="118"/>
              <w:rPr>
                <w:snapToGrid w:val="0"/>
              </w:rPr>
            </w:pPr>
            <w:r>
              <w:t>Note 1:</w:t>
            </w:r>
            <w:r>
              <w:tab/>
            </w:r>
            <w:r>
              <w:t>The upper power limit shall not exceed the maximum output power requirements defined in sub-clause 6.2B.1</w:t>
            </w:r>
          </w:p>
        </w:tc>
      </w:tr>
    </w:tbl>
    <w:p>
      <w:pPr>
        <w:rPr>
          <w:lang w:eastAsia="zh-CN"/>
        </w:rPr>
      </w:pPr>
    </w:p>
    <w:p>
      <w:pPr>
        <w:pStyle w:val="6"/>
      </w:pPr>
      <w:bookmarkStart w:id="382" w:name="_Toc17908"/>
      <w:bookmarkStart w:id="383" w:name="_Toc5148"/>
      <w:bookmarkStart w:id="384" w:name="_Toc111062049"/>
      <w:bookmarkStart w:id="385" w:name="_Toc368026273"/>
      <w:bookmarkStart w:id="386" w:name="_Toc120570045"/>
      <w:bookmarkStart w:id="387" w:name="_Toc121162837"/>
      <w:bookmarkStart w:id="388" w:name="_Toc12525"/>
      <w:r>
        <w:t>6.3B.4.2 Power Control Relative power tolerance for category NB1 and NB2</w:t>
      </w:r>
      <w:bookmarkEnd w:id="382"/>
      <w:bookmarkEnd w:id="383"/>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6.3B.4.2.1</w:t>
      </w:r>
      <w:r>
        <w:tab/>
      </w:r>
      <w:r>
        <w:t>Test purpose</w:t>
      </w:r>
    </w:p>
    <w:p>
      <w:r>
        <w:t xml:space="preserve">To verify the </w:t>
      </w:r>
      <w:r>
        <w:rPr>
          <w:rFonts w:cs="v5.0.0"/>
        </w:rPr>
        <w:t xml:space="preserve">ability of the UE transmitter to set its output power </w:t>
      </w:r>
      <w:r>
        <w:rPr>
          <w:rFonts w:cs="v5.0.0"/>
          <w:snapToGrid w:val="0"/>
        </w:rPr>
        <w:t>relatively to the power in a target sub-frame relatively to the power of the most recently transmitted reference sub-frame if the transmission gap between these sub-frames is ≤ 20 ms.</w:t>
      </w:r>
    </w:p>
    <w:p>
      <w:pPr>
        <w:pStyle w:val="9"/>
      </w:pPr>
      <w:r>
        <w:t>6.3B.4.2.2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6.3B.4.2.3</w:t>
      </w:r>
      <w:r>
        <w:tab/>
      </w:r>
      <w:r>
        <w:t>Minimum conformance requirements</w:t>
      </w:r>
    </w:p>
    <w:p>
      <w:r>
        <w:t xml:space="preserve">Category NB1 and NB2 UE relative power control requirement is defined for NPRACH power step values of 0, </w:t>
      </w:r>
      <w:r>
        <w:rPr>
          <w:rFonts w:ascii="Times" w:hAnsi="Times" w:eastAsia="MS Mincho"/>
          <w:szCs w:val="24"/>
        </w:rPr>
        <w:t xml:space="preserve">2, 4 and 6 dB. </w:t>
      </w:r>
      <w:r>
        <w:rPr>
          <w:snapToGrid w:val="0"/>
        </w:rPr>
        <w:t xml:space="preserve">For NPRACH transmission, the relative tolerance is </w:t>
      </w:r>
      <w:r>
        <w:rPr>
          <w:rFonts w:cs="v5.0.0"/>
        </w:rPr>
        <w:t>the ability of the UE transmitter to set its output power</w:t>
      </w:r>
      <w:r>
        <w:rPr>
          <w:snapToGrid w:val="0"/>
        </w:rPr>
        <w:t xml:space="preserve"> relatively to </w:t>
      </w:r>
      <w:r>
        <w:rPr>
          <w:rFonts w:cs="v5.0.0"/>
          <w:snapToGrid w:val="0"/>
        </w:rPr>
        <w:t>the power of the most recently</w:t>
      </w:r>
      <w:r>
        <w:rPr>
          <w:snapToGrid w:val="0"/>
        </w:rPr>
        <w:t xml:space="preserve"> transmitted preamble</w:t>
      </w:r>
      <w:r>
        <w:t>. The measurement period for the NPRACH preamble is specified in Table 6.3B.3.2.3-1.</w:t>
      </w:r>
    </w:p>
    <w:p>
      <w:r>
        <w:t>The requirements specified in Table 6.3B.4.2.3-1 apply when the power of the target and reference sub-frames are within the power range bounded by the Minimum output power as defined in subclause 6.3B.1 and</w:t>
      </w:r>
      <w:r>
        <w:rPr>
          <w:rFonts w:cs="v5.0.0"/>
        </w:rPr>
        <w:t xml:space="preserve"> the maximum output power as defined in subclause 6.2B.1</w:t>
      </w:r>
    </w:p>
    <w:p>
      <w:pPr>
        <w:pStyle w:val="113"/>
      </w:pPr>
      <w:r>
        <w:t>Table 6.3B.4.2.3-1: Relative power tolerance for category NB1 and NB2 NPRACH transmission (normal conditions)</w:t>
      </w:r>
    </w:p>
    <w:tbl>
      <w:tblPr>
        <w:tblStyle w:val="89"/>
        <w:tblW w:w="4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0"/>
        <w:gridCol w:w="32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1600" w:type="dxa"/>
            <w:shd w:val="clear" w:color="auto" w:fill="auto"/>
            <w:vAlign w:val="center"/>
          </w:tcPr>
          <w:p>
            <w:pPr>
              <w:pStyle w:val="104"/>
              <w:rPr>
                <w:rFonts w:eastAsia="MS Mincho" w:cs="Arial"/>
              </w:rPr>
            </w:pPr>
            <w:r>
              <w:rPr>
                <w:rFonts w:cs="Arial"/>
              </w:rPr>
              <w:t xml:space="preserve">Power step </w:t>
            </w:r>
            <w:r>
              <w:rPr>
                <w:rFonts w:ascii="Symbol" w:hAnsi="Symbol" w:cs="Arial"/>
              </w:rPr>
              <w:t></w:t>
            </w:r>
            <w:r>
              <w:rPr>
                <w:rFonts w:cs="Arial"/>
              </w:rPr>
              <w:t>P [dB]</w:t>
            </w:r>
          </w:p>
        </w:tc>
        <w:tc>
          <w:tcPr>
            <w:tcW w:w="3235" w:type="dxa"/>
            <w:shd w:val="clear" w:color="auto" w:fill="auto"/>
            <w:vAlign w:val="center"/>
          </w:tcPr>
          <w:p>
            <w:pPr>
              <w:pStyle w:val="104"/>
              <w:rPr>
                <w:rFonts w:eastAsia="MS Mincho" w:cs="Arial"/>
              </w:rPr>
            </w:pPr>
            <w:r>
              <w:rPr>
                <w:rFonts w:eastAsia="MS Mincho" w:cs="Arial"/>
              </w:rP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0</w:t>
            </w:r>
          </w:p>
        </w:tc>
        <w:tc>
          <w:tcPr>
            <w:tcW w:w="3235" w:type="dxa"/>
            <w:shd w:val="clear" w:color="auto" w:fill="auto"/>
          </w:tcPr>
          <w:p>
            <w:pPr>
              <w:pStyle w:val="105"/>
              <w:rPr>
                <w:rFonts w:eastAsia="MS Mincho" w:cs="Arial"/>
              </w:rPr>
            </w:pPr>
            <w:r>
              <w:rPr>
                <w:rFonts w:cs="Arial"/>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2</w:t>
            </w:r>
          </w:p>
        </w:tc>
        <w:tc>
          <w:tcPr>
            <w:tcW w:w="3235" w:type="dxa"/>
            <w:shd w:val="clear" w:color="auto" w:fill="auto"/>
          </w:tcPr>
          <w:p>
            <w:pPr>
              <w:pStyle w:val="105"/>
              <w:rPr>
                <w:rFonts w:eastAsia="MS Mincho" w:cs="Arial"/>
              </w:rPr>
            </w:pPr>
            <w:r>
              <w:rPr>
                <w:rFonts w:cs="Aria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eastAsia="MS Mincho" w:cs="Arial"/>
              </w:rPr>
            </w:pPr>
            <w:r>
              <w:rPr>
                <w:rFonts w:cs="Arial"/>
              </w:rPr>
              <w:t>ΔP = 4</w:t>
            </w:r>
          </w:p>
        </w:tc>
        <w:tc>
          <w:tcPr>
            <w:tcW w:w="3235" w:type="dxa"/>
            <w:shd w:val="clear" w:color="auto" w:fill="auto"/>
          </w:tcPr>
          <w:p>
            <w:pPr>
              <w:pStyle w:val="105"/>
              <w:rPr>
                <w:rFonts w:eastAsia="MS Mincho" w:cs="Arial"/>
              </w:rPr>
            </w:pPr>
            <w:r>
              <w:rPr>
                <w:rFonts w:cs="Arial"/>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600" w:type="dxa"/>
            <w:shd w:val="clear" w:color="auto" w:fill="auto"/>
            <w:vAlign w:val="center"/>
          </w:tcPr>
          <w:p>
            <w:pPr>
              <w:pStyle w:val="105"/>
              <w:rPr>
                <w:rFonts w:cs="Arial"/>
              </w:rPr>
            </w:pPr>
            <w:r>
              <w:rPr>
                <w:rFonts w:cs="Arial"/>
              </w:rPr>
              <w:t>ΔP = 6</w:t>
            </w:r>
          </w:p>
        </w:tc>
        <w:tc>
          <w:tcPr>
            <w:tcW w:w="3235" w:type="dxa"/>
            <w:shd w:val="clear" w:color="auto" w:fill="auto"/>
          </w:tcPr>
          <w:p>
            <w:pPr>
              <w:pStyle w:val="105"/>
              <w:rPr>
                <w:rFonts w:eastAsia="MS Mincho" w:cs="Arial"/>
              </w:rPr>
            </w:pPr>
            <w:r>
              <w:rPr>
                <w:rFonts w:cs="Arial"/>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835" w:type="dxa"/>
            <w:gridSpan w:val="2"/>
            <w:shd w:val="clear" w:color="auto" w:fill="auto"/>
            <w:vAlign w:val="center"/>
          </w:tcPr>
          <w:p>
            <w:pPr>
              <w:pStyle w:val="118"/>
              <w:rPr>
                <w:rFonts w:cs="Arial"/>
              </w:rPr>
            </w:pPr>
            <w:r>
              <w:rPr>
                <w:rFonts w:cs="Arial"/>
              </w:rPr>
              <w:t>NOTE:</w:t>
            </w:r>
            <w:r>
              <w:rPr>
                <w:rFonts w:cs="Arial"/>
              </w:rPr>
              <w:tab/>
            </w:r>
            <w:r>
              <w:rPr>
                <w:rFonts w:cs="Arial"/>
              </w:rPr>
              <w:t>For extreme conditions an additional ± 2.0 dB relaxation is allowed.</w:t>
            </w:r>
          </w:p>
        </w:tc>
      </w:tr>
    </w:tbl>
    <w:p/>
    <w:p>
      <w:r>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6.3B.4.</w:t>
      </w:r>
    </w:p>
    <w:p>
      <w:pPr>
        <w:pStyle w:val="9"/>
      </w:pPr>
      <w:r>
        <w:t>6.3B.4.2.4</w:t>
      </w:r>
      <w:r>
        <w:tab/>
      </w:r>
      <w:r>
        <w:t>Test description</w:t>
      </w:r>
    </w:p>
    <w:p>
      <w:pPr>
        <w:pStyle w:val="9"/>
      </w:pPr>
      <w:r>
        <w:t>6.3B.4.2.4.1</w:t>
      </w:r>
      <w:r>
        <w:tab/>
      </w:r>
      <w:r>
        <w:t>Initial conditions</w:t>
      </w:r>
    </w:p>
    <w:p>
      <w:pPr>
        <w:rPr>
          <w:rFonts w:eastAsia="PMingLiU"/>
          <w:lang w:eastAsia="zh-TW"/>
        </w:rPr>
      </w:pPr>
      <w:r>
        <w:rPr>
          <w:rFonts w:eastAsia="PMingLiU"/>
          <w:lang w:eastAsia="zh-TW"/>
        </w:rP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6.3B.4.2.4.1-1. The details of the uplink reference measurement channel (RMCs) are specified in TS 36.521-1[14] Annex A.2. </w:t>
      </w:r>
      <w:r>
        <w:t>Configurations of NPDSCH and NPDCCH before measurement are specified in TS 36.521-1[14] Annex C.2.</w:t>
      </w:r>
    </w:p>
    <w:p>
      <w:pPr>
        <w:pStyle w:val="113"/>
      </w:pPr>
      <w:r>
        <w:t>Table 6.3B.4.2.4.1-1: Test Configuration</w:t>
      </w:r>
      <w:r>
        <w:rPr>
          <w:rFonts w:eastAsia="PMingLiU"/>
          <w:lang w:eastAsia="zh-TW"/>
        </w:rPr>
        <w:t xml:space="preserve"> </w:t>
      </w:r>
      <w:r>
        <w:t>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88"/>
        <w:gridCol w:w="4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2"/>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Environment as specified in TS 36.508 [12] clause 8.1.1</w:t>
            </w:r>
          </w:p>
        </w:tc>
        <w:tc>
          <w:tcPr>
            <w:tcW w:w="4497" w:type="dxa"/>
          </w:tcPr>
          <w:p>
            <w:pPr>
              <w:pStyle w:val="103"/>
            </w:pPr>
            <w: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tcPr>
          <w:p>
            <w:pPr>
              <w:pStyle w:val="103"/>
            </w:pPr>
            <w:r>
              <w:t>Test Frequencies as specified in TS36.508 [12] clause 8.1.3.1</w:t>
            </w:r>
          </w:p>
        </w:tc>
        <w:tc>
          <w:tcPr>
            <w:tcW w:w="4497" w:type="dxa"/>
          </w:tcPr>
          <w:p>
            <w:pPr>
              <w:pStyle w:val="103"/>
            </w:pPr>
            <w:r>
              <w:rPr>
                <w:lang w:eastAsia="ko-KR"/>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vAlign w:val="center"/>
          </w:tcPr>
          <w:p>
            <w:pPr>
              <w:pStyle w:val="103"/>
            </w:pPr>
            <w:r>
              <w:rPr>
                <w:lang w:eastAsia="ko-KR"/>
              </w:rPr>
              <w:t>NPRACH preamble format</w:t>
            </w:r>
          </w:p>
        </w:tc>
        <w:tc>
          <w:tcPr>
            <w:tcW w:w="4497" w:type="dxa"/>
          </w:tcPr>
          <w:p>
            <w:pPr>
              <w:pStyle w:val="103"/>
              <w:rPr>
                <w:lang w:eastAsia="ko-KR"/>
              </w:rPr>
            </w:pPr>
            <w:r>
              <w:rPr>
                <w:lang w:eastAsia="ko-KR"/>
              </w:rPr>
              <w:t>0</w:t>
            </w:r>
          </w:p>
        </w:tc>
      </w:tr>
    </w:tbl>
    <w:p>
      <w:pPr>
        <w:rPr>
          <w:rFonts w:eastAsia="PMingLiU"/>
          <w:lang w:eastAsia="zh-TW"/>
        </w:rPr>
      </w:pP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TS 36.521-1[14] Annex C.0, C.1 and C.3.0, and uplink signals according to TS 36.521-1 [14] Annex H.1 and H.3.0.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6.3B.4.2.4.1-1.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eastAsia="Times New Roman"/>
          <w:lang w:eastAsia="en-GB"/>
        </w:rPr>
        <w:t>UE location according to TS 36.508 [12] clause 4.13 is provided to the UE through AT commands or any other preconfigured means</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w:t>
      </w:r>
      <w:r>
        <w:rPr>
          <w:rFonts w:hint="eastAsia"/>
          <w:lang w:eastAsia="en-GB"/>
        </w:rPr>
        <w:tab/>
      </w:r>
      <w:r>
        <w:rPr>
          <w:rFonts w:hint="eastAsia"/>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8.</w:t>
      </w:r>
      <w:r>
        <w:rPr>
          <w:rFonts w:hint="eastAsia"/>
          <w:lang w:eastAsia="en-GB"/>
        </w:rPr>
        <w:tab/>
      </w:r>
      <w:r>
        <w:rPr>
          <w:rFonts w:hint="eastAsia"/>
          <w:lang w:eastAsia="en-GB"/>
        </w:rPr>
        <w:t>Ensure the UE is in State 3A-NB with CP CIoT Optimisation according to TS 36.508 [12] clause 8.1.5. Message contents are defined in clause 6.3B.4.2.4.3.</w:t>
      </w:r>
    </w:p>
    <w:p>
      <w:pPr>
        <w:pStyle w:val="9"/>
      </w:pPr>
      <w:r>
        <w:t>6.3B.4.2.4.2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1.</w:t>
      </w:r>
      <w:r>
        <w:rPr>
          <w:rFonts w:hint="eastAsia" w:eastAsia="Times New Roman"/>
          <w:lang w:eastAsia="en-GB"/>
        </w:rPr>
        <w:tab/>
      </w:r>
      <w:r>
        <w:rPr>
          <w:rFonts w:hint="eastAsia"/>
          <w:lang w:eastAsia="en-GB"/>
        </w:rPr>
        <w:t>The SS send the paging and UE shall send a preamble to the SS.</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2.</w:t>
      </w:r>
      <w:r>
        <w:rPr>
          <w:rFonts w:hint="eastAsia" w:eastAsia="Times New Roman"/>
          <w:lang w:eastAsia="en-GB"/>
        </w:rPr>
        <w:tab/>
      </w:r>
      <w:r>
        <w:rPr>
          <w:rFonts w:hint="eastAsia"/>
          <w:lang w:eastAsia="en-GB"/>
        </w:rPr>
        <w:t>NPRACH is set according to Table 6.3B.2.4.1-1.</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3.</w:t>
      </w:r>
      <w:r>
        <w:rPr>
          <w:rFonts w:hint="eastAsia" w:eastAsia="Times New Roman"/>
          <w:lang w:eastAsia="en-GB"/>
        </w:rPr>
        <w:tab/>
      </w:r>
      <w:r>
        <w:rPr>
          <w:rFonts w:hint="eastAsia"/>
          <w:lang w:eastAsia="en-GB"/>
        </w:rPr>
        <w:t>UE shall send a preamble to the SS.</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4.</w:t>
      </w:r>
      <w:r>
        <w:rPr>
          <w:rFonts w:hint="eastAsia" w:eastAsia="Times New Roman"/>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5</w:t>
      </w:r>
      <w:r>
        <w:rPr>
          <w:rFonts w:hint="eastAsia"/>
          <w:lang w:eastAsia="en-GB"/>
        </w:rPr>
        <w:t>.</w:t>
      </w:r>
      <w:r>
        <w:rPr>
          <w:rFonts w:hint="eastAsia"/>
          <w:lang w:eastAsia="en-GB"/>
        </w:rPr>
        <w:tab/>
      </w:r>
      <w:r>
        <w:rPr>
          <w:rFonts w:hint="eastAsia"/>
          <w:lang w:eastAsia="en-GB"/>
        </w:rPr>
        <w:t>The UE shall consider the random access response reception not successful then re-transmit the preamble with the calculated NPRACH transmission power.</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6.</w:t>
      </w:r>
      <w:r>
        <w:rPr>
          <w:rFonts w:hint="eastAsia" w:eastAsia="Times New Roman"/>
          <w:lang w:eastAsia="en-GB"/>
        </w:rPr>
        <w:tab/>
      </w:r>
      <w:r>
        <w:rPr>
          <w:rFonts w:hint="eastAsia"/>
          <w:lang w:eastAsia="en-GB"/>
        </w:rPr>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7</w:t>
      </w:r>
      <w:r>
        <w:rPr>
          <w:rFonts w:hint="eastAsia"/>
          <w:lang w:eastAsia="en-GB"/>
        </w:rPr>
        <w:t>.</w:t>
      </w:r>
      <w:r>
        <w:rPr>
          <w:rFonts w:hint="eastAsia"/>
          <w:lang w:eastAsia="en-GB"/>
        </w:rPr>
        <w:tab/>
      </w:r>
      <w:r>
        <w:rPr>
          <w:rFonts w:hint="eastAsia" w:eastAsia="Times New Roman"/>
          <w:lang w:eastAsia="en-GB"/>
        </w:rPr>
        <w:t>S</w:t>
      </w:r>
      <w:r>
        <w:rPr>
          <w:rFonts w:hint="eastAsia"/>
          <w:lang w:eastAsia="en-GB"/>
        </w:rPr>
        <w:t>witches off and on the UE and ensure</w:t>
      </w:r>
      <w:r>
        <w:rPr>
          <w:rFonts w:hint="eastAsia" w:eastAsia="Times New Roman"/>
          <w:lang w:eastAsia="en-GB"/>
        </w:rPr>
        <w:t xml:space="preserve"> the UE is </w:t>
      </w:r>
      <w:r>
        <w:rPr>
          <w:rFonts w:hint="eastAsia"/>
          <w:lang w:eastAsia="en-GB"/>
        </w:rPr>
        <w:t xml:space="preserve">in </w:t>
      </w:r>
      <w:r>
        <w:rPr>
          <w:rFonts w:hint="eastAsia" w:eastAsia="Times New Roman"/>
          <w:lang w:eastAsia="en-GB"/>
        </w:rPr>
        <w:t>State 3A-NB with CP CIoT Optimisation</w:t>
      </w:r>
      <w:r>
        <w:rPr>
          <w:rFonts w:hint="eastAsia"/>
          <w:lang w:eastAsia="en-GB"/>
        </w:rPr>
        <w:t xml:space="preserve"> according to TS 36.508 [12] clause </w:t>
      </w:r>
      <w:r>
        <w:rPr>
          <w:rFonts w:hint="eastAsia" w:eastAsia="Times New Roman"/>
          <w:lang w:eastAsia="en-GB"/>
        </w:rPr>
        <w:t xml:space="preserve">8.1.5. </w:t>
      </w:r>
      <w:r>
        <w:rPr>
          <w:rFonts w:hint="eastAsia"/>
          <w:lang w:eastAsia="en-GB"/>
        </w:rPr>
        <w:t>Message contents are defined in clause 6.3B.4.2.4.3.</w:t>
      </w:r>
    </w:p>
    <w:p>
      <w:pPr>
        <w:pStyle w:val="111"/>
        <w:overflowPunct w:val="0"/>
        <w:autoSpaceDE w:val="0"/>
        <w:autoSpaceDN w:val="0"/>
        <w:adjustRightInd w:val="0"/>
        <w:contextualSpacing w:val="0"/>
        <w:textAlignment w:val="baseline"/>
        <w:rPr>
          <w:rFonts w:hint="eastAsia"/>
          <w:snapToGrid/>
          <w:lang w:eastAsia="en-GB"/>
        </w:rPr>
      </w:pPr>
      <w:r>
        <w:rPr>
          <w:rFonts w:hint="eastAsia"/>
          <w:lang w:eastAsia="en-GB"/>
        </w:rPr>
        <w:t>8.</w:t>
      </w:r>
      <w:r>
        <w:rPr>
          <w:rFonts w:hint="eastAsia"/>
          <w:lang w:eastAsia="en-GB"/>
        </w:rPr>
        <w:tab/>
      </w:r>
      <w:r>
        <w:rPr>
          <w:rFonts w:hint="eastAsia"/>
          <w:lang w:eastAsia="en-GB"/>
        </w:rPr>
        <w:t>Repeat test with step 1-6 as indicated in section 6.3B.4.2.4.3.</w:t>
      </w:r>
    </w:p>
    <w:p>
      <w:pPr>
        <w:pStyle w:val="9"/>
      </w:pPr>
      <w:r>
        <w:t>6.3B.4.2.4.3</w:t>
      </w:r>
      <w:r>
        <w:tab/>
      </w:r>
      <w:r>
        <w:t>Message contents</w:t>
      </w:r>
    </w:p>
    <w:p>
      <w:r>
        <w:t>Message contents are according to TS 36.508 [12] subclause 8.1.6 with the following exceptions.</w:t>
      </w:r>
    </w:p>
    <w:p>
      <w:pPr>
        <w:pStyle w:val="113"/>
      </w:pPr>
      <w:r>
        <w:t>Table 6.3B.4.2.4.3-1: NPDSCH-ConfigCommon-NB-DEFAULT: NPRACH measurement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[7] clause </w:t>
            </w:r>
            <w:r>
              <w:rPr>
                <w:rFonts w:eastAsia="PMingLiU"/>
                <w:lang w:eastAsia="zh-TW"/>
              </w:rPr>
              <w:t>8.1.6</w:t>
            </w:r>
            <w:r>
              <w:t>,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single" w:color="auto" w:sz="4" w:space="0"/>
            </w:tcBorders>
          </w:tcPr>
          <w:p>
            <w:pPr>
              <w:pStyle w:val="103"/>
            </w:pPr>
            <w:r>
              <w:t xml:space="preserve">  nrs-Power-r13</w:t>
            </w:r>
          </w:p>
        </w:tc>
        <w:tc>
          <w:tcPr>
            <w:tcW w:w="2268" w:type="dxa"/>
          </w:tcPr>
          <w:p>
            <w:pPr>
              <w:pStyle w:val="103"/>
            </w:pPr>
            <w:r>
              <w:t>-22 (dBm)</w:t>
            </w:r>
          </w:p>
        </w:tc>
        <w:tc>
          <w:tcPr>
            <w:tcW w:w="1701" w:type="dxa"/>
          </w:tcPr>
          <w:p>
            <w:pPr>
              <w:pStyle w:val="103"/>
            </w:pPr>
          </w:p>
        </w:tc>
        <w:tc>
          <w:tcPr>
            <w:tcW w:w="1275"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3"/>
            </w:pPr>
            <w:r>
              <w:t>}</w:t>
            </w:r>
          </w:p>
        </w:tc>
        <w:tc>
          <w:tcPr>
            <w:tcW w:w="2268" w:type="dxa"/>
          </w:tcPr>
          <w:p>
            <w:pPr>
              <w:pStyle w:val="103"/>
            </w:pPr>
          </w:p>
        </w:tc>
        <w:tc>
          <w:tcPr>
            <w:tcW w:w="1701" w:type="dxa"/>
          </w:tcPr>
          <w:p>
            <w:pPr>
              <w:pStyle w:val="103"/>
            </w:pPr>
          </w:p>
        </w:tc>
        <w:tc>
          <w:tcPr>
            <w:tcW w:w="1275" w:type="dxa"/>
          </w:tcPr>
          <w:p>
            <w:pPr>
              <w:pStyle w:val="103"/>
            </w:pPr>
          </w:p>
        </w:tc>
      </w:tr>
    </w:tbl>
    <w:p/>
    <w:p>
      <w:pPr>
        <w:pStyle w:val="113"/>
      </w:pPr>
      <w:r>
        <w:t xml:space="preserve">Table 6.3B.4.2.4.3-2: RACH-ConfigCommon-NB-DEFAULT: </w:t>
      </w:r>
      <w:r>
        <w:rPr>
          <w:rFonts w:eastAsia="PMingLiU"/>
          <w:lang w:eastAsia="zh-TW"/>
        </w:rPr>
        <w:t>N</w:t>
      </w:r>
      <w:r>
        <w:t>PRACH measurement (Subtest 1: power step size ΔP = 2 dB)</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preambleTransMax-CE-r13</w:t>
            </w:r>
          </w:p>
        </w:tc>
        <w:tc>
          <w:tcPr>
            <w:tcW w:w="2268" w:type="dxa"/>
            <w:shd w:val="clear" w:color="auto" w:fill="auto"/>
          </w:tcPr>
          <w:p>
            <w:pPr>
              <w:pStyle w:val="103"/>
            </w:pPr>
            <w:r>
              <w:t>n50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113"/>
      </w:pPr>
      <w:r>
        <w:t xml:space="preserve">Table 6.3B.4.2.4.3-3: RACH-ConfigCommon-NB-DEFAULT: </w:t>
      </w:r>
      <w:r>
        <w:rPr>
          <w:rFonts w:eastAsia="PMingLiU"/>
          <w:lang w:eastAsia="zh-TW"/>
        </w:rPr>
        <w:t>N</w:t>
      </w:r>
      <w:r>
        <w:t>PRACH measurement (Subtest 2: power step size ΔP = 6 dB)</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781" w:type="dxa"/>
            <w:gridSpan w:val="4"/>
          </w:tcPr>
          <w:p>
            <w:pPr>
              <w:pStyle w:val="103"/>
            </w:pPr>
            <w:r>
              <w:t xml:space="preserve">Derivation Path: TS 36.508 [7] clause </w:t>
            </w:r>
            <w:r>
              <w:rPr>
                <w:rFonts w:eastAsia="PMingLiU"/>
                <w:lang w:eastAsia="zh-TW"/>
              </w:rPr>
              <w:t>8.1.6</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141" w:hRule="atLeast"/>
        </w:trPr>
        <w:tc>
          <w:tcPr>
            <w:tcW w:w="4537" w:type="dxa"/>
            <w:shd w:val="clear" w:color="auto" w:fill="auto"/>
          </w:tcPr>
          <w:p>
            <w:pPr>
              <w:pStyle w:val="103"/>
            </w:pPr>
            <w:r>
              <w:t xml:space="preserve">  preambleTransMax-CE-r13</w:t>
            </w:r>
          </w:p>
        </w:tc>
        <w:tc>
          <w:tcPr>
            <w:tcW w:w="2268" w:type="dxa"/>
            <w:shd w:val="clear" w:color="auto" w:fill="auto"/>
          </w:tcPr>
          <w:p>
            <w:pPr>
              <w:pStyle w:val="103"/>
            </w:pPr>
            <w:r>
              <w:t>n10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powerRampingStep</w:t>
            </w:r>
          </w:p>
        </w:tc>
        <w:tc>
          <w:tcPr>
            <w:tcW w:w="2268" w:type="dxa"/>
            <w:shd w:val="clear" w:color="auto" w:fill="auto"/>
          </w:tcPr>
          <w:p>
            <w:pPr>
              <w:pStyle w:val="103"/>
            </w:pPr>
            <w:r>
              <w:t>dB6</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6.3B.4.2.5</w:t>
      </w:r>
      <w:r>
        <w:tab/>
      </w:r>
      <w:r>
        <w:t>Test requirement</w:t>
      </w:r>
    </w:p>
    <w:p>
      <w:r>
        <w:t>Each UE power step measured in the test procedure 6.3B.4.2.4.2 should satisfy the test requirements specified in Table 6.3B.4.2.5-1 for normal conditions; for extreme conditions an additional ± 2.0 dB relaxation is allowed.</w:t>
      </w:r>
    </w:p>
    <w:p>
      <w:pPr>
        <w:pStyle w:val="113"/>
      </w:pPr>
      <w:r>
        <w:t>Table 6.3B.4.2.5-1: Relative power tolerance for category NB1 and NB2 NPRACH transmission (normal conditions – Note 1)</w:t>
      </w:r>
    </w:p>
    <w:tbl>
      <w:tblPr>
        <w:tblStyle w:val="89"/>
        <w:tblW w:w="65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6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5" w:hRule="atLeast"/>
          <w:jc w:val="center"/>
        </w:trPr>
        <w:tc>
          <w:tcPr>
            <w:tcW w:w="3260" w:type="dxa"/>
            <w:vAlign w:val="center"/>
          </w:tcPr>
          <w:p>
            <w:pPr>
              <w:pStyle w:val="104"/>
            </w:pPr>
            <w:r>
              <w:t>Expected power step size (up)</w:t>
            </w:r>
          </w:p>
          <w:p>
            <w:pPr>
              <w:pStyle w:val="104"/>
            </w:pPr>
            <w:r>
              <w:t>ΔP [dB]</w:t>
            </w:r>
          </w:p>
        </w:tc>
        <w:tc>
          <w:tcPr>
            <w:tcW w:w="3330" w:type="dxa"/>
            <w:shd w:val="clear" w:color="auto" w:fill="auto"/>
            <w:vAlign w:val="center"/>
          </w:tcPr>
          <w:p>
            <w:pPr>
              <w:pStyle w:val="104"/>
            </w:pPr>
            <w:r>
              <w:t>NPRACH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b w:val="0"/>
                <w:sz w:val="18"/>
              </w:rPr>
            </w:pPr>
            <w:r>
              <w:rPr>
                <w:b w:val="0"/>
                <w:sz w:val="18"/>
              </w:rPr>
              <w:t>ΔP = 2</w:t>
            </w:r>
          </w:p>
        </w:tc>
        <w:tc>
          <w:tcPr>
            <w:tcW w:w="3330" w:type="dxa"/>
            <w:shd w:val="clear" w:color="auto" w:fill="auto"/>
            <w:vAlign w:val="center"/>
          </w:tcPr>
          <w:p>
            <w:pPr>
              <w:pStyle w:val="113"/>
              <w:spacing w:before="0" w:after="0"/>
              <w:rPr>
                <w:b w:val="0"/>
                <w:sz w:val="18"/>
              </w:rPr>
            </w:pPr>
            <w:r>
              <w:rPr>
                <w:b w:val="0"/>
                <w:sz w:val="18"/>
              </w:rPr>
              <w:t>2 ± (2.7)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3260" w:type="dxa"/>
          </w:tcPr>
          <w:p>
            <w:pPr>
              <w:pStyle w:val="113"/>
              <w:spacing w:before="0" w:after="0"/>
              <w:rPr>
                <w:rFonts w:eastAsia="Malgun Gothic"/>
                <w:b w:val="0"/>
                <w:sz w:val="18"/>
                <w:lang w:eastAsia="ko-KR"/>
              </w:rPr>
            </w:pPr>
            <w:r>
              <w:rPr>
                <w:b w:val="0"/>
                <w:sz w:val="18"/>
              </w:rPr>
              <w:t>ΔP = 6</w:t>
            </w:r>
          </w:p>
        </w:tc>
        <w:tc>
          <w:tcPr>
            <w:tcW w:w="3330" w:type="dxa"/>
            <w:shd w:val="clear" w:color="auto" w:fill="auto"/>
            <w:vAlign w:val="center"/>
          </w:tcPr>
          <w:p>
            <w:pPr>
              <w:pStyle w:val="113"/>
              <w:spacing w:before="0" w:after="0"/>
              <w:rPr>
                <w:rFonts w:eastAsia="Malgun Gothic"/>
                <w:b w:val="0"/>
                <w:sz w:val="18"/>
                <w:lang w:eastAsia="ko-KR"/>
              </w:rPr>
            </w:pPr>
            <w:r>
              <w:rPr>
                <w:b w:val="0"/>
                <w:sz w:val="18"/>
                <w:lang w:eastAsia="ko-KR"/>
              </w:rPr>
              <w:t>6</w:t>
            </w:r>
            <w:r>
              <w:rPr>
                <w:b w:val="0"/>
                <w:sz w:val="18"/>
              </w:rPr>
              <w:t xml:space="preserve"> ± (4.7)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590" w:type="dxa"/>
            <w:gridSpan w:val="2"/>
          </w:tcPr>
          <w:p>
            <w:pPr>
              <w:pStyle w:val="118"/>
              <w:rPr>
                <w:lang w:eastAsia="ko-KR"/>
              </w:rPr>
            </w:pPr>
            <w:r>
              <w:t>Note 1:</w:t>
            </w:r>
            <w:r>
              <w:tab/>
            </w:r>
            <w:r>
              <w:rPr>
                <w:lang w:eastAsia="ko-KR"/>
              </w:rPr>
              <w:t>For extreme conditions an additional ± 2.0 dB relaxation is allowed.</w:t>
            </w:r>
          </w:p>
          <w:p>
            <w:pPr>
              <w:pStyle w:val="118"/>
            </w:pPr>
            <w:r>
              <w:t>Note 2:</w:t>
            </w:r>
            <w:r>
              <w:tab/>
            </w:r>
            <w:r>
              <w:t>Only UE output power measurements within the range -39.3 to 20.3 dBm for Power Class 3, or -39.3 to 16.8 dBm for Power Class 5 shall be considered in the pass/fail criteria.</w:t>
            </w:r>
          </w:p>
        </w:tc>
      </w:tr>
    </w:tbl>
    <w:p/>
    <w:p>
      <w:pPr>
        <w:pStyle w:val="6"/>
      </w:pPr>
      <w:bookmarkStart w:id="389" w:name="_Toc23380"/>
      <w:bookmarkStart w:id="390" w:name="_Toc31912"/>
      <w:r>
        <w:t>6.3B.4.3 Aggregate power control tolerance for category NB1 and NB2</w:t>
      </w:r>
      <w:bookmarkEnd w:id="389"/>
      <w:bookmarkEnd w:id="390"/>
    </w:p>
    <w:p>
      <w:pPr>
        <w:pStyle w:val="112"/>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9"/>
      </w:pPr>
      <w:r>
        <w:t>6.3B.4.3.1</w:t>
      </w:r>
      <w:r>
        <w:tab/>
      </w:r>
      <w:r>
        <w:t>Test purpose</w:t>
      </w:r>
    </w:p>
    <w:p>
      <w:pPr>
        <w:spacing w:after="120"/>
      </w:pPr>
      <w:r>
        <w:t xml:space="preserve">To verify the ability of a category NB1 and NB2 UE to maintain its output power in non-contiguous transmission with respect to the first UE transmission, when the uplink power control parameters as defined in TS 36.213 are constant and </w:t>
      </w:r>
      <w:r>
        <w:rPr>
          <w:rFonts w:cs="Arial"/>
        </w:rPr>
        <w:t>α is set to 0</w:t>
      </w:r>
      <w:r>
        <w:t>.</w:t>
      </w:r>
    </w:p>
    <w:p>
      <w:pPr>
        <w:pStyle w:val="9"/>
      </w:pPr>
      <w:r>
        <w:t>6.3B.4.3.2</w:t>
      </w:r>
      <w:r>
        <w:tab/>
      </w:r>
      <w:r>
        <w:t>Test applicability</w:t>
      </w:r>
    </w:p>
    <w:p>
      <w:r>
        <w:t>This test case applies to all types of</w:t>
      </w:r>
      <w:r>
        <w:rPr>
          <w:lang w:eastAsia="zh-TW"/>
        </w:rPr>
        <w:t xml:space="preserve"> </w:t>
      </w:r>
      <w:r>
        <w:t>NB-IoT</w:t>
      </w:r>
      <w:r>
        <w:rPr>
          <w:lang w:eastAsia="zh-TW"/>
        </w:rPr>
        <w:t xml:space="preserve"> FDD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pPr>
      <w:r>
        <w:t>6.3B.4.3.3</w:t>
      </w:r>
      <w:r>
        <w:tab/>
      </w:r>
      <w:r>
        <w:t>Minimum conformance requirements</w:t>
      </w:r>
    </w:p>
    <w:p>
      <w:pPr>
        <w:rPr>
          <w:rFonts w:cs="v5.0.0"/>
        </w:rPr>
      </w:pPr>
      <w:r>
        <w:rPr>
          <w:rFonts w:cs="v5.0.0"/>
        </w:rPr>
        <w:t>The UE shall meet the requirements specified in Table 6.3B.4.3.3-1 for aggregate power control over the power range bounded by the minimum output power as defined in subclause 6.3B.1 and the maximum output power as defined in subclause 6.2B.1.</w:t>
      </w:r>
    </w:p>
    <w:p>
      <w:pPr>
        <w:pStyle w:val="113"/>
      </w:pPr>
      <w:r>
        <w:t>Table 6.3B.4.3.3-1: Aggregate power control tolerance for HD-FDD</w:t>
      </w:r>
    </w:p>
    <w:tbl>
      <w:tblPr>
        <w:tblStyle w:val="89"/>
        <w:tblW w:w="5647" w:type="dxa"/>
        <w:tblInd w:w="1668" w:type="dxa"/>
        <w:tblLayout w:type="autofit"/>
        <w:tblCellMar>
          <w:top w:w="0" w:type="dxa"/>
          <w:left w:w="108" w:type="dxa"/>
          <w:bottom w:w="0" w:type="dxa"/>
          <w:right w:w="108" w:type="dxa"/>
        </w:tblCellMar>
      </w:tblPr>
      <w:tblGrid>
        <w:gridCol w:w="1703"/>
        <w:gridCol w:w="1972"/>
        <w:gridCol w:w="1972"/>
      </w:tblGrid>
      <w:tr>
        <w:tblPrEx>
          <w:tblCellMar>
            <w:top w:w="0" w:type="dxa"/>
            <w:left w:w="108" w:type="dxa"/>
            <w:bottom w:w="0" w:type="dxa"/>
            <w:right w:w="108" w:type="dxa"/>
          </w:tblCellMar>
        </w:tblPrEx>
        <w:trPr>
          <w:trHeight w:val="150" w:hRule="atLeast"/>
        </w:trPr>
        <w:tc>
          <w:tcPr>
            <w:tcW w:w="1703"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UL channel</w:t>
            </w:r>
          </w:p>
        </w:tc>
        <w:tc>
          <w:tcPr>
            <w:tcW w:w="394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v5.0.0"/>
                <w:b/>
                <w:sz w:val="18"/>
              </w:rPr>
            </w:pPr>
            <w:r>
              <w:rPr>
                <w:rFonts w:ascii="Arial" w:hAnsi="Arial" w:cs="Arial"/>
                <w:b/>
                <w:sz w:val="18"/>
              </w:rPr>
              <w:t xml:space="preserve">Aggregate power tolerance </w:t>
            </w:r>
          </w:p>
        </w:tc>
      </w:tr>
      <w:tr>
        <w:tblPrEx>
          <w:tblCellMar>
            <w:top w:w="0" w:type="dxa"/>
            <w:left w:w="108" w:type="dxa"/>
            <w:bottom w:w="0" w:type="dxa"/>
            <w:right w:w="108" w:type="dxa"/>
          </w:tblCellMar>
        </w:tblPrEx>
        <w:trPr>
          <w:trHeight w:val="150" w:hRule="atLeast"/>
        </w:trPr>
        <w:tc>
          <w:tcPr>
            <w:tcW w:w="1703"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sz w:val="18"/>
              </w:rPr>
            </w:pPr>
          </w:p>
        </w:tc>
        <w:tc>
          <w:tcPr>
            <w:tcW w:w="19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15 kHz / 12 tones within 53 ms</w:t>
            </w:r>
          </w:p>
        </w:tc>
        <w:tc>
          <w:tcPr>
            <w:tcW w:w="197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b/>
                <w:sz w:val="18"/>
              </w:rPr>
            </w:pPr>
            <w:r>
              <w:rPr>
                <w:rFonts w:ascii="Arial" w:hAnsi="Arial" w:cs="Arial"/>
                <w:b/>
                <w:sz w:val="18"/>
              </w:rPr>
              <w:t>15 kHz / 1 tone within 104 ms</w:t>
            </w:r>
          </w:p>
        </w:tc>
      </w:tr>
      <w:tr>
        <w:tblPrEx>
          <w:tblCellMar>
            <w:top w:w="0" w:type="dxa"/>
            <w:left w:w="108" w:type="dxa"/>
            <w:bottom w:w="0" w:type="dxa"/>
            <w:right w:w="108" w:type="dxa"/>
          </w:tblCellMar>
        </w:tblPrEx>
        <w:trPr>
          <w:trHeight w:val="302" w:hRule="atLeast"/>
        </w:trPr>
        <w:tc>
          <w:tcPr>
            <w:tcW w:w="17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NPUSCH</w:t>
            </w:r>
          </w:p>
        </w:tc>
        <w:tc>
          <w:tcPr>
            <w:tcW w:w="394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sz w:val="18"/>
              </w:rPr>
            </w:pPr>
            <w:r>
              <w:rPr>
                <w:rFonts w:ascii="Arial" w:hAnsi="Arial" w:cs="Arial"/>
                <w:sz w:val="18"/>
              </w:rPr>
              <w:t>±3.5 dB</w:t>
            </w:r>
          </w:p>
        </w:tc>
      </w:tr>
      <w:tr>
        <w:tblPrEx>
          <w:tblCellMar>
            <w:top w:w="0" w:type="dxa"/>
            <w:left w:w="108" w:type="dxa"/>
            <w:bottom w:w="0" w:type="dxa"/>
            <w:right w:w="108" w:type="dxa"/>
          </w:tblCellMar>
        </w:tblPrEx>
        <w:trPr>
          <w:trHeight w:val="302" w:hRule="atLeast"/>
        </w:trPr>
        <w:tc>
          <w:tcPr>
            <w:tcW w:w="5647" w:type="dxa"/>
            <w:gridSpan w:val="3"/>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w:t>
            </w:r>
            <w:r>
              <w:rPr>
                <w:rFonts w:ascii="Arial" w:hAnsi="Arial"/>
                <w:sz w:val="18"/>
              </w:rPr>
              <w:tab/>
            </w:r>
            <w:r>
              <w:rPr>
                <w:rFonts w:ascii="Arial" w:hAnsi="Arial"/>
                <w:sz w:val="18"/>
              </w:rPr>
              <w:t>For five consecutive UE transmissions the transmission gaps are 12 ms for 12 tone and 16 ms for single tone transmissions. Uplink scheduling grant is transmitted via NPDCCH eight subframes before NPUSCH transmission.</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6.3B.4.</w:t>
      </w:r>
    </w:p>
    <w:p>
      <w:pPr>
        <w:pStyle w:val="9"/>
      </w:pPr>
      <w:r>
        <w:t>6.3B.4.3.4</w:t>
      </w:r>
      <w:r>
        <w:tab/>
      </w:r>
      <w:r>
        <w:t>Test description</w:t>
      </w:r>
    </w:p>
    <w:p>
      <w:pPr>
        <w:pStyle w:val="9"/>
      </w:pPr>
      <w:r>
        <w:t>6.3B.4.3.4.1</w:t>
      </w:r>
      <w:r>
        <w:tab/>
      </w:r>
      <w:r>
        <w:t>Initial conditions</w:t>
      </w:r>
    </w:p>
    <w:p>
      <w:pPr>
        <w:rPr>
          <w:rFonts w:eastAsia="PMingLiU"/>
          <w:lang w:eastAsia="zh-TW"/>
        </w:rPr>
      </w:pPr>
      <w:r>
        <w:rPr>
          <w:rFonts w:eastAsia="PMingLiU"/>
          <w:lang w:eastAsia="zh-TW"/>
        </w:rPr>
        <w:t>Initial conditions are set of test configurations the UE needs to be tested in and the steps for the SS to take with the UE to reach the correct measurement state.</w:t>
      </w:r>
    </w:p>
    <w:p>
      <w:pPr>
        <w:rPr>
          <w:rFonts w:eastAsia="PMingLiU"/>
          <w:lang w:eastAsia="zh-TW"/>
        </w:rPr>
      </w:pPr>
      <w:r>
        <w:t>The initial test configurations consist of environmental conditions and test frequencies based on the subset of E-UTRA operating bands defined for NB-IoT in clause 5.2B.</w:t>
      </w:r>
      <w:r>
        <w:rPr>
          <w:rFonts w:eastAsia="PMingLiU"/>
          <w:lang w:eastAsia="zh-TW"/>
        </w:rPr>
        <w:t xml:space="preserve"> All of these configurations shall be tested with applicable test parameters for each channel bandwidth and are shown in table 6.3B.4.3.4.1-1. The details of the uplink reference measurement channel (RMCs) are specified in TS 36.521-1[14] Annex A.2.4. </w:t>
      </w:r>
      <w:r>
        <w:t>Configurations of NPDSCH and NPDCCH before measurement are specified in TS 36.521-1[14] Annex C.2.</w:t>
      </w:r>
    </w:p>
    <w:p>
      <w:pPr>
        <w:pStyle w:val="113"/>
      </w:pPr>
      <w:r>
        <w:t>Table 6.3B.4.3.4.1-1: Test Configuration</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szCs w:val="18"/>
              </w:rPr>
              <w:t>TS 36.508 [12]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szCs w:val="18"/>
              </w:rPr>
              <w:t>TS 36.508 [12] subclause 8.1.3.1</w:t>
            </w:r>
          </w:p>
        </w:tc>
        <w:tc>
          <w:tcPr>
            <w:tcW w:w="5494" w:type="dxa"/>
            <w:gridSpan w:val="3"/>
          </w:tcPr>
          <w:p>
            <w:pPr>
              <w:pStyle w:val="103"/>
            </w:pPr>
            <w:r>
              <w:rPr>
                <w:rFonts w:eastAsia="微软雅黑" w:cs="Arial"/>
                <w:szCs w:val="18"/>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szCs w:val="18"/>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szCs w:val="18"/>
              </w:rPr>
              <w:t>Modulation</w:t>
            </w:r>
          </w:p>
        </w:tc>
        <w:tc>
          <w:tcPr>
            <w:tcW w:w="1843" w:type="dxa"/>
          </w:tcPr>
          <w:p>
            <w:pPr>
              <w:pStyle w:val="103"/>
              <w:jc w:val="center"/>
            </w:pPr>
            <w:r>
              <w:rPr>
                <w:rFonts w:eastAsia="微软雅黑" w:cs="Arial"/>
                <w:szCs w:val="18"/>
              </w:rPr>
              <w:t>N</w:t>
            </w:r>
            <w:r>
              <w:rPr>
                <w:rFonts w:eastAsia="微软雅黑" w:cs="Arial"/>
                <w:szCs w:val="18"/>
                <w:vertAlign w:val="subscript"/>
              </w:rPr>
              <w:t>tones</w:t>
            </w:r>
            <w:r>
              <w:rPr>
                <w:rFonts w:eastAsia="微软雅黑" w:cs="Arial"/>
                <w:szCs w:val="18"/>
              </w:rPr>
              <w:t>, start position</w:t>
            </w:r>
          </w:p>
        </w:tc>
        <w:tc>
          <w:tcPr>
            <w:tcW w:w="2376" w:type="dxa"/>
          </w:tcPr>
          <w:p>
            <w:pPr>
              <w:pStyle w:val="103"/>
              <w:jc w:val="center"/>
            </w:pPr>
            <w:r>
              <w:rPr>
                <w:rFonts w:eastAsia="微软雅黑" w:cs="Arial"/>
                <w:szCs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1@11</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 xml:space="preserve">3 </w:t>
            </w:r>
            <w:r>
              <w:rPr>
                <w:rFonts w:cs="Arial"/>
              </w:rPr>
              <w:t>(</w:t>
            </w:r>
            <w:r>
              <w:rPr>
                <w:rFonts w:eastAsia="微软雅黑" w:cs="Arial"/>
                <w:szCs w:val="18"/>
              </w:rPr>
              <w:t>Note 1</w:t>
            </w:r>
            <w:r>
              <w:rPr>
                <w:rFonts w:cs="Arial"/>
              </w:rPr>
              <w:t>)</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rPr>
                <w:rFonts w:eastAsia="微软雅黑" w:cs="Arial"/>
                <w:szCs w:val="18"/>
              </w:rPr>
            </w:pPr>
            <w:r>
              <w:rPr>
                <w:rFonts w:eastAsia="微软雅黑" w:cs="Arial"/>
                <w:szCs w:val="18"/>
              </w:rPr>
              <w:t>12@0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rPr>
                <w:rFonts w:eastAsia="微软雅黑" w:cs="Arial"/>
                <w:szCs w:val="18"/>
              </w:rPr>
            </w:pPr>
            <w:r>
              <w:rPr>
                <w:rFonts w:eastAsia="微软雅黑" w:cs="Arial"/>
                <w:szCs w:val="18"/>
              </w:rPr>
              <w:t>Note 1:</w:t>
            </w:r>
            <w:r>
              <w:rPr>
                <w:rFonts w:eastAsia="微软雅黑" w:cs="Arial"/>
              </w:rPr>
              <w:t> </w:t>
            </w:r>
            <w:r>
              <w:rPr>
                <w:rFonts w:eastAsia="微软雅黑" w:cs="Arial"/>
                <w:szCs w:val="18"/>
              </w:rPr>
              <w:t>Applicable to UE supporting UL multi-tone transmissions</w:t>
            </w:r>
          </w:p>
        </w:tc>
      </w:tr>
    </w:tbl>
    <w:p>
      <w:pPr>
        <w:rPr>
          <w:rFonts w:eastAsia="PMingLiU"/>
          <w:lang w:eastAsia="zh-TW"/>
        </w:rPr>
      </w:pP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8.1.4.3.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TS 36.521-1[14] Annex C and uplink signals according to Annex 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 is set according to Table 6.3B.4.3.4.1-1.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TS 36.521-1[14]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eastAsia="Times New Roman"/>
          <w:lang w:eastAsia="en-GB"/>
        </w:rPr>
        <w:t>UE location according to TS 36.508 [12] clause 4.13 is provided to the UE through AT commands or any other preconfigured means</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w:t>
      </w:r>
      <w:r>
        <w:rPr>
          <w:rFonts w:hint="eastAsia"/>
          <w:lang w:eastAsia="en-GB"/>
        </w:rPr>
        <w:tab/>
      </w:r>
      <w:r>
        <w:rPr>
          <w:rFonts w:hint="eastAsia"/>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8.</w:t>
      </w:r>
      <w:r>
        <w:rPr>
          <w:rFonts w:hint="eastAsia"/>
          <w:lang w:eastAsia="en-GB"/>
        </w:rPr>
        <w:tab/>
      </w:r>
      <w:r>
        <w:rPr>
          <w:rFonts w:hint="eastAsia"/>
          <w:lang w:eastAsia="en-GB"/>
        </w:rPr>
        <w:t>Ensure the UE is in State 2A-NB with CP CIoT Optimisation according to TS 36.508 [12] clause 8.1.5. Message contents are defined in clause 6.3B.4.3.4.3.</w:t>
      </w:r>
    </w:p>
    <w:p>
      <w:pPr>
        <w:pStyle w:val="9"/>
      </w:pPr>
      <w:r>
        <w:t>6.3B.4.3.4.2</w:t>
      </w:r>
      <w:r>
        <w:tab/>
      </w:r>
      <w:r>
        <w:t>Test procedure</w:t>
      </w:r>
    </w:p>
    <w:p>
      <w:r>
        <w:t>The procedure is separated in two subtests to verify single tone and multi tone NPUSCH aggregate power control tolerance respectively. The uplink transmission patterns are described in figure 6.3B.4.3.4.2-1.</w:t>
      </w:r>
    </w:p>
    <w:p>
      <w:pPr>
        <w:pStyle w:val="113"/>
      </w:pPr>
      <w:bookmarkStart w:id="391" w:name="_MON_1570960071"/>
      <w:bookmarkEnd w:id="391"/>
      <w:r>
        <w:rPr>
          <w:snapToGrid w:val="0"/>
        </w:rPr>
        <w:object>
          <v:shape id="_x0000_i1031" o:spt="75" type="#_x0000_t75" style="height:374.75pt;width:403.65pt;" o:ole="t" filled="f" o:preferrelative="t" stroked="f" coordsize="21600,21600">
            <v:path/>
            <v:fill on="f" focussize="0,0"/>
            <v:stroke on="f" joinstyle="miter"/>
            <v:imagedata r:id="rId32" o:title=""/>
            <o:lock v:ext="edit" aspectratio="t"/>
            <w10:wrap type="none"/>
            <w10:anchorlock/>
          </v:shape>
          <o:OLEObject Type="Embed" ProgID="Word.Picture.8" ShapeID="_x0000_i1031" DrawAspect="Content" ObjectID="_1468075731" r:id="rId31">
            <o:LockedField>false</o:LockedField>
          </o:OLEObject>
        </w:object>
      </w:r>
      <w:r>
        <w:object>
          <v:shape id="_x0000_i1032" o:spt="75" type="#_x0000_t75" style="height:302.75pt;width:381.8pt;" o:ole="t" filled="f" o:preferrelative="t" stroked="f" coordsize="21600,21600">
            <v:path/>
            <v:fill on="f" focussize="0,0"/>
            <v:stroke on="f" joinstyle="miter"/>
            <v:imagedata r:id="rId34" o:title=""/>
            <o:lock v:ext="edit" aspectratio="t"/>
            <w10:wrap type="none"/>
            <w10:anchorlock/>
          </v:shape>
          <o:OLEObject Type="Embed" ProgID="Visio.Drawing.15" ShapeID="_x0000_i1032" DrawAspect="Content" ObjectID="_1468075732" r:id="rId33">
            <o:LockedField>false</o:LockedField>
          </o:OLEObject>
        </w:object>
      </w:r>
    </w:p>
    <w:p>
      <w:pPr>
        <w:pStyle w:val="120"/>
      </w:pPr>
      <w:r>
        <w:t>Figure 6.3B.4.3.4.2-1 Test uplink transmission for HD-FDD</w:t>
      </w:r>
    </w:p>
    <w:p>
      <w:r>
        <w:t>For single tone NPUSCH transmission scenario:</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  Schedule the UE's NPUSCH data transmission for period containing SI message transmission according to TS 36.521-1[14] Annex A.2.4 and make the UE transmit NPUSCH with 32 or 48 slots (16 or 24 ms) gap for HD-FDD or 46 slots (23ms) gap for TDD. Uplink scheduling grant is transmitted via NPDCCH 9 subframes before NPUSCH transmission.</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  Measure the power of 5 consecutive NPUSCH transmissions to verify the UE transmitted NPUSCH power is maintained within 112 ms for HD-FDD. The transient periods of 20us are excluded from the power measurement.</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4.  Repeat step 2 and 3 for configuration ID 2 in Table 6.3B.4.3.4.1-1.</w:t>
      </w:r>
    </w:p>
    <w:p>
      <w:r>
        <w:t>For 12 tones NPUSCH transmission scenario:</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0.  SS release the connection through State 3A-NB and finally ensure the UE is in State 2A-NB with CP CIoT Optimisation according to TS 36.508 [12] clause 8.1.5 and configure the UE to the new UL power level with messages in Table 6.3B.4.3.4.3-2.</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2.  Schedule the UE's NPUSCH data transmission for period where there is no transmission of SI messages according to TS 36.521-1[14] Annex A.2.4 and make the UE transmit NPUSCH with 28, 30 or 32 slots (14, 15 or 16 ms) gap for HD-FDD . Uplink scheduling grant is transmitted via NPDCCH 9 subframes before NPUSCH transmission.</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eastAsia="Times New Roman"/>
          <w:lang w:eastAsia="en-GB"/>
        </w:rPr>
        <w:t>3.  Measure the power of 5 consecutive NPUSCH transmissions to verify the UE transmitted NPUSCH power is maintained within 65 ms for HD-FDD. The transient periods of 20us are excluded from the power measurement.</w:t>
      </w:r>
    </w:p>
    <w:p>
      <w:pPr>
        <w:pStyle w:val="9"/>
      </w:pPr>
      <w:r>
        <w:t>6.3B.4.3.4.3</w:t>
      </w:r>
      <w:r>
        <w:tab/>
      </w:r>
      <w:r>
        <w:t>Message contents</w:t>
      </w:r>
    </w:p>
    <w:p>
      <w:r>
        <w:t>Message contents are according to TS 36.508 [12] subclause 8.1.6 with the following exceptions.</w:t>
      </w:r>
    </w:p>
    <w:p>
      <w:pPr>
        <w:pStyle w:val="113"/>
      </w:pPr>
      <w:r>
        <w:t>Table 6.3B.4.3.4.3-1: P0-NominalNPUSCH-r13 configuration for single tone 15 kHz scenario</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0 (0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6.3B.4.3.4.3-2: P0-NominalNPUSCH-r13 configuration for 12 tones 15 kHz scenario</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 (-0.2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al0 (0)</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Pr>
        <w:rPr>
          <w:lang w:eastAsia="ja-JP"/>
        </w:rPr>
      </w:pPr>
    </w:p>
    <w:p>
      <w:pPr>
        <w:pStyle w:val="9"/>
      </w:pPr>
      <w:r>
        <w:t>6.3B.4.3.5</w:t>
      </w:r>
      <w:r>
        <w:tab/>
      </w:r>
      <w:r>
        <w:t>Test requirement</w:t>
      </w:r>
    </w:p>
    <w:p>
      <w:r>
        <w:t xml:space="preserve">The requirement for the power measurements made in step 4 of the test procedure shall not </w:t>
      </w:r>
      <w:r>
        <w:rPr>
          <w:rFonts w:eastAsia="香~??’c‘I"/>
        </w:rPr>
        <w:t>exceed</w:t>
      </w:r>
      <w:r>
        <w:t xml:space="preserve"> the values specified in Table 6.3B.4.3.5-1. The power measurement period shall be 1 resource unit excluding transient periods.</w:t>
      </w:r>
    </w:p>
    <w:p>
      <w:pPr>
        <w:pStyle w:val="113"/>
      </w:pPr>
      <w:r>
        <w:t>Table 6.3B.4.3.5-1: Power control tolerance</w:t>
      </w:r>
    </w:p>
    <w:tbl>
      <w:tblPr>
        <w:tblStyle w:val="89"/>
        <w:tblW w:w="7204" w:type="dxa"/>
        <w:tblInd w:w="1668" w:type="dxa"/>
        <w:tblLayout w:type="autofit"/>
        <w:tblCellMar>
          <w:top w:w="0" w:type="dxa"/>
          <w:left w:w="108" w:type="dxa"/>
          <w:bottom w:w="0" w:type="dxa"/>
          <w:right w:w="108" w:type="dxa"/>
        </w:tblCellMar>
      </w:tblPr>
      <w:tblGrid>
        <w:gridCol w:w="1559"/>
        <w:gridCol w:w="5645"/>
      </w:tblGrid>
      <w:tr>
        <w:tblPrEx>
          <w:tblCellMar>
            <w:top w:w="0" w:type="dxa"/>
            <w:left w:w="108" w:type="dxa"/>
            <w:bottom w:w="0" w:type="dxa"/>
            <w:right w:w="108" w:type="dxa"/>
          </w:tblCellMar>
        </w:tblPrEx>
        <w:trPr>
          <w:trHeight w:val="302" w:hRule="atLeast"/>
        </w:trPr>
        <w:tc>
          <w:tcPr>
            <w:tcW w:w="15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color w:val="000000"/>
                <w:sz w:val="18"/>
                <w:lang w:eastAsia="ja-JP"/>
              </w:rPr>
            </w:pPr>
            <w:r>
              <w:rPr>
                <w:rFonts w:ascii="Arial" w:hAnsi="Arial" w:cs="Tahoma"/>
                <w:b/>
                <w:color w:val="000000"/>
                <w:sz w:val="18"/>
                <w:lang w:eastAsia="ja-JP"/>
              </w:rPr>
              <w:t>UL channel</w:t>
            </w:r>
          </w:p>
        </w:tc>
        <w:tc>
          <w:tcPr>
            <w:tcW w:w="56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color w:val="000000"/>
                <w:sz w:val="18"/>
                <w:lang w:eastAsia="ja-JP"/>
              </w:rPr>
            </w:pPr>
            <w:r>
              <w:rPr>
                <w:rFonts w:ascii="Arial" w:hAnsi="Arial" w:cs="Tahoma"/>
                <w:b/>
                <w:color w:val="000000"/>
                <w:sz w:val="18"/>
                <w:lang w:eastAsia="ja-JP"/>
              </w:rPr>
              <w:t>Test requirement measured power</w:t>
            </w:r>
          </w:p>
        </w:tc>
      </w:tr>
      <w:tr>
        <w:tblPrEx>
          <w:tblCellMar>
            <w:top w:w="0" w:type="dxa"/>
            <w:left w:w="108" w:type="dxa"/>
            <w:bottom w:w="0" w:type="dxa"/>
            <w:right w:w="108" w:type="dxa"/>
          </w:tblCellMar>
        </w:tblPrEx>
        <w:trPr>
          <w:trHeight w:val="302" w:hRule="atLeast"/>
        </w:trPr>
        <w:tc>
          <w:tcPr>
            <w:tcW w:w="155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olor w:val="000000"/>
                <w:sz w:val="18"/>
                <w:lang w:eastAsia="ja-JP"/>
              </w:rPr>
            </w:pPr>
            <w:r>
              <w:rPr>
                <w:rFonts w:ascii="Arial" w:hAnsi="Arial" w:cs="Tahoma"/>
                <w:color w:val="000000"/>
                <w:sz w:val="18"/>
                <w:lang w:eastAsia="ja-JP"/>
              </w:rPr>
              <w:t>NPUSCH</w:t>
            </w:r>
          </w:p>
        </w:tc>
        <w:tc>
          <w:tcPr>
            <w:tcW w:w="564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olor w:val="000000"/>
                <w:sz w:val="18"/>
                <w:lang w:eastAsia="ja-JP"/>
              </w:rPr>
            </w:pPr>
            <w:r>
              <w:rPr>
                <w:rFonts w:ascii="Arial" w:hAnsi="Arial"/>
                <w:color w:val="000000"/>
                <w:sz w:val="18"/>
                <w:lang w:eastAsia="ja-JP"/>
              </w:rPr>
              <w:t>Given 5 power measurements in the pattern, the 2</w:t>
            </w:r>
            <w:r>
              <w:rPr>
                <w:rFonts w:ascii="Arial" w:hAnsi="Arial"/>
                <w:color w:val="000000"/>
                <w:sz w:val="18"/>
                <w:vertAlign w:val="superscript"/>
                <w:lang w:eastAsia="ja-JP"/>
              </w:rPr>
              <w:t>nd</w:t>
            </w:r>
            <w:r>
              <w:rPr>
                <w:rFonts w:ascii="Arial" w:hAnsi="Arial"/>
                <w:color w:val="000000"/>
                <w:sz w:val="18"/>
                <w:lang w:eastAsia="ja-JP"/>
              </w:rPr>
              <w:t>, 3</w:t>
            </w:r>
            <w:r>
              <w:rPr>
                <w:rFonts w:ascii="Arial" w:hAnsi="Arial"/>
                <w:color w:val="000000"/>
                <w:sz w:val="18"/>
                <w:vertAlign w:val="superscript"/>
                <w:lang w:eastAsia="ja-JP"/>
              </w:rPr>
              <w:t>rd</w:t>
            </w:r>
            <w:r>
              <w:rPr>
                <w:rFonts w:ascii="Arial" w:hAnsi="Arial"/>
                <w:color w:val="000000"/>
                <w:sz w:val="18"/>
                <w:lang w:eastAsia="ja-JP"/>
              </w:rPr>
              <w:t>, 4</w:t>
            </w:r>
            <w:r>
              <w:rPr>
                <w:rFonts w:ascii="Arial" w:hAnsi="Arial"/>
                <w:color w:val="000000"/>
                <w:sz w:val="18"/>
                <w:vertAlign w:val="superscript"/>
                <w:lang w:eastAsia="ja-JP"/>
              </w:rPr>
              <w:t>th</w:t>
            </w:r>
            <w:r>
              <w:rPr>
                <w:rFonts w:ascii="Arial" w:hAnsi="Arial"/>
                <w:color w:val="000000"/>
                <w:sz w:val="18"/>
                <w:lang w:eastAsia="ja-JP"/>
              </w:rPr>
              <w:t>, and 5</w:t>
            </w:r>
            <w:r>
              <w:rPr>
                <w:rFonts w:ascii="Arial" w:hAnsi="Arial"/>
                <w:color w:val="000000"/>
                <w:sz w:val="18"/>
                <w:vertAlign w:val="superscript"/>
                <w:lang w:eastAsia="ja-JP"/>
              </w:rPr>
              <w:t>th</w:t>
            </w:r>
            <w:r>
              <w:rPr>
                <w:rFonts w:ascii="Arial" w:hAnsi="Arial"/>
                <w:color w:val="000000"/>
                <w:sz w:val="18"/>
                <w:lang w:eastAsia="ja-JP"/>
              </w:rPr>
              <w:t xml:space="preserve"> measurements shall be within</w:t>
            </w:r>
            <w:r>
              <w:rPr>
                <w:rFonts w:ascii="Arial" w:hAnsi="Arial" w:cs="Tahoma"/>
                <w:color w:val="000000"/>
                <w:sz w:val="18"/>
                <w:lang w:eastAsia="ja-JP"/>
              </w:rPr>
              <w:t xml:space="preserve"> ± 4.2 dB</w:t>
            </w:r>
            <w:r>
              <w:rPr>
                <w:rFonts w:ascii="Arial" w:hAnsi="Arial"/>
                <w:color w:val="000000"/>
                <w:sz w:val="18"/>
                <w:lang w:eastAsia="ja-JP"/>
              </w:rPr>
              <w:t xml:space="preserve"> of the 1</w:t>
            </w:r>
            <w:r>
              <w:rPr>
                <w:rFonts w:ascii="Arial" w:hAnsi="Arial"/>
                <w:color w:val="000000"/>
                <w:sz w:val="18"/>
                <w:vertAlign w:val="superscript"/>
                <w:lang w:eastAsia="ja-JP"/>
              </w:rPr>
              <w:t>st</w:t>
            </w:r>
            <w:r>
              <w:rPr>
                <w:rFonts w:ascii="Arial" w:hAnsi="Arial"/>
                <w:color w:val="000000"/>
                <w:sz w:val="18"/>
                <w:lang w:eastAsia="ja-JP"/>
              </w:rPr>
              <w:t xml:space="preserve"> measurement.</w:t>
            </w:r>
          </w:p>
        </w:tc>
      </w:tr>
    </w:tbl>
    <w:p>
      <w:pPr>
        <w:rPr>
          <w:lang w:eastAsia="ko-KR"/>
        </w:rPr>
      </w:pPr>
    </w:p>
    <w:p>
      <w:pPr>
        <w:pStyle w:val="4"/>
      </w:pPr>
      <w:bookmarkStart w:id="392" w:name="_Toc29794"/>
      <w:bookmarkStart w:id="393" w:name="_Toc8618"/>
      <w:r>
        <w:t>6.4</w:t>
      </w:r>
      <w:r>
        <w:tab/>
      </w:r>
      <w:r>
        <w:t>Transmit signal quality</w:t>
      </w:r>
      <w:bookmarkEnd w:id="384"/>
      <w:bookmarkEnd w:id="385"/>
      <w:bookmarkEnd w:id="386"/>
      <w:bookmarkEnd w:id="387"/>
      <w:bookmarkEnd w:id="388"/>
      <w:bookmarkEnd w:id="392"/>
      <w:bookmarkEnd w:id="393"/>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This clause is reserved.</w:t>
      </w:r>
    </w:p>
    <w:p>
      <w:pPr>
        <w:pStyle w:val="4"/>
        <w:rPr>
          <w:rFonts w:eastAsia="宋体"/>
          <w:color w:val="000000" w:themeColor="text1"/>
          <w14:textFill>
            <w14:solidFill>
              <w14:schemeClr w14:val="tx1"/>
            </w14:solidFill>
          </w14:textFill>
        </w:rPr>
      </w:pPr>
      <w:bookmarkStart w:id="394" w:name="_Toc12969"/>
      <w:bookmarkStart w:id="395" w:name="_Toc13981"/>
      <w:bookmarkStart w:id="396" w:name="_Toc121162838"/>
      <w:bookmarkStart w:id="397" w:name="_Toc120570046"/>
      <w:bookmarkStart w:id="398" w:name="_Toc18535"/>
      <w:r>
        <w:t>6.4A</w:t>
      </w:r>
      <w:r>
        <w:tab/>
      </w:r>
      <w:r>
        <w:t>Transmit signal quality for category M1</w:t>
      </w:r>
      <w:bookmarkEnd w:id="394"/>
      <w:bookmarkEnd w:id="395"/>
      <w:bookmarkEnd w:id="396"/>
      <w:bookmarkEnd w:id="397"/>
      <w:bookmarkEnd w:id="398"/>
    </w:p>
    <w:p>
      <w:pPr>
        <w:pStyle w:val="5"/>
      </w:pPr>
      <w:bookmarkStart w:id="399" w:name="_Toc108617008"/>
      <w:bookmarkStart w:id="400" w:name="_Toc120570047"/>
      <w:bookmarkStart w:id="401" w:name="_Toc11947"/>
      <w:bookmarkStart w:id="402" w:name="_Toc7577"/>
      <w:bookmarkStart w:id="403" w:name="_Toc121162839"/>
      <w:bookmarkStart w:id="404" w:name="_Toc19475"/>
      <w:bookmarkStart w:id="405" w:name="_Toc111062051"/>
      <w:r>
        <w:t>6.4A.1</w:t>
      </w:r>
      <w:r>
        <w:tab/>
      </w:r>
      <w:r>
        <w:t>Frequency error for UE category M1</w:t>
      </w:r>
      <w:bookmarkEnd w:id="399"/>
      <w:bookmarkEnd w:id="400"/>
      <w:bookmarkEnd w:id="401"/>
      <w:bookmarkEnd w:id="402"/>
      <w:bookmarkEnd w:id="403"/>
      <w:bookmarkEnd w:id="404"/>
      <w:bookmarkEnd w:id="405"/>
    </w:p>
    <w:p>
      <w:bookmarkStart w:id="406" w:name="_Toc120570048"/>
      <w:bookmarkStart w:id="407" w:name="_Toc111062052"/>
      <w:bookmarkStart w:id="408" w:name="_Toc368026277"/>
    </w:p>
    <w:p>
      <w:pPr>
        <w:pStyle w:val="5"/>
      </w:pPr>
      <w:bookmarkStart w:id="409" w:name="_Toc23310"/>
      <w:bookmarkStart w:id="410" w:name="_Toc121162840"/>
      <w:bookmarkStart w:id="411" w:name="_Toc10800"/>
      <w:bookmarkStart w:id="412" w:name="_Toc22805"/>
      <w:r>
        <w:t>6.4A.2</w:t>
      </w:r>
      <w:r>
        <w:tab/>
      </w:r>
      <w:r>
        <w:t>Transmit modulation quality for category M1</w:t>
      </w:r>
      <w:bookmarkEnd w:id="406"/>
      <w:bookmarkEnd w:id="409"/>
      <w:bookmarkEnd w:id="410"/>
      <w:bookmarkEnd w:id="411"/>
      <w:bookmarkEnd w:id="412"/>
    </w:p>
    <w:p>
      <w:pPr>
        <w:pStyle w:val="6"/>
        <w:rPr>
          <w:lang w:val="en-US"/>
        </w:rPr>
      </w:pPr>
      <w:bookmarkStart w:id="413" w:name="_Toc30118"/>
      <w:r>
        <w:t>6.4A.2.1</w:t>
      </w:r>
      <w:r>
        <w:tab/>
      </w:r>
      <w:r>
        <w:t>Error Vector Magnitude (EVM) for category M1</w:t>
      </w:r>
      <w:bookmarkEnd w:id="413"/>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lang w:val="en-US"/>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Pr>
        <w:pStyle w:val="9"/>
      </w:pPr>
      <w:r>
        <w:t>6.4A.2.1.1</w:t>
      </w:r>
      <w:r>
        <w:tab/>
      </w:r>
      <w:r>
        <w:t>Test purpose</w:t>
      </w:r>
    </w:p>
    <w:p>
      <w:r>
        <w:t>Same test purpose as in TS 36.521-1[14] clause 6.5.2.1EA.1.1</w:t>
      </w:r>
    </w:p>
    <w:p>
      <w:pPr>
        <w:pStyle w:val="9"/>
      </w:pPr>
      <w:r>
        <w:t>6.4A.2.1.2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6.4A.2.1.3</w:t>
      </w:r>
      <w:r>
        <w:tab/>
      </w:r>
      <w:r>
        <w:t>Minimum conformance requirements</w:t>
      </w:r>
    </w:p>
    <w:p>
      <w:pPr>
        <w:rPr>
          <w:rFonts w:eastAsia="Osaka"/>
        </w:rPr>
      </w:pPr>
      <w:r>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Pr>
          <w:rFonts w:eastAsia="Osaka"/>
        </w:rPr>
        <w:t xml:space="preserve">6.4.2.1.3-1 </w:t>
      </w:r>
      <w:r>
        <w:t xml:space="preserve">for the parameters defined in Table </w:t>
      </w:r>
      <w:r>
        <w:rPr>
          <w:rFonts w:eastAsia="Osaka"/>
        </w:rPr>
        <w:t>6.4.2.1.3-2. For EVM evaluation purposes, all PRACH preamble formats 0-4 and all PUCCH formats 1, 1a, 1b, 2, 2a and 2b are considered to have the same EVM requirement as QPSK modulated.</w:t>
      </w:r>
    </w:p>
    <w:p>
      <w:pPr>
        <w:pStyle w:val="113"/>
      </w:pPr>
      <w:r>
        <w:t>Table 6.4.2.1.3-1: Minimum requirements for Error Vector Magnitude</w:t>
      </w:r>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4"/>
            </w:pPr>
            <w:r>
              <w:rPr>
                <w:rFonts w:cs="v5.0.0"/>
              </w:rPr>
              <w:br w:type="page"/>
            </w:r>
            <w:r>
              <w:rPr>
                <w:rFonts w:cs="v5.0.0"/>
              </w:rPr>
              <w:t>Parameter</w:t>
            </w:r>
          </w:p>
        </w:tc>
        <w:tc>
          <w:tcPr>
            <w:tcW w:w="1135" w:type="dxa"/>
          </w:tcPr>
          <w:p>
            <w:pPr>
              <w:pStyle w:val="104"/>
            </w:pPr>
            <w:r>
              <w:rPr>
                <w:rFonts w:cs="v5.0.0"/>
              </w:rPr>
              <w:t>Unit</w:t>
            </w:r>
          </w:p>
        </w:tc>
        <w:tc>
          <w:tcPr>
            <w:tcW w:w="2406" w:type="dxa"/>
          </w:tcPr>
          <w:p>
            <w:pPr>
              <w:pStyle w:val="104"/>
            </w:pPr>
            <w:r>
              <w:rPr>
                <w:rFonts w:cs="v5.0.0"/>
              </w:rPr>
              <w:t>Average EVM Level</w:t>
            </w:r>
          </w:p>
        </w:tc>
        <w:tc>
          <w:tcPr>
            <w:tcW w:w="2406" w:type="dxa"/>
          </w:tcPr>
          <w:p>
            <w:pPr>
              <w:pStyle w:val="104"/>
            </w:pPr>
            <w:r>
              <w:rPr>
                <w:rFonts w:cs="v5.0.0"/>
              </w:rPr>
              <w:t>Reference Signal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rPr>
                <w:rFonts w:cs="v5.0.0"/>
              </w:rPr>
              <w:t>QPSK or BPSK</w:t>
            </w:r>
          </w:p>
        </w:tc>
        <w:tc>
          <w:tcPr>
            <w:tcW w:w="1135" w:type="dxa"/>
          </w:tcPr>
          <w:p>
            <w:pPr>
              <w:pStyle w:val="105"/>
            </w:pPr>
            <w:r>
              <w:rPr>
                <w:rFonts w:cs="v5.0.0"/>
              </w:rPr>
              <w:t>%</w:t>
            </w:r>
          </w:p>
        </w:tc>
        <w:tc>
          <w:tcPr>
            <w:tcW w:w="2406" w:type="dxa"/>
          </w:tcPr>
          <w:p>
            <w:pPr>
              <w:pStyle w:val="105"/>
            </w:pPr>
            <w:r>
              <w:rPr>
                <w:rFonts w:cs="v5.0.0"/>
              </w:rPr>
              <w:t>17.5</w:t>
            </w:r>
          </w:p>
        </w:tc>
        <w:tc>
          <w:tcPr>
            <w:tcW w:w="2406" w:type="dxa"/>
          </w:tcPr>
          <w:p>
            <w:pPr>
              <w:pStyle w:val="105"/>
            </w:pPr>
            <w:r>
              <w:rPr>
                <w:rFonts w:cs="v5.0.0"/>
              </w:rPr>
              <w:t>17.5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rPr>
                <w:rFonts w:cs="v5.0.0"/>
              </w:rPr>
              <w:t>16QAM</w:t>
            </w:r>
          </w:p>
        </w:tc>
        <w:tc>
          <w:tcPr>
            <w:tcW w:w="1135" w:type="dxa"/>
          </w:tcPr>
          <w:p>
            <w:pPr>
              <w:pStyle w:val="105"/>
            </w:pPr>
            <w:r>
              <w:rPr>
                <w:rFonts w:cs="v5.0.0"/>
              </w:rPr>
              <w:t>%</w:t>
            </w:r>
          </w:p>
        </w:tc>
        <w:tc>
          <w:tcPr>
            <w:tcW w:w="2406" w:type="dxa"/>
          </w:tcPr>
          <w:p>
            <w:pPr>
              <w:pStyle w:val="105"/>
            </w:pPr>
            <w:r>
              <w:rPr>
                <w:rFonts w:cs="v5.0.0"/>
              </w:rPr>
              <w:t>12.5</w:t>
            </w:r>
          </w:p>
        </w:tc>
        <w:tc>
          <w:tcPr>
            <w:tcW w:w="2406" w:type="dxa"/>
          </w:tcPr>
          <w:p>
            <w:pPr>
              <w:pStyle w:val="105"/>
            </w:pPr>
            <w:r>
              <w:rPr>
                <w:rFonts w:cs="v5.0.0"/>
              </w:rPr>
              <w:t>12.5</w:t>
            </w:r>
          </w:p>
        </w:tc>
      </w:tr>
    </w:tbl>
    <w:p/>
    <w:p>
      <w:pPr>
        <w:pStyle w:val="113"/>
      </w:pPr>
      <w:r>
        <w:t>Table 6.4.2.1.3-2: Parameters for Error Vector Magnitude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4"/>
            </w:pPr>
            <w:r>
              <w:br w:type="page"/>
            </w:r>
            <w:r>
              <w:t>Parameter</w:t>
            </w:r>
          </w:p>
        </w:tc>
        <w:tc>
          <w:tcPr>
            <w:tcW w:w="1135" w:type="dxa"/>
          </w:tcPr>
          <w:p>
            <w:pPr>
              <w:pStyle w:val="104"/>
            </w:pPr>
            <w:r>
              <w:t>Unit</w:t>
            </w:r>
          </w:p>
        </w:tc>
        <w:tc>
          <w:tcPr>
            <w:tcW w:w="2630" w:type="dxa"/>
          </w:tcPr>
          <w:p>
            <w:pPr>
              <w:pStyle w:val="104"/>
            </w:pPr>
            <w: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UE Output Power</w:t>
            </w:r>
          </w:p>
        </w:tc>
        <w:tc>
          <w:tcPr>
            <w:tcW w:w="1135" w:type="dxa"/>
          </w:tcPr>
          <w:p>
            <w:pPr>
              <w:pStyle w:val="105"/>
            </w:pPr>
            <w:r>
              <w:t>dBm</w:t>
            </w:r>
          </w:p>
        </w:tc>
        <w:tc>
          <w:tcPr>
            <w:tcW w:w="2630" w:type="dxa"/>
          </w:tcPr>
          <w:p>
            <w:pPr>
              <w:pStyle w:val="105"/>
            </w:pPr>
            <w:r>
              <w:rPr/>
              <w:sym w:font="Symbol" w:char="F0B3"/>
            </w:r>
            <w:r>
              <w:t xml:space="preserve">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Operating conditions</w:t>
            </w:r>
          </w:p>
        </w:tc>
        <w:tc>
          <w:tcPr>
            <w:tcW w:w="1135" w:type="dxa"/>
          </w:tcPr>
          <w:p>
            <w:pPr>
              <w:pStyle w:val="105"/>
            </w:pPr>
          </w:p>
        </w:tc>
        <w:tc>
          <w:tcPr>
            <w:tcW w:w="2630" w:type="dxa"/>
          </w:tcPr>
          <w:p>
            <w:pPr>
              <w:pStyle w:val="105"/>
            </w:pPr>
            <w:r>
              <w:t>Normal conditions</w:t>
            </w:r>
          </w:p>
        </w:tc>
      </w:tr>
    </w:tbl>
    <w:p>
      <w:pPr>
        <w:rPr>
          <w:rFonts w:eastAsia="PMingLiU"/>
          <w:lang w:eastAsia="zh-TW"/>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6.4A.2.</w:t>
      </w:r>
    </w:p>
    <w:p>
      <w:pPr>
        <w:pStyle w:val="9"/>
      </w:pPr>
      <w:r>
        <w:t>6.4A.2.1.4</w:t>
      </w:r>
      <w:r>
        <w:tab/>
      </w:r>
      <w:r>
        <w:t>Test description</w:t>
      </w:r>
    </w:p>
    <w:p>
      <w:pPr>
        <w:pStyle w:val="9"/>
      </w:pPr>
      <w:r>
        <w:t>6.4A.2.1.4.1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6.4A.2.1.4.1-1.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6.4A.2.1.4.1-1: Test Configuration Table for PUSCH</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5"/>
            </w:pPr>
            <w:r>
              <w:rPr>
                <w:rFonts w:cs="v5.0.0"/>
              </w:rPr>
              <w:t>Test Environment</w:t>
            </w:r>
          </w:p>
          <w:p>
            <w:pPr>
              <w:pStyle w:val="104"/>
            </w:pPr>
            <w:r>
              <w:rPr>
                <w:rFonts w:cs="v5.0.0"/>
                <w:b w:val="0"/>
              </w:rPr>
              <w:t>(as specified in TS 36.508 [12] subclause 4.1)</w:t>
            </w:r>
          </w:p>
        </w:tc>
        <w:tc>
          <w:tcPr>
            <w:tcW w:w="3495" w:type="dxa"/>
            <w:gridSpan w:val="2"/>
            <w:shd w:val="clear" w:color="auto" w:fill="FFFFFF"/>
            <w:vAlign w:val="center"/>
          </w:tcPr>
          <w:p>
            <w:pPr>
              <w:pStyle w:val="104"/>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4"/>
            </w:pPr>
            <w:r>
              <w:rPr>
                <w:rFonts w:cs="v5.0.0"/>
                <w:b w:val="0"/>
              </w:rPr>
              <w:t>Test Frequencies</w:t>
            </w:r>
          </w:p>
          <w:p>
            <w:pPr>
              <w:pStyle w:val="104"/>
            </w:pPr>
            <w:r>
              <w:t>(as specified in TS36.508 [12] subclause 4.3.1)</w:t>
            </w:r>
          </w:p>
        </w:tc>
        <w:tc>
          <w:tcPr>
            <w:tcW w:w="3495" w:type="dxa"/>
            <w:gridSpan w:val="2"/>
            <w:shd w:val="clear" w:color="auto" w:fill="FFFFFF"/>
            <w:vAlign w:val="center"/>
          </w:tcPr>
          <w:p>
            <w:pPr>
              <w:pStyle w:val="104"/>
            </w:pPr>
            <w:r>
              <w:rPr>
                <w:b w:val="0"/>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gridSpan w:val="2"/>
            <w:shd w:val="clear" w:color="auto" w:fill="FFFFFF"/>
          </w:tcPr>
          <w:p>
            <w:pPr>
              <w:pStyle w:val="104"/>
            </w:pPr>
            <w:r>
              <w:rPr>
                <w:rFonts w:cs="v5.0.0"/>
                <w:b w:val="0"/>
              </w:rPr>
              <w:t>Test Channel Bandwidths</w:t>
            </w:r>
          </w:p>
          <w:p>
            <w:pPr>
              <w:pStyle w:val="104"/>
            </w:pPr>
            <w:r>
              <w:t>(as specified in TS 36.508 [12] subclause 4.3.1)</w:t>
            </w:r>
          </w:p>
        </w:tc>
        <w:tc>
          <w:tcPr>
            <w:tcW w:w="3495" w:type="dxa"/>
            <w:gridSpan w:val="2"/>
            <w:shd w:val="clear" w:color="auto" w:fill="FFFFFF"/>
            <w:vAlign w:val="center"/>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shd w:val="clear" w:color="auto" w:fill="FFFFFF"/>
          </w:tcPr>
          <w:p>
            <w:pPr>
              <w:pStyle w:val="104"/>
            </w:pPr>
          </w:p>
        </w:tc>
        <w:tc>
          <w:tcPr>
            <w:tcW w:w="3495" w:type="dxa"/>
            <w:shd w:val="clear" w:color="auto" w:fill="FFFFFF"/>
          </w:tcPr>
          <w:p>
            <w:pPr>
              <w:pStyle w:val="104"/>
            </w:pPr>
            <w:r>
              <w:t>Downlink Configuration</w:t>
            </w:r>
          </w:p>
        </w:tc>
        <w:tc>
          <w:tcPr>
            <w:tcW w:w="3495" w:type="dxa"/>
            <w:gridSpan w:val="2"/>
            <w:shd w:val="clear" w:color="auto" w:fill="FFFFFF"/>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5"/>
            </w:pPr>
            <w:r>
              <w:rPr>
                <w:rFonts w:cs="v5.0.0"/>
              </w:rPr>
              <w:t>Ch BW</w:t>
            </w:r>
          </w:p>
        </w:tc>
        <w:tc>
          <w:tcPr>
            <w:tcW w:w="3495" w:type="dxa"/>
            <w:vMerge w:val="restart"/>
            <w:shd w:val="clear" w:color="auto" w:fill="FFFFFF"/>
          </w:tcPr>
          <w:p>
            <w:pPr>
              <w:pStyle w:val="105"/>
            </w:pPr>
            <w:r>
              <w:rPr>
                <w:rFonts w:cs="Arial"/>
              </w:rPr>
              <w:t>N/A for PUSCH EVM testing</w:t>
            </w:r>
          </w:p>
        </w:tc>
        <w:tc>
          <w:tcPr>
            <w:tcW w:w="1165" w:type="dxa"/>
            <w:shd w:val="clear" w:color="auto" w:fill="FFFFFF"/>
          </w:tcPr>
          <w:p>
            <w:pPr>
              <w:pStyle w:val="105"/>
            </w:pPr>
            <w:r>
              <w:rPr>
                <w:rFonts w:cs="v5.0.0"/>
              </w:rPr>
              <w:t>Modulation</w:t>
            </w:r>
          </w:p>
        </w:tc>
        <w:tc>
          <w:tcPr>
            <w:tcW w:w="2330" w:type="dxa"/>
            <w:shd w:val="clear" w:color="auto" w:fill="FFFFFF"/>
          </w:tcPr>
          <w:p>
            <w:pPr>
              <w:pStyle w:val="105"/>
            </w:pPr>
            <w:r>
              <w:rPr>
                <w:rFonts w:cs="v5.0.0"/>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4"/>
            </w:pPr>
          </w:p>
        </w:tc>
        <w:tc>
          <w:tcPr>
            <w:tcW w:w="3495" w:type="dxa"/>
            <w:vMerge w:val="continue"/>
            <w:shd w:val="clear" w:color="auto" w:fill="FFFFFF"/>
          </w:tcPr>
          <w:p/>
        </w:tc>
        <w:tc>
          <w:tcPr>
            <w:tcW w:w="1165" w:type="dxa"/>
            <w:shd w:val="clear" w:color="auto" w:fill="FFFFFF"/>
          </w:tcPr>
          <w:p>
            <w:pPr>
              <w:pStyle w:val="104"/>
            </w:pPr>
          </w:p>
        </w:tc>
        <w:tc>
          <w:tcPr>
            <w:tcW w:w="2330" w:type="dxa"/>
            <w:shd w:val="clear" w:color="auto" w:fill="FFFFFF"/>
          </w:tcPr>
          <w:p>
            <w:pPr>
              <w:pStyle w:val="105"/>
            </w:pPr>
            <w:r>
              <w:rPr>
                <w:rFonts w:cs="v5.0.0"/>
              </w:rPr>
              <w:t>FDD</w:t>
            </w:r>
            <w:r>
              <w:t xml:space="preserve">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QPSK</w:t>
            </w:r>
          </w:p>
        </w:tc>
        <w:tc>
          <w:tcPr>
            <w:tcW w:w="2330" w:type="dxa"/>
            <w:shd w:val="clear" w:color="auto" w:fill="FFFFFF"/>
          </w:tcPr>
          <w:p>
            <w:pPr>
              <w:pStyle w:val="105"/>
            </w:pPr>
            <w:r>
              <w:rPr>
                <w:rFonts w:cs="v5.0.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QPSK</w:t>
            </w:r>
          </w:p>
        </w:tc>
        <w:tc>
          <w:tcPr>
            <w:tcW w:w="2330" w:type="dxa"/>
            <w:shd w:val="clear" w:color="auto" w:fill="FFFFFF"/>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16QAM</w:t>
            </w:r>
          </w:p>
        </w:tc>
        <w:tc>
          <w:tcPr>
            <w:tcW w:w="2330" w:type="dxa"/>
            <w:shd w:val="clear" w:color="auto" w:fill="FFFFFF"/>
          </w:tcPr>
          <w:p>
            <w:pPr>
              <w:pStyle w:val="105"/>
            </w:pPr>
            <w:r>
              <w:rPr>
                <w:rFonts w:cs="v5.0.0"/>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left w:val="single" w:color="auto" w:sz="4" w:space="0"/>
            </w:tcBorders>
            <w:shd w:val="clear" w:color="auto" w:fill="FFFFFF"/>
          </w:tcPr>
          <w:p>
            <w:pPr>
              <w:pStyle w:val="105"/>
            </w:pPr>
            <w:r>
              <w:t>1.4MHz</w:t>
            </w:r>
          </w:p>
        </w:tc>
        <w:tc>
          <w:tcPr>
            <w:tcW w:w="3495" w:type="dxa"/>
            <w:vMerge w:val="continue"/>
            <w:shd w:val="clear" w:color="auto" w:fill="FFFFFF"/>
          </w:tcPr>
          <w:p>
            <w:pPr>
              <w:rPr>
                <w:rFonts w:cs="v5.0.0"/>
              </w:rPr>
            </w:pPr>
          </w:p>
        </w:tc>
        <w:tc>
          <w:tcPr>
            <w:tcW w:w="1165" w:type="dxa"/>
            <w:shd w:val="clear" w:color="auto" w:fill="FFFFFF"/>
          </w:tcPr>
          <w:p>
            <w:pPr>
              <w:pStyle w:val="105"/>
            </w:pPr>
            <w:r>
              <w:t>16QAM</w:t>
            </w:r>
          </w:p>
        </w:tc>
        <w:tc>
          <w:tcPr>
            <w:tcW w:w="2330" w:type="dxa"/>
            <w:shd w:val="clear" w:color="auto" w:fill="FFFFFF"/>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4"/>
            <w:shd w:val="clear" w:color="auto" w:fill="FFFFFF"/>
          </w:tcPr>
          <w:p>
            <w:pPr>
              <w:pStyle w:val="118"/>
            </w:pPr>
            <w:r>
              <w:t>Note 1:</w:t>
            </w:r>
            <w:r>
              <w:tab/>
            </w:r>
            <w:r>
              <w:t>For partial RB allocation, the RB</w:t>
            </w:r>
            <w:r>
              <w:rPr>
                <w:vertAlign w:val="subscript"/>
              </w:rPr>
              <w:t>start</w:t>
            </w:r>
            <w:r>
              <w:t xml:space="preserve"> shall be RB #0 and RB# (max+1 - RB allocation) of the channel bandwidth.</w:t>
            </w:r>
          </w:p>
        </w:tc>
      </w:tr>
    </w:tbl>
    <w:p/>
    <w:p>
      <w:pPr>
        <w:pStyle w:val="113"/>
      </w:pPr>
      <w:r>
        <w:t>Table 6.4A.2.1.4.1-2: Test Configuration Table for PUCCH</w:t>
      </w:r>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5"/>
            </w:pPr>
            <w:r>
              <w:rPr>
                <w:rFonts w:cs="v5.0.0"/>
              </w:rPr>
              <w:t>Test Environment as specified in</w:t>
            </w:r>
          </w:p>
          <w:p>
            <w:pPr>
              <w:pStyle w:val="105"/>
            </w:pPr>
            <w:r>
              <w:t>TS 36.508[12] subclause 4.1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rFonts w:cs="v5.0.0"/>
                <w:b w:val="0"/>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4"/>
            </w:pPr>
            <w:r>
              <w:rPr>
                <w:rFonts w:cs="v5.0.0"/>
                <w:b w:val="0"/>
              </w:rPr>
              <w:t>Test Frequencies as specified in</w:t>
            </w:r>
          </w:p>
          <w:p>
            <w:pPr>
              <w:pStyle w:val="104"/>
              <w:rPr>
                <w:b w:val="0"/>
              </w:rPr>
            </w:pPr>
            <w:r>
              <w:t>TS36.508 [12] subclause 4.3.1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b w:val="0"/>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Borders>
              <w:top w:val="single" w:color="auto" w:sz="4" w:space="0"/>
              <w:left w:val="single" w:color="auto" w:sz="4" w:space="0"/>
              <w:bottom w:val="single" w:color="auto" w:sz="4" w:space="0"/>
              <w:right w:val="single" w:color="auto" w:sz="4" w:space="0"/>
            </w:tcBorders>
          </w:tcPr>
          <w:p>
            <w:pPr>
              <w:pStyle w:val="104"/>
            </w:pPr>
            <w:r>
              <w:rPr>
                <w:rFonts w:cs="v5.0.0"/>
                <w:b w:val="0"/>
              </w:rPr>
              <w:t>Test Channel Bandwidths</w:t>
            </w:r>
            <w:r>
              <w:rPr>
                <w:rFonts w:cs="v5.0.0"/>
              </w:rPr>
              <w:t xml:space="preserve"> </w:t>
            </w:r>
            <w:r>
              <w:rPr>
                <w:rFonts w:cs="v5.0.0"/>
                <w:b w:val="0"/>
              </w:rPr>
              <w:t>as specified in</w:t>
            </w:r>
          </w:p>
          <w:p>
            <w:pPr>
              <w:pStyle w:val="104"/>
              <w:rPr>
                <w:b w:val="0"/>
              </w:rPr>
            </w:pPr>
            <w:r>
              <w:t>TS 36.508 [12] subclause 4.3.1</w:t>
            </w:r>
          </w:p>
        </w:tc>
        <w:tc>
          <w:tcPr>
            <w:tcW w:w="4740" w:type="dxa"/>
            <w:gridSpan w:val="2"/>
            <w:tcBorders>
              <w:top w:val="single" w:color="auto" w:sz="4" w:space="0"/>
              <w:left w:val="single" w:color="auto" w:sz="4" w:space="0"/>
              <w:bottom w:val="single" w:color="auto" w:sz="4" w:space="0"/>
              <w:right w:val="single" w:color="auto" w:sz="4" w:space="0"/>
            </w:tcBorders>
          </w:tcPr>
          <w:p>
            <w:pPr>
              <w:pStyle w:val="104"/>
            </w:pPr>
            <w:r>
              <w:rPr>
                <w:b w:val="0"/>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4660" w:type="dxa"/>
            <w:gridSpan w:val="3"/>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2410" w:type="dxa"/>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rPr>
                <w:rFonts w:cs="v5.0.0"/>
              </w:rPr>
              <w:t>Ch BW</w:t>
            </w:r>
          </w:p>
        </w:tc>
        <w:tc>
          <w:tcPr>
            <w:tcW w:w="1165" w:type="dxa"/>
            <w:tcBorders>
              <w:top w:val="single" w:color="auto" w:sz="4" w:space="0"/>
              <w:left w:val="single" w:color="auto" w:sz="4" w:space="0"/>
              <w:bottom w:val="single" w:color="auto" w:sz="4" w:space="0"/>
              <w:right w:val="single" w:color="auto" w:sz="4" w:space="0"/>
            </w:tcBorders>
          </w:tcPr>
          <w:p>
            <w:pPr>
              <w:pStyle w:val="105"/>
            </w:pPr>
            <w:r>
              <w:rPr>
                <w:rFonts w:cs="v5.0.0"/>
              </w:rPr>
              <w:t>Mod'n</w:t>
            </w:r>
          </w:p>
        </w:tc>
        <w:tc>
          <w:tcPr>
            <w:tcW w:w="3495" w:type="dxa"/>
            <w:gridSpan w:val="2"/>
            <w:tcBorders>
              <w:top w:val="single" w:color="auto" w:sz="4" w:space="0"/>
              <w:left w:val="single" w:color="auto" w:sz="4" w:space="0"/>
              <w:bottom w:val="single" w:color="auto" w:sz="4" w:space="0"/>
              <w:right w:val="single" w:color="auto" w:sz="4" w:space="0"/>
            </w:tcBorders>
          </w:tcPr>
          <w:p>
            <w:pPr>
              <w:pStyle w:val="103"/>
              <w:jc w:val="center"/>
            </w:pPr>
            <w:r>
              <w:rPr>
                <w:rFonts w:cs="v5.0.0"/>
              </w:rPr>
              <w:t>RB allocation</w:t>
            </w:r>
          </w:p>
        </w:tc>
        <w:tc>
          <w:tcPr>
            <w:tcW w:w="2410" w:type="dxa"/>
            <w:vMerge w:val="restart"/>
            <w:tcBorders>
              <w:top w:val="single" w:color="auto" w:sz="4" w:space="0"/>
              <w:left w:val="single" w:color="auto" w:sz="4" w:space="0"/>
              <w:bottom w:val="single" w:color="auto" w:sz="4" w:space="0"/>
              <w:right w:val="single" w:color="auto" w:sz="4" w:space="0"/>
            </w:tcBorders>
          </w:tcPr>
          <w:p>
            <w:pPr>
              <w:pStyle w:val="105"/>
            </w:pPr>
            <w:r>
              <w:rPr>
                <w:bCs/>
              </w:rPr>
              <w:t xml:space="preserve">FDD and HD-FDD: PUCCH format = </w:t>
            </w:r>
            <w:r>
              <w:t>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1165" w:type="dxa"/>
            <w:tcBorders>
              <w:top w:val="single" w:color="auto" w:sz="4" w:space="0"/>
              <w:left w:val="single" w:color="auto" w:sz="4" w:space="0"/>
              <w:bottom w:val="single" w:color="auto" w:sz="4" w:space="0"/>
              <w:right w:val="single" w:color="auto" w:sz="4" w:space="0"/>
            </w:tcBorders>
          </w:tcPr>
          <w:p>
            <w:pPr>
              <w:pStyle w:val="105"/>
            </w:pPr>
          </w:p>
        </w:tc>
        <w:tc>
          <w:tcPr>
            <w:tcW w:w="3495" w:type="dxa"/>
            <w:gridSpan w:val="2"/>
            <w:tcBorders>
              <w:top w:val="single" w:color="auto" w:sz="4" w:space="0"/>
              <w:left w:val="single" w:color="auto" w:sz="4" w:space="0"/>
              <w:bottom w:val="single" w:color="auto" w:sz="4" w:space="0"/>
              <w:right w:val="single" w:color="auto" w:sz="4" w:space="0"/>
            </w:tcBorders>
          </w:tcPr>
          <w:p>
            <w:pPr>
              <w:pStyle w:val="105"/>
            </w:pPr>
            <w:r>
              <w:t>FDD</w:t>
            </w: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1165" w:type="dxa"/>
            <w:tcBorders>
              <w:top w:val="single" w:color="auto" w:sz="4" w:space="0"/>
              <w:left w:val="single" w:color="auto" w:sz="4" w:space="0"/>
              <w:bottom w:val="single" w:color="auto" w:sz="4" w:space="0"/>
              <w:right w:val="single" w:color="auto" w:sz="4" w:space="0"/>
            </w:tcBorders>
          </w:tcPr>
          <w:p>
            <w:pPr>
              <w:pStyle w:val="105"/>
            </w:pPr>
            <w:r>
              <w:t>QPSK</w:t>
            </w:r>
          </w:p>
        </w:tc>
        <w:tc>
          <w:tcPr>
            <w:tcW w:w="3495" w:type="dxa"/>
            <w:gridSpan w:val="2"/>
            <w:tcBorders>
              <w:top w:val="single" w:color="auto" w:sz="4" w:space="0"/>
              <w:left w:val="single" w:color="auto" w:sz="4" w:space="0"/>
              <w:bottom w:val="single" w:color="auto" w:sz="4" w:space="0"/>
              <w:right w:val="single" w:color="auto" w:sz="4" w:space="0"/>
            </w:tcBorders>
          </w:tcPr>
          <w:p>
            <w:pPr>
              <w:pStyle w:val="105"/>
            </w:pPr>
            <w:r>
              <w:t>3</w:t>
            </w:r>
          </w:p>
        </w:tc>
        <w:tc>
          <w:tcPr>
            <w:tcW w:w="2410"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Borders>
              <w:top w:val="single" w:color="auto" w:sz="4" w:space="0"/>
              <w:left w:val="single" w:color="auto" w:sz="4" w:space="0"/>
              <w:bottom w:val="single" w:color="auto" w:sz="4" w:space="0"/>
              <w:right w:val="single" w:color="auto" w:sz="4" w:space="0"/>
            </w:tcBorders>
          </w:tcPr>
          <w:p>
            <w:pPr>
              <w:pStyle w:val="118"/>
            </w:pPr>
            <w:r>
              <w:t>Note 1:</w:t>
            </w:r>
            <w:r>
              <w:tab/>
            </w:r>
            <w:r>
              <w:t>The RB</w:t>
            </w:r>
            <w:r>
              <w:rPr>
                <w:vertAlign w:val="subscript"/>
              </w:rPr>
              <w:t>start</w:t>
            </w:r>
            <w:r>
              <w:t xml:space="preserve"> of partial RB allocation can be either RB#0 or RB# (6 - RB allocation) of the narrowband.</w:t>
            </w:r>
          </w:p>
        </w:tc>
      </w:tr>
    </w:tbl>
    <w:p/>
    <w:p>
      <w:pPr>
        <w:pStyle w:val="113"/>
      </w:pPr>
      <w:r>
        <w:t>Table 6.4A.2.1.4.1-3: Test Configuration for PRACH</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4661" w:type="dxa"/>
          </w:tcPr>
          <w:p>
            <w:pPr>
              <w:pStyle w:val="103"/>
            </w:pPr>
            <w:r>
              <w:t>Test Environment</w:t>
            </w:r>
          </w:p>
          <w:p>
            <w:pPr>
              <w:pStyle w:val="103"/>
              <w:rPr>
                <w:bCs/>
              </w:rPr>
            </w:pPr>
            <w:r>
              <w:t>(as specified in TS 36.508 [12] subclause 4.1)</w:t>
            </w:r>
          </w:p>
        </w:tc>
        <w:tc>
          <w:tcPr>
            <w:tcW w:w="3495" w:type="dxa"/>
            <w:vAlign w:val="center"/>
          </w:tcPr>
          <w:p>
            <w:pPr>
              <w:pStyle w:val="105"/>
            </w:pPr>
            <w: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Frequencies</w:t>
            </w:r>
          </w:p>
          <w:p>
            <w:pPr>
              <w:pStyle w:val="103"/>
            </w:pPr>
            <w:r>
              <w:t>(as specified in TS36.508 [12] subclause 4.3.1)</w:t>
            </w:r>
          </w:p>
        </w:tc>
        <w:tc>
          <w:tcPr>
            <w:tcW w:w="3495" w:type="dxa"/>
            <w:vAlign w:val="center"/>
          </w:tcPr>
          <w:p>
            <w:pPr>
              <w:pStyle w:val="105"/>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Test Channel Bandwidths</w:t>
            </w:r>
          </w:p>
          <w:p>
            <w:pPr>
              <w:pStyle w:val="103"/>
            </w:pPr>
            <w:r>
              <w:t>(as specified in TS 36.508 [12] subclause 4.3.1)</w:t>
            </w:r>
          </w:p>
        </w:tc>
        <w:tc>
          <w:tcPr>
            <w:tcW w:w="3495" w:type="dxa"/>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4661" w:type="dxa"/>
          </w:tcPr>
          <w:p>
            <w:pPr>
              <w:pStyle w:val="103"/>
            </w:pPr>
            <w:r>
              <w:rPr>
                <w:bCs/>
              </w:rPr>
              <w:t>PRACH preamble format</w:t>
            </w:r>
          </w:p>
        </w:tc>
        <w:tc>
          <w:tcPr>
            <w:tcW w:w="3495" w:type="dxa"/>
            <w:vAlign w:val="center"/>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4661" w:type="dxa"/>
          </w:tcPr>
          <w:p>
            <w:pPr>
              <w:pStyle w:val="103"/>
            </w:pPr>
          </w:p>
        </w:tc>
        <w:tc>
          <w:tcPr>
            <w:tcW w:w="3495" w:type="dxa"/>
            <w:vAlign w:val="center"/>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rPr>
                <w:bCs/>
              </w:rPr>
              <w:t>PRACH Configuration Index</w:t>
            </w:r>
          </w:p>
        </w:tc>
        <w:tc>
          <w:tcPr>
            <w:tcW w:w="3495" w:type="dxa"/>
            <w:vAlign w:val="center"/>
          </w:tcPr>
          <w:p>
            <w:pPr>
              <w:pStyle w:val="105"/>
            </w:pPr>
            <w: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RS EPRE setting for test point 1 (dBm/15kHz)</w:t>
            </w:r>
          </w:p>
        </w:tc>
        <w:tc>
          <w:tcPr>
            <w:tcW w:w="3495" w:type="dxa"/>
            <w:vAlign w:val="center"/>
          </w:tcPr>
          <w:p>
            <w:pPr>
              <w:pStyle w:val="105"/>
            </w:pPr>
            <w:r>
              <w:t>-71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pStyle w:val="103"/>
            </w:pPr>
            <w:r>
              <w:t>RS EPRE setting for test point 2 (dBm/15kHz)</w:t>
            </w:r>
          </w:p>
        </w:tc>
        <w:tc>
          <w:tcPr>
            <w:tcW w:w="3495" w:type="dxa"/>
            <w:vAlign w:val="center"/>
          </w:tcPr>
          <w:p>
            <w:pPr>
              <w:pStyle w:val="105"/>
            </w:pPr>
            <w:r>
              <w:t>-86</w:t>
            </w:r>
          </w:p>
        </w:tc>
      </w:tr>
    </w:tbl>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Ensure the UE is in State 3A-RF-CE according to TS 36.508 [12] clause 5.2A.2AA. Message contents are defined in clause 6.4A.2.1.4.3.</w:t>
      </w:r>
    </w:p>
    <w:p>
      <w:pPr>
        <w:pStyle w:val="9"/>
      </w:pPr>
      <w:r>
        <w:t>6.4A.2.1.4.2</w:t>
      </w:r>
      <w:r>
        <w:tab/>
      </w:r>
      <w:r>
        <w:t>Test procedure</w:t>
      </w:r>
    </w:p>
    <w:p>
      <w:r>
        <w:t>Test procedure for PUSCH: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MPDCCH DCI format 6-0A for C_RNTI to schedule the UL RMC according to Table 6.4A.2.4.1-1.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1.2</w:t>
      </w:r>
      <w:r>
        <w:rPr>
          <w:rFonts w:hint="eastAsia"/>
          <w:lang w:eastAsia="en-GB"/>
        </w:rPr>
        <w:tab/>
      </w:r>
      <w:r>
        <w:rPr>
          <w:rFonts w:hint="eastAsia"/>
          <w:lang w:eastAsia="en-GB"/>
        </w:rPr>
        <w:t>Send continuously uplink power control "up" commands in the uplink scheduling information to the UE until the UE transmits at P</w:t>
      </w:r>
      <w:r>
        <w:rPr>
          <w:rFonts w:hint="eastAsia"/>
          <w:vertAlign w:val="baseline"/>
          <w:lang w:eastAsia="en-GB"/>
        </w:rPr>
        <w:t>UMAX level</w:t>
      </w:r>
      <w:r>
        <w:rPr>
          <w:rFonts w:hint="eastAsia"/>
          <w:lang w:eastAsia="en-GB"/>
        </w:rPr>
        <w:t>.</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lang w:eastAsia="en-GB"/>
        </w:rPr>
        <w:t>1.3</w:t>
      </w:r>
      <w:r>
        <w:rPr>
          <w:rFonts w:hint="eastAsia"/>
          <w:lang w:eastAsia="en-GB"/>
        </w:rPr>
        <w:tab/>
      </w:r>
      <w:r>
        <w:rPr>
          <w:rFonts w:hint="eastAsia"/>
          <w:lang w:eastAsia="en-GB"/>
        </w:rPr>
        <w:t xml:space="preserve">Measure the EVM and </w:t>
      </w:r>
      <w:r>
        <w:rPr>
          <w:rFonts w:hint="eastAsia"/>
          <w:position w:val="0"/>
          <w:lang w:eastAsia="en-GB"/>
        </w:rPr>
        <w:object>
          <v:shape id="_x0000_i1033"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33" DrawAspect="Content" ObjectID="_1468075733" r:id="rId35">
            <o:LockedField>false</o:LockedField>
          </o:OLEObject>
        </w:object>
      </w:r>
      <w:r>
        <w:rPr>
          <w:rFonts w:hint="eastAsia"/>
          <w:lang w:eastAsia="en-GB"/>
        </w:rPr>
        <w:t xml:space="preserve">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rFonts w:hint="eastAsia" w:cs="Times New Roman"/>
          <w:lang w:eastAsia="en-GB"/>
        </w:rPr>
      </w:pPr>
      <w:r>
        <w:rPr>
          <w:rFonts w:hint="eastAsia"/>
          <w:lang w:eastAsia="en-GB"/>
        </w:rPr>
        <w:t>1.4</w:t>
      </w:r>
      <w:r>
        <w:rPr>
          <w:rFonts w:hint="eastAsia"/>
          <w:lang w:eastAsia="en-GB"/>
        </w:rPr>
        <w:tab/>
      </w:r>
      <w:r>
        <w:rPr>
          <w:rFonts w:hint="eastAsia"/>
          <w:lang w:eastAsia="en-GB"/>
        </w:rPr>
        <w:t xml:space="preserve">Send the appropriate TPC commands in the uplink scheduling information to the UE until UE output power is –36.8dBm </w:t>
      </w:r>
      <w:r>
        <w:rPr>
          <w:rFonts w:hint="eastAsia" w:cs="Times New Roman"/>
          <w:lang w:eastAsia="en-GB"/>
        </w:rPr>
        <w:t>±3.2dB for carrier frequency f ≤ 3.0GHz or</w:t>
      </w:r>
      <w:r>
        <w:rPr>
          <w:rFonts w:hint="eastAsia"/>
          <w:lang w:eastAsia="en-GB"/>
        </w:rPr>
        <w:t xml:space="preserve"> -36.5dBm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1.5</w:t>
      </w:r>
      <w:r>
        <w:rPr>
          <w:rFonts w:hint="eastAsia"/>
          <w:lang w:eastAsia="en-GB"/>
        </w:rPr>
        <w:tab/>
      </w:r>
      <w:r>
        <w:rPr>
          <w:rFonts w:hint="eastAsia"/>
          <w:lang w:eastAsia="en-GB"/>
        </w:rPr>
        <w:t xml:space="preserve">Measure the EVM and </w:t>
      </w:r>
      <w:r>
        <w:rPr>
          <w:rFonts w:hint="eastAsia"/>
          <w:position w:val="0"/>
          <w:lang w:eastAsia="en-GB"/>
        </w:rPr>
        <w:object>
          <v:shape id="_x0000_i1034"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34" DrawAspect="Content" ObjectID="_1468075734" r:id="rId37">
            <o:LockedField>false</o:LockedField>
          </o:OLEObject>
        </w:object>
      </w:r>
      <w:r>
        <w:rPr>
          <w:rFonts w:hint="eastAsia"/>
          <w:lang w:eastAsia="en-GB"/>
        </w:rPr>
        <w:t xml:space="preserve"> using Global In-Channel Tx-Test (Annex E) according to the UE’s declaration on the position of carrier centre frequency.</w:t>
      </w:r>
    </w:p>
    <w:p>
      <w:r>
        <w:t>Test procedure for PUCCH: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2.1</w:t>
      </w:r>
      <w:r>
        <w:rPr>
          <w:rFonts w:hint="eastAsia"/>
          <w:lang w:eastAsia="en-GB"/>
        </w:rPr>
        <w:tab/>
      </w:r>
      <w:r>
        <w:rPr>
          <w:rFonts w:hint="eastAsia"/>
          <w:lang w:eastAsia="en-GB"/>
        </w:rPr>
        <w:t>PUCCH are set according to Table 6.4A.2.4.1-2.</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2.2</w:t>
      </w:r>
      <w:r>
        <w:rPr>
          <w:rFonts w:hint="eastAsia"/>
          <w:lang w:eastAsia="en-GB"/>
        </w:rPr>
        <w:tab/>
      </w:r>
      <w:r>
        <w:rPr>
          <w:rFonts w:hint="eastAsia"/>
          <w:lang w:eastAsia="en-GB"/>
        </w:rPr>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2.3</w:t>
      </w:r>
      <w:r>
        <w:rPr>
          <w:rFonts w:hint="eastAsia"/>
          <w:lang w:eastAsia="en-GB"/>
        </w:rPr>
        <w:tab/>
      </w:r>
      <w:r>
        <w:rPr>
          <w:rFonts w:hint="eastAsia"/>
          <w:lang w:eastAsia="en-GB"/>
        </w:rPr>
        <w:t>SS send appropriate TPC commands for PUCCH to the UE until the UE transmit PUCCH at P</w:t>
      </w:r>
      <w:r>
        <w:rPr>
          <w:rFonts w:hint="eastAsia"/>
          <w:vertAlign w:val="baseline"/>
          <w:lang w:eastAsia="en-GB"/>
        </w:rPr>
        <w:t xml:space="preserve">UMAX </w:t>
      </w:r>
      <w:r>
        <w:rPr>
          <w:rFonts w:hint="eastAsia"/>
          <w:lang w:eastAsia="en-GB"/>
        </w:rPr>
        <w:t>level.</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2.4</w:t>
      </w:r>
      <w:r>
        <w:rPr>
          <w:rFonts w:hint="eastAsia"/>
          <w:lang w:eastAsia="en-GB"/>
        </w:rPr>
        <w:tab/>
      </w:r>
      <w:r>
        <w:rPr>
          <w:rFonts w:hint="eastAsia"/>
          <w:lang w:eastAsia="en-GB"/>
        </w:rPr>
        <w:t>Measure PUCCH EVM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rFonts w:hint="eastAsia" w:cs="Times New Roman"/>
          <w:lang w:eastAsia="en-GB"/>
        </w:rPr>
      </w:pPr>
      <w:r>
        <w:rPr>
          <w:rFonts w:hint="eastAsia"/>
          <w:lang w:eastAsia="en-GB"/>
        </w:rPr>
        <w:t>2.5</w:t>
      </w:r>
      <w:r>
        <w:rPr>
          <w:rFonts w:hint="eastAsia"/>
          <w:lang w:eastAsia="en-GB"/>
        </w:rPr>
        <w:tab/>
      </w:r>
      <w:r>
        <w:rPr>
          <w:rFonts w:hint="eastAsia"/>
          <w:lang w:eastAsia="en-GB"/>
        </w:rPr>
        <w:t xml:space="preserve">Send the appropriate TPC commands for PUCCH to the UE until the UE transmits PUCCH at -36.8dBm </w:t>
      </w:r>
      <w:r>
        <w:rPr>
          <w:rFonts w:hint="eastAsia" w:cs="Times New Roman"/>
          <w:lang w:eastAsia="en-GB"/>
        </w:rPr>
        <w:t>±3.2dB for carrier frequency f ≤ 3.0GHz or</w:t>
      </w:r>
      <w:r>
        <w:rPr>
          <w:rFonts w:hint="eastAsia"/>
          <w:lang w:eastAsia="en-GB"/>
        </w:rPr>
        <w:t xml:space="preserve"> -36.5dBm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2.6</w:t>
      </w:r>
      <w:r>
        <w:rPr>
          <w:rFonts w:hint="eastAsia"/>
          <w:lang w:eastAsia="en-GB"/>
        </w:rPr>
        <w:tab/>
      </w:r>
      <w:r>
        <w:rPr>
          <w:rFonts w:hint="eastAsia"/>
          <w:lang w:eastAsia="en-GB"/>
        </w:rPr>
        <w:t>Measure PUCCH EVM using Global In-Channel Tx-Test (Annex E) according to the UE’s declaration on the position of carrier centre frequency.</w:t>
      </w:r>
    </w:p>
    <w:p>
      <w:r>
        <w:t>Test procedure for PRACH: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3.1</w:t>
      </w:r>
      <w:r>
        <w:rPr>
          <w:rFonts w:hint="eastAsia"/>
          <w:lang w:eastAsia="en-GB"/>
        </w:rPr>
        <w:tab/>
      </w:r>
      <w:r>
        <w:rPr>
          <w:rFonts w:hint="eastAsia"/>
          <w:lang w:eastAsia="en-GB"/>
        </w:rPr>
        <w:t>The SS shall set RS EPRE according to Table 6.4A.2.4.1-3.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3.2</w:t>
      </w:r>
      <w:r>
        <w:rPr>
          <w:rFonts w:hint="eastAsia"/>
          <w:lang w:eastAsia="en-GB"/>
        </w:rPr>
        <w:tab/>
      </w:r>
      <w:r>
        <w:rPr>
          <w:rFonts w:hint="eastAsia"/>
          <w:lang w:eastAsia="en-GB"/>
        </w:rPr>
        <w:t>PRACH is set according to Table 6.4A.2.4.1-3.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3.3</w:t>
      </w:r>
      <w:r>
        <w:rPr>
          <w:rFonts w:hint="eastAsia"/>
          <w:lang w:eastAsia="en-GB"/>
        </w:rPr>
        <w:tab/>
      </w:r>
      <w:r>
        <w:rPr>
          <w:rFonts w:hint="eastAsia"/>
          <w:lang w:eastAsia="en-GB"/>
        </w:rPr>
        <w:t>The SS shall signal a Random Access Preamble ID via a MPDCCH order to the UE and initiate a Non-contention based Random Access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3.4</w:t>
      </w:r>
      <w:r>
        <w:rPr>
          <w:rFonts w:hint="eastAsia"/>
          <w:lang w:eastAsia="en-GB"/>
        </w:rPr>
        <w:tab/>
      </w:r>
      <w:r>
        <w:rPr>
          <w:rFonts w:hint="eastAsia"/>
          <w:lang w:eastAsia="en-GB"/>
        </w:rPr>
        <w:t>The UE shall send the signalled preamble to the SS.</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3.5</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3.6</w:t>
      </w:r>
      <w:r>
        <w:rPr>
          <w:rFonts w:hint="eastAsia"/>
          <w:lang w:eastAsia="en-GB"/>
        </w:rPr>
        <w:tab/>
      </w:r>
      <w:r>
        <w:rPr>
          <w:rFonts w:hint="eastAsia"/>
          <w:lang w:eastAsia="en-GB"/>
        </w:rPr>
        <w:t>The UE shall consider the random access response reception not successful then re-transmit the preamble with the calculated PRACH transmission power.</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3.7</w:t>
      </w:r>
      <w:r>
        <w:rPr>
          <w:rFonts w:hint="eastAsia"/>
          <w:lang w:eastAsia="en-GB"/>
        </w:rPr>
        <w:tab/>
      </w:r>
      <w:r>
        <w:rPr>
          <w:rFonts w:hint="eastAsia"/>
          <w:lang w:eastAsia="en-GB"/>
        </w:rPr>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pPr>
        <w:pStyle w:val="9"/>
      </w:pPr>
      <w:r>
        <w:t>6.4A.2.1.4.3</w:t>
      </w:r>
      <w:r>
        <w:tab/>
      </w:r>
      <w:r>
        <w:t>Message contents</w:t>
      </w:r>
    </w:p>
    <w:p>
      <w:r>
        <w:t>Message contents are according to TS 36.508 [12] subclause 4.6 with the condition CEModeA and the following exceptions:</w:t>
      </w:r>
    </w:p>
    <w:p>
      <w:pPr>
        <w:pStyle w:val="113"/>
      </w:pPr>
      <w:r>
        <w:t xml:space="preserve">Table 6.4A.2.4.3-1: </w:t>
      </w:r>
      <w:r>
        <w:rPr>
          <w:i/>
        </w:rPr>
        <w:t>PRACH-Config-DEFAULT</w:t>
      </w:r>
      <w:r>
        <w:t>: PRACH EVM measurement for FDD</w:t>
      </w:r>
    </w:p>
    <w:tbl>
      <w:tblPr>
        <w:tblStyle w:val="89"/>
        <w:tblW w:w="9527" w:type="dxa"/>
        <w:jc w:val="center"/>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Layout w:type="fixed"/>
        <w:tblCellMar>
          <w:top w:w="0" w:type="dxa"/>
          <w:left w:w="28" w:type="dxa"/>
          <w:bottom w:w="0" w:type="dxa"/>
          <w:right w:w="108" w:type="dxa"/>
        </w:tblCellMar>
      </w:tblPr>
      <w:tblGrid>
        <w:gridCol w:w="4427"/>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9527" w:type="dxa"/>
            <w:gridSpan w:val="4"/>
          </w:tcPr>
          <w:p>
            <w:pPr>
              <w:pStyle w:val="104"/>
            </w:pPr>
            <w:r>
              <w:t>Derivation Path: TS 36.508 [12] clause 4.6.3, Table 4.6.3-7 PRACH-Config-DEFAULT</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Information Element</w:t>
            </w:r>
          </w:p>
        </w:tc>
        <w:tc>
          <w:tcPr>
            <w:tcW w:w="2267" w:type="dxa"/>
          </w:tcPr>
          <w:p>
            <w:pPr>
              <w:pStyle w:val="103"/>
            </w:pPr>
            <w:r>
              <w:t>Value/remark</w:t>
            </w:r>
          </w:p>
        </w:tc>
        <w:tc>
          <w:tcPr>
            <w:tcW w:w="1700" w:type="dxa"/>
          </w:tcPr>
          <w:p>
            <w:pPr>
              <w:pStyle w:val="103"/>
            </w:pPr>
            <w:r>
              <w:t>Comment</w:t>
            </w:r>
          </w:p>
        </w:tc>
        <w:tc>
          <w:tcPr>
            <w:tcW w:w="1133" w:type="dxa"/>
          </w:tcPr>
          <w:p>
            <w:pPr>
              <w:pStyle w:val="103"/>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PRACH-ConfigInfo SEQUENCE {</w:t>
            </w:r>
          </w:p>
        </w:tc>
        <w:tc>
          <w:tcPr>
            <w:tcW w:w="2267" w:type="dxa"/>
          </w:tcPr>
          <w:p>
            <w:pPr>
              <w:pStyle w:val="103"/>
            </w:pPr>
          </w:p>
        </w:tc>
        <w:tc>
          <w:tcPr>
            <w:tcW w:w="1700" w:type="dxa"/>
          </w:tcPr>
          <w:p>
            <w:pPr>
              <w:pStyle w:val="103"/>
            </w:pPr>
          </w:p>
        </w:tc>
        <w:tc>
          <w:tcPr>
            <w:tcW w:w="113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none" w:color="auto" w:sz="0" w:space="0"/>
          </w:tblBorders>
          <w:tblCellMar>
            <w:top w:w="0" w:type="dxa"/>
            <w:left w:w="28" w:type="dxa"/>
            <w:bottom w:w="0" w:type="dxa"/>
            <w:right w:w="108" w:type="dxa"/>
          </w:tblCellMar>
        </w:tblPrEx>
        <w:trPr>
          <w:jc w:val="center"/>
        </w:trPr>
        <w:tc>
          <w:tcPr>
            <w:tcW w:w="4427" w:type="dxa"/>
          </w:tcPr>
          <w:p>
            <w:pPr>
              <w:pStyle w:val="103"/>
            </w:pPr>
            <w:r>
              <w:t xml:space="preserve">  prach-ConfigIndex</w:t>
            </w:r>
          </w:p>
        </w:tc>
        <w:tc>
          <w:tcPr>
            <w:tcW w:w="2267" w:type="dxa"/>
          </w:tcPr>
          <w:p>
            <w:pPr>
              <w:pStyle w:val="103"/>
            </w:pPr>
            <w:r>
              <w:t>4</w:t>
            </w:r>
          </w:p>
        </w:tc>
        <w:tc>
          <w:tcPr>
            <w:tcW w:w="1700" w:type="dxa"/>
          </w:tcPr>
          <w:p>
            <w:pPr>
              <w:pStyle w:val="103"/>
            </w:pPr>
          </w:p>
        </w:tc>
        <w:tc>
          <w:tcPr>
            <w:tcW w:w="1133" w:type="dxa"/>
          </w:tcPr>
          <w:p>
            <w:pPr>
              <w:pStyle w:val="103"/>
            </w:pPr>
          </w:p>
        </w:tc>
      </w:tr>
    </w:tbl>
    <w:p/>
    <w:p>
      <w:pPr>
        <w:pStyle w:val="113"/>
      </w:pPr>
      <w:r>
        <w:t xml:space="preserve">Table 6.4A.2.4.3-2: </w:t>
      </w:r>
      <w:r>
        <w:rPr>
          <w:i/>
        </w:rPr>
        <w:t>RACH-ConfigCommon-DEFAULT:</w:t>
      </w:r>
      <w:r>
        <w:t xml:space="preserve"> PRACH EVM measurement</w:t>
      </w:r>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TS 36.508 [12] clause 4.6.3, Table 4.6.3-12 RACH-ConfigCommon-DEFAULT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RACH-ConfigCommon-DEFAULT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378" w:hRule="atLeast"/>
        </w:trPr>
        <w:tc>
          <w:tcPr>
            <w:tcW w:w="4537" w:type="dxa"/>
            <w:shd w:val="clear" w:color="auto" w:fill="auto"/>
          </w:tcPr>
          <w:p>
            <w:pPr>
              <w:pStyle w:val="103"/>
            </w:pPr>
            <w:r>
              <w:t xml:space="preserve">  preambleInfo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numberOfRA-Preambles</w:t>
            </w:r>
          </w:p>
        </w:tc>
        <w:tc>
          <w:tcPr>
            <w:tcW w:w="2268" w:type="dxa"/>
            <w:shd w:val="clear" w:color="auto" w:fill="auto"/>
          </w:tcPr>
          <w:p>
            <w:pPr>
              <w:pStyle w:val="103"/>
            </w:pPr>
            <w:r>
              <w:t>n52</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preamblesGroupAConfig SEQUENCE {}</w:t>
            </w:r>
          </w:p>
        </w:tc>
        <w:tc>
          <w:tcPr>
            <w:tcW w:w="2268" w:type="dxa"/>
            <w:shd w:val="clear" w:color="auto" w:fill="auto"/>
          </w:tcPr>
          <w:p>
            <w:pPr>
              <w:pStyle w:val="103"/>
            </w:pPr>
            <w:r>
              <w:t>Not present</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powerRampingParameters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powerRampingStep</w:t>
            </w:r>
          </w:p>
        </w:tc>
        <w:tc>
          <w:tcPr>
            <w:tcW w:w="2268" w:type="dxa"/>
            <w:shd w:val="clear" w:color="auto" w:fill="auto"/>
          </w:tcPr>
          <w:p>
            <w:pPr>
              <w:pStyle w:val="103"/>
            </w:pPr>
            <w:r>
              <w:t>d</w:t>
            </w:r>
            <w:r>
              <w:rPr>
                <w:rFonts w:eastAsia="MS Mincho"/>
              </w:rPr>
              <w:t>B</w:t>
            </w:r>
            <w:r>
              <w:t>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preambleInitialReceivedTargetPower</w:t>
            </w:r>
          </w:p>
        </w:tc>
        <w:tc>
          <w:tcPr>
            <w:tcW w:w="2268" w:type="dxa"/>
            <w:shd w:val="clear" w:color="auto" w:fill="auto"/>
          </w:tcPr>
          <w:p>
            <w:pPr>
              <w:pStyle w:val="103"/>
            </w:pPr>
            <w:r>
              <w:t>dBm-120 Test point 1</w:t>
            </w:r>
          </w:p>
          <w:p>
            <w:pPr>
              <w:pStyle w:val="103"/>
            </w:pPr>
            <w:r>
              <w:t>dBm-90 Test point 2</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tcBorders>
              <w:bottom w:val="single" w:color="000000" w:sz="4" w:space="0"/>
            </w:tcBorders>
            <w:shd w:val="clear" w:color="auto" w:fill="auto"/>
          </w:tcPr>
          <w:p>
            <w:pPr>
              <w:pStyle w:val="103"/>
            </w:pPr>
            <w:r>
              <w:t xml:space="preserve">  ra-SupervisionInfo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tcBorders>
              <w:bottom w:val="nil"/>
            </w:tcBorders>
            <w:shd w:val="clear" w:color="auto" w:fill="auto"/>
          </w:tcPr>
          <w:p>
            <w:pPr>
              <w:pStyle w:val="103"/>
            </w:pPr>
            <w:r>
              <w:t xml:space="preserve">    preambleTransMax</w:t>
            </w:r>
          </w:p>
        </w:tc>
        <w:tc>
          <w:tcPr>
            <w:tcW w:w="2268" w:type="dxa"/>
            <w:shd w:val="clear" w:color="auto" w:fill="auto"/>
          </w:tcPr>
          <w:p>
            <w:pPr>
              <w:pStyle w:val="103"/>
            </w:pPr>
            <w:r>
              <w:t>n10</w:t>
            </w:r>
          </w:p>
        </w:tc>
        <w:tc>
          <w:tcPr>
            <w:tcW w:w="1701" w:type="dxa"/>
            <w:shd w:val="clear" w:color="auto" w:fill="auto"/>
          </w:tcPr>
          <w:p>
            <w:pPr>
              <w:pStyle w:val="103"/>
            </w:pPr>
          </w:p>
        </w:tc>
        <w:tc>
          <w:tcPr>
            <w:tcW w:w="1275" w:type="dxa"/>
            <w:shd w:val="clear" w:color="auto" w:fill="auto"/>
          </w:tcPr>
          <w:p>
            <w:pPr>
              <w:pStyle w:val="103"/>
            </w:pPr>
            <w:r>
              <w:t>FDD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tcBorders>
              <w:top w:val="nil"/>
            </w:tcBorders>
            <w:shd w:val="clear" w:color="auto" w:fill="auto"/>
          </w:tcPr>
          <w:p>
            <w:pPr>
              <w:pStyle w:val="103"/>
            </w:pPr>
          </w:p>
        </w:tc>
        <w:tc>
          <w:tcPr>
            <w:tcW w:w="2268" w:type="dxa"/>
            <w:shd w:val="clear" w:color="auto" w:fill="auto"/>
          </w:tcPr>
          <w:p>
            <w:pPr>
              <w:pStyle w:val="103"/>
            </w:pPr>
            <w:r>
              <w:t>n20</w:t>
            </w:r>
          </w:p>
        </w:tc>
        <w:tc>
          <w:tcPr>
            <w:tcW w:w="1701" w:type="dxa"/>
            <w:shd w:val="clear" w:color="auto" w:fill="auto"/>
          </w:tcPr>
          <w:p>
            <w:pPr>
              <w:pStyle w:val="103"/>
            </w:pPr>
          </w:p>
        </w:tc>
        <w:tc>
          <w:tcPr>
            <w:tcW w:w="1275" w:type="dxa"/>
            <w:shd w:val="clear" w:color="auto" w:fill="auto"/>
          </w:tcPr>
          <w:p>
            <w:pPr>
              <w:pStyle w:val="103"/>
            </w:pPr>
            <w:r>
              <w:t>TDD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ra-ResponseWindowSize</w:t>
            </w:r>
          </w:p>
        </w:tc>
        <w:tc>
          <w:tcPr>
            <w:tcW w:w="2268" w:type="dxa"/>
            <w:shd w:val="clear" w:color="auto" w:fill="auto"/>
          </w:tcPr>
          <w:p>
            <w:pPr>
              <w:pStyle w:val="103"/>
            </w:pPr>
            <w:r>
              <w:t>Sf10</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mac-ContentionResolutionTimer</w:t>
            </w:r>
          </w:p>
        </w:tc>
        <w:tc>
          <w:tcPr>
            <w:tcW w:w="2268" w:type="dxa"/>
            <w:shd w:val="clear" w:color="auto" w:fill="auto"/>
          </w:tcPr>
          <w:p>
            <w:pPr>
              <w:pStyle w:val="103"/>
            </w:pPr>
            <w:r>
              <w:t>sf48</w:t>
            </w: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ra-SupervisionInfo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
      <w:pPr>
        <w:pStyle w:val="9"/>
      </w:pPr>
      <w:r>
        <w:t>6.4A.2.1.5</w:t>
      </w:r>
      <w:r>
        <w:tab/>
      </w:r>
      <w:r>
        <w:t>Test requirement</w:t>
      </w:r>
    </w:p>
    <w:p>
      <w:r>
        <w:t>The PUSCH EVM derived in E.4.2 shall not exceed 17,5 % for QPSK and BPSK, 12,5% for 16 QAM.</w:t>
      </w:r>
    </w:p>
    <w:p>
      <w:r>
        <w:t>The PUSCH</w:t>
      </w:r>
      <w:r>
        <w:object>
          <v:shape id="_x0000_i1035"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35" DrawAspect="Content" ObjectID="_1468075735" r:id="rId38">
            <o:LockedField>false</o:LockedField>
          </o:OLEObject>
        </w:object>
      </w:r>
      <w:r>
        <w:t xml:space="preserve"> derived in E.4.6.2 shall not exceed [17,5 %] when embedded with data symbols of QPSK and BPSK, [12,5%] for 16 QAM.</w:t>
      </w:r>
    </w:p>
    <w:p>
      <w:r>
        <w:t>The PUCCH EVM and derived in E.5.9.2 shall not exceed 17,5 %.</w:t>
      </w:r>
    </w:p>
    <w:p>
      <w:r>
        <w:t>The PRACH EVM derived in FFS shall not exceed 17.5%.</w:t>
      </w:r>
    </w:p>
    <w:p>
      <w:pPr>
        <w:pStyle w:val="6"/>
        <w:rPr>
          <w:lang w:val="en-US"/>
        </w:rPr>
      </w:pPr>
      <w:bookmarkStart w:id="414" w:name="_Toc29241"/>
      <w:r>
        <w:t>6.4A.2.2</w:t>
      </w:r>
      <w:r>
        <w:tab/>
      </w:r>
      <w:r>
        <w:t>Carrier leakage for category M1</w:t>
      </w:r>
      <w:bookmarkEnd w:id="414"/>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Pr>
        <w:pStyle w:val="9"/>
      </w:pPr>
      <w:r>
        <w:t>6.4A.2.2.1</w:t>
      </w:r>
      <w:r>
        <w:tab/>
      </w:r>
      <w:r>
        <w:t>Test purpose</w:t>
      </w:r>
    </w:p>
    <w:p>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pPr>
        <w:rPr>
          <w:rFonts w:cs="v5.0.0"/>
        </w:rPr>
      </w:pPr>
      <w:r>
        <w:rPr>
          <w:rFonts w:cs="v5.0.0"/>
        </w:rPr>
        <w:t>The purpose of this test is to exercise the UE transmitter to verify its modulation quality in terms of carrier leakage.</w:t>
      </w:r>
    </w:p>
    <w:p/>
    <w:p>
      <w:pPr>
        <w:pStyle w:val="9"/>
      </w:pPr>
      <w:r>
        <w:t>6.4A.2.2.2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6.4A.2.2.3</w:t>
      </w:r>
      <w:r>
        <w:tab/>
      </w:r>
      <w:r>
        <w:t>Minimum conformance requirements</w:t>
      </w:r>
    </w:p>
    <w:p>
      <w:r>
        <w:t xml:space="preserve">The relative carrier leakage power is a power ratio of the additive sinusoid waveform and the modulated waveform. The relative carrier leakage power shall not exceed the values specified in </w:t>
      </w:r>
      <w:r>
        <w:rPr>
          <w:rFonts w:eastAsia="Osaka"/>
        </w:rPr>
        <w:t>Table 6.4A.2.2.3-1</w:t>
      </w:r>
      <w:r>
        <w:rPr>
          <w:rFonts w:cs="v5.0.0"/>
        </w:rPr>
        <w:t>.</w:t>
      </w:r>
    </w:p>
    <w:p>
      <w:pPr>
        <w:pStyle w:val="113"/>
      </w:pPr>
      <w:r>
        <w:rPr>
          <w:rFonts w:eastAsia="Osaka"/>
        </w:rPr>
        <w:t xml:space="preserve">Table 6.4A.2.2.3-1: </w:t>
      </w:r>
      <w:r>
        <w:rPr>
          <w:rFonts w:cs="Arial"/>
        </w:rPr>
        <w:t xml:space="preserve">Minimum requirements for </w:t>
      </w:r>
      <w:r>
        <w:rPr>
          <w:rFonts w:eastAsia="Osaka"/>
        </w:rPr>
        <w:t>Relative Carrier Leakage Power for UE supporting Rel.11 and higher</w:t>
      </w:r>
    </w:p>
    <w:tbl>
      <w:tblPr>
        <w:tblStyle w:val="89"/>
        <w:tblW w:w="79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4"/>
              <w:rPr>
                <w:rFonts w:cs="Arial"/>
              </w:rPr>
            </w:pPr>
            <w:r>
              <w:rPr>
                <w:rFonts w:cs="Arial"/>
              </w:rPr>
              <w:t>Parameters</w:t>
            </w:r>
          </w:p>
        </w:tc>
        <w:tc>
          <w:tcPr>
            <w:tcW w:w="1843" w:type="dxa"/>
            <w:shd w:val="clear" w:color="auto" w:fill="auto"/>
          </w:tcPr>
          <w:p>
            <w:pPr>
              <w:pStyle w:val="104"/>
              <w:rPr>
                <w:rFonts w:cs="Arial"/>
              </w:rPr>
            </w:pPr>
            <w:r>
              <w:rPr>
                <w:rFonts w:cs="Arial"/>
              </w:rPr>
              <w:t>Relative limit (dBc)</w:t>
            </w:r>
          </w:p>
        </w:tc>
        <w:tc>
          <w:tcPr>
            <w:tcW w:w="2977" w:type="dxa"/>
            <w:shd w:val="clear" w:color="auto" w:fill="auto"/>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vMerge w:val="restart"/>
          </w:tcPr>
          <w:p>
            <w:pPr>
              <w:pStyle w:val="105"/>
              <w:rPr>
                <w:rFonts w:cs="Arial"/>
              </w:rPr>
            </w:pPr>
            <w:r>
              <w:rPr>
                <w:rFonts w:cs="Arial"/>
              </w:rPr>
              <w:t>Output power &gt;10 dBm</w:t>
            </w:r>
          </w:p>
        </w:tc>
        <w:tc>
          <w:tcPr>
            <w:tcW w:w="1843" w:type="dxa"/>
            <w:shd w:val="clear" w:color="auto" w:fill="auto"/>
          </w:tcPr>
          <w:p>
            <w:pPr>
              <w:pStyle w:val="105"/>
              <w:rPr>
                <w:rFonts w:cs="Arial"/>
              </w:rPr>
            </w:pPr>
            <w:r>
              <w:rPr>
                <w:rFonts w:cs="Arial"/>
              </w:rPr>
              <w:t>-28</w:t>
            </w:r>
          </w:p>
        </w:tc>
        <w:tc>
          <w:tcPr>
            <w:tcW w:w="2977" w:type="dxa"/>
            <w:shd w:val="clear" w:color="auto" w:fill="auto"/>
          </w:tcPr>
          <w:p>
            <w:pPr>
              <w:pStyle w:val="105"/>
              <w:rPr>
                <w:rFonts w:cs="Arial"/>
              </w:rPr>
            </w:pPr>
            <w:r>
              <w:rPr>
                <w:rFonts w:cs="Arial"/>
              </w:rPr>
              <w:t>Carrier centre frequency &lt;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vMerge w:val="continue"/>
          </w:tcPr>
          <w:p>
            <w:pPr>
              <w:pStyle w:val="105"/>
              <w:rPr>
                <w:rFonts w:cs="Arial"/>
              </w:rPr>
            </w:pPr>
          </w:p>
        </w:tc>
        <w:tc>
          <w:tcPr>
            <w:tcW w:w="1843" w:type="dxa"/>
            <w:shd w:val="clear" w:color="auto" w:fill="auto"/>
          </w:tcPr>
          <w:p>
            <w:pPr>
              <w:pStyle w:val="105"/>
              <w:rPr>
                <w:rFonts w:cs="Arial"/>
              </w:rPr>
            </w:pPr>
            <w:r>
              <w:rPr>
                <w:rFonts w:cs="Arial"/>
              </w:rPr>
              <w:t>-25</w:t>
            </w:r>
          </w:p>
        </w:tc>
        <w:tc>
          <w:tcPr>
            <w:tcW w:w="2977" w:type="dxa"/>
            <w:shd w:val="clear" w:color="auto" w:fill="auto"/>
          </w:tcPr>
          <w:p>
            <w:pPr>
              <w:pStyle w:val="105"/>
              <w:rPr>
                <w:rFonts w:cs="Arial"/>
              </w:rPr>
            </w:pPr>
            <w:r>
              <w:rPr>
                <w:rFonts w:cs="Arial"/>
              </w:rPr>
              <w:t>Carrier centre frequency ≥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0 dBm ≤ Output power ≤10 dBm</w:t>
            </w:r>
          </w:p>
        </w:tc>
        <w:tc>
          <w:tcPr>
            <w:tcW w:w="1843" w:type="dxa"/>
            <w:shd w:val="clear" w:color="auto" w:fill="auto"/>
          </w:tcPr>
          <w:p>
            <w:pPr>
              <w:pStyle w:val="105"/>
              <w:rPr>
                <w:rFonts w:cs="Arial"/>
              </w:rPr>
            </w:pPr>
            <w:r>
              <w:rPr>
                <w:rFonts w:cs="Arial"/>
              </w:rPr>
              <w:t>-25</w:t>
            </w:r>
          </w:p>
        </w:tc>
        <w:tc>
          <w:tcPr>
            <w:tcW w:w="2977"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-30 dBm ≤ Output power ≤0 dBm</w:t>
            </w:r>
          </w:p>
        </w:tc>
        <w:tc>
          <w:tcPr>
            <w:tcW w:w="1843" w:type="dxa"/>
            <w:shd w:val="clear" w:color="auto" w:fill="auto"/>
          </w:tcPr>
          <w:p>
            <w:pPr>
              <w:pStyle w:val="105"/>
              <w:rPr>
                <w:rFonts w:cs="Arial"/>
              </w:rPr>
            </w:pPr>
            <w:r>
              <w:rPr>
                <w:rFonts w:cs="Arial"/>
              </w:rPr>
              <w:t>-20</w:t>
            </w:r>
          </w:p>
        </w:tc>
        <w:tc>
          <w:tcPr>
            <w:tcW w:w="2977"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pPr>
              <w:pStyle w:val="105"/>
              <w:rPr>
                <w:rFonts w:cs="Arial"/>
              </w:rPr>
            </w:pPr>
            <w:r>
              <w:rPr>
                <w:rFonts w:cs="Arial"/>
              </w:rPr>
              <w:t>-10</w:t>
            </w:r>
          </w:p>
        </w:tc>
        <w:tc>
          <w:tcPr>
            <w:tcW w:w="2977" w:type="dxa"/>
            <w:shd w:val="clear" w:color="auto" w:fill="auto"/>
          </w:tcPr>
          <w:p>
            <w:pPr>
              <w:pStyle w:val="105"/>
              <w:rPr>
                <w:rFonts w:cs="Arial"/>
              </w:rPr>
            </w:pPr>
          </w:p>
        </w:tc>
      </w:tr>
    </w:tbl>
    <w:p>
      <w:pPr>
        <w:rPr>
          <w:rFonts w:eastAsia="PMingLiU"/>
          <w:lang w:eastAsia="zh-TW"/>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6.4A.2.</w:t>
      </w:r>
    </w:p>
    <w:p>
      <w:pPr>
        <w:pStyle w:val="9"/>
      </w:pPr>
      <w:r>
        <w:t>6.4A.2.2.4</w:t>
      </w:r>
      <w:r>
        <w:tab/>
      </w:r>
      <w:r>
        <w:t>Test description</w:t>
      </w:r>
    </w:p>
    <w:p>
      <w:pPr>
        <w:pStyle w:val="9"/>
      </w:pPr>
      <w:r>
        <w:t>6.4A.2.2.4.1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5.2A. All of these configurations shall be tested with applicable test parameters for each channel bandwidth, and are shown in table 6.4A.2.2.4.1-1.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6.4A.2.2.4.1-1: Test Configuration Table</w:t>
      </w:r>
    </w:p>
    <w:tbl>
      <w:tblPr>
        <w:tblStyle w:val="89"/>
        <w:tblW w:w="8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3495"/>
        <w:gridCol w:w="1165"/>
        <w:gridCol w:w="3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04"/>
              <w:rPr>
                <w:rFonts w:cs="v5.0.0"/>
              </w:rPr>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t>Test Environment</w:t>
            </w:r>
          </w:p>
          <w:p>
            <w:pPr>
              <w:pStyle w:val="103"/>
              <w:rPr>
                <w:bCs/>
              </w:rPr>
            </w:pPr>
            <w:r>
              <w:t>(as specified in TS 36.508 [12] subclause 4.1)</w:t>
            </w:r>
          </w:p>
        </w:tc>
        <w:tc>
          <w:tcPr>
            <w:tcW w:w="4303" w:type="dxa"/>
            <w:gridSpan w:val="2"/>
            <w:vAlign w:val="center"/>
          </w:tcPr>
          <w:p>
            <w:pPr>
              <w:pStyle w:val="105"/>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rPr>
                <w:bCs/>
              </w:rPr>
              <w:t>Test Frequencies</w:t>
            </w:r>
          </w:p>
          <w:p>
            <w:pPr>
              <w:pStyle w:val="103"/>
            </w:pPr>
            <w:r>
              <w:t>(as specified in TS36.508 [12] subclause 4.3.1)</w:t>
            </w:r>
          </w:p>
        </w:tc>
        <w:tc>
          <w:tcPr>
            <w:tcW w:w="4303" w:type="dxa"/>
            <w:gridSpan w:val="2"/>
            <w:vAlign w:val="center"/>
          </w:tcPr>
          <w:p>
            <w:pPr>
              <w:pStyle w:val="105"/>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gridSpan w:val="2"/>
          </w:tcPr>
          <w:p>
            <w:pPr>
              <w:pStyle w:val="103"/>
            </w:pPr>
            <w:r>
              <w:rPr>
                <w:bCs/>
              </w:rPr>
              <w:t>Test Channel Bandwidths</w:t>
            </w:r>
          </w:p>
          <w:p>
            <w:pPr>
              <w:pStyle w:val="103"/>
            </w:pPr>
            <w:r>
              <w:t>(as specified in TS 36.508 [12] subclause 4.3.1)</w:t>
            </w:r>
          </w:p>
        </w:tc>
        <w:tc>
          <w:tcPr>
            <w:tcW w:w="4303" w:type="dxa"/>
            <w:gridSpan w:val="2"/>
            <w:vAlign w:val="center"/>
          </w:tcPr>
          <w:p>
            <w:pPr>
              <w:pStyle w:val="105"/>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04"/>
            </w:pPr>
            <w:r>
              <w:t xml:space="preserve">Test Parameters for Channel Bandwidths and Narrowband positions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tcPr>
          <w:p>
            <w:pPr>
              <w:pStyle w:val="104"/>
            </w:pPr>
            <w:r>
              <w:t>Downlink Configuration</w:t>
            </w:r>
          </w:p>
        </w:tc>
        <w:tc>
          <w:tcPr>
            <w:tcW w:w="4303"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r>
              <w:t>Ch BW</w:t>
            </w:r>
          </w:p>
        </w:tc>
        <w:tc>
          <w:tcPr>
            <w:tcW w:w="3495" w:type="dxa"/>
            <w:vMerge w:val="restart"/>
          </w:tcPr>
          <w:p>
            <w:pPr>
              <w:pStyle w:val="105"/>
            </w:pPr>
            <w:r>
              <w:t>N/A for carrier leakage testing</w:t>
            </w:r>
          </w:p>
        </w:tc>
        <w:tc>
          <w:tcPr>
            <w:tcW w:w="1165" w:type="dxa"/>
          </w:tcPr>
          <w:p>
            <w:pPr>
              <w:pStyle w:val="105"/>
            </w:pPr>
            <w:r>
              <w:t>Mod'n</w:t>
            </w:r>
          </w:p>
        </w:tc>
        <w:tc>
          <w:tcPr>
            <w:tcW w:w="3138"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5"/>
            </w:pPr>
          </w:p>
        </w:tc>
        <w:tc>
          <w:tcPr>
            <w:tcW w:w="3495" w:type="dxa"/>
            <w:vMerge w:val="continue"/>
          </w:tcPr>
          <w:p>
            <w:pPr>
              <w:pStyle w:val="105"/>
            </w:pPr>
          </w:p>
        </w:tc>
        <w:tc>
          <w:tcPr>
            <w:tcW w:w="1165" w:type="dxa"/>
          </w:tcPr>
          <w:p>
            <w:pPr>
              <w:pStyle w:val="105"/>
            </w:pPr>
          </w:p>
        </w:tc>
        <w:tc>
          <w:tcPr>
            <w:tcW w:w="3138" w:type="dxa"/>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left w:val="single" w:color="auto" w:sz="4" w:space="0"/>
            </w:tcBorders>
          </w:tcPr>
          <w:p>
            <w:pPr>
              <w:pStyle w:val="105"/>
            </w:pPr>
            <w:r>
              <w:t>1.4MHz</w:t>
            </w:r>
          </w:p>
        </w:tc>
        <w:tc>
          <w:tcPr>
            <w:tcW w:w="3495" w:type="dxa"/>
            <w:vMerge w:val="continue"/>
          </w:tcPr>
          <w:p>
            <w:pPr>
              <w:pStyle w:val="105"/>
            </w:pPr>
          </w:p>
        </w:tc>
        <w:tc>
          <w:tcPr>
            <w:tcW w:w="1165" w:type="dxa"/>
          </w:tcPr>
          <w:p>
            <w:pPr>
              <w:pStyle w:val="105"/>
            </w:pPr>
            <w:r>
              <w:t>QPSK</w:t>
            </w:r>
          </w:p>
        </w:tc>
        <w:tc>
          <w:tcPr>
            <w:tcW w:w="3138" w:type="dxa"/>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964" w:type="dxa"/>
            <w:gridSpan w:val="4"/>
          </w:tcPr>
          <w:p>
            <w:pPr>
              <w:pStyle w:val="118"/>
            </w:pPr>
            <w:r>
              <w:t>Note 1:</w:t>
            </w:r>
            <w:r>
              <w:tab/>
            </w:r>
            <w:r>
              <w:t>For partial RB allocation, the RB</w:t>
            </w:r>
            <w:r>
              <w:rPr>
                <w:vertAlign w:val="subscript"/>
              </w:rPr>
              <w:t>start</w:t>
            </w:r>
            <w:r>
              <w:t xml:space="preserve"> shall be RB #0 and RB# (6 - RB allocation) of the channel bandwidth.</w:t>
            </w:r>
          </w:p>
        </w:tc>
      </w:tr>
    </w:tbl>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4.4.3.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6.4A.2.2.4.1-1.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Ensure the UE is in State 3A-RF-CE according to TS 36.508 [12] clause 5.2A.2AA. Message contents are defined in clause 6.4A.2.1.4.3.</w:t>
      </w:r>
    </w:p>
    <w:p>
      <w:pPr>
        <w:pStyle w:val="9"/>
      </w:pPr>
      <w:r>
        <w:t>6.4A.2.2.4.2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6.4A.2.2.4.1-1.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 xml:space="preserve">Send the appropriate TPC commands in the uplink scheduling information to the UE until UE output power is 13.2 dBm </w:t>
      </w:r>
      <w:r>
        <w:rPr>
          <w:rFonts w:hint="eastAsia" w:cs="Times New Roman"/>
          <w:lang w:eastAsia="en-GB"/>
        </w:rPr>
        <w:t>±3.2dB for carrier frequency f ≤ 3.0GHz or</w:t>
      </w:r>
      <w:r>
        <w:rPr>
          <w:rFonts w:hint="eastAsia"/>
          <w:lang w:eastAsia="en-GB"/>
        </w:rPr>
        <w:t xml:space="preserve"> 13.5dBm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 xml:space="preserve">Send the appropriate TPC commands in the uplink scheduling information to the UE until UE output power is 3.2 dBm </w:t>
      </w:r>
      <w:r>
        <w:rPr>
          <w:rFonts w:hint="eastAsia" w:cs="Times New Roman"/>
          <w:lang w:eastAsia="en-GB"/>
        </w:rPr>
        <w:t>±3.2dB for carrier frequency f ≤ 3.0GHz or</w:t>
      </w:r>
      <w:r>
        <w:rPr>
          <w:rFonts w:hint="eastAsia"/>
          <w:lang w:eastAsia="en-GB"/>
        </w:rPr>
        <w:t xml:space="preserve"> 3.5dBm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 xml:space="preserve">Send the appropriate TPC commands in the uplink scheduling information to the UE until UE output power is -26.8 dBm ±3.2dB </w:t>
      </w:r>
      <w:r>
        <w:rPr>
          <w:rFonts w:hint="eastAsia" w:cs="Times New Roman"/>
          <w:lang w:eastAsia="en-GB"/>
        </w:rPr>
        <w:t>for carrier frequency f ≤ 3.0GHz or</w:t>
      </w:r>
      <w:r>
        <w:rPr>
          <w:rFonts w:hint="eastAsia"/>
          <w:lang w:eastAsia="en-GB"/>
        </w:rPr>
        <w:t xml:space="preserve"> -26.5dBm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w:t>
      </w:r>
      <w:r>
        <w:rPr>
          <w:rFonts w:hint="eastAsia"/>
          <w:lang w:eastAsia="en-GB"/>
        </w:rPr>
        <w:tab/>
      </w:r>
      <w:r>
        <w:rPr>
          <w:rFonts w:hint="eastAsia"/>
          <w:lang w:eastAsia="en-GB"/>
        </w:rPr>
        <w:t>Measure carrier leakage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8.</w:t>
      </w:r>
      <w:r>
        <w:rPr>
          <w:rFonts w:hint="eastAsia"/>
          <w:lang w:eastAsia="en-GB"/>
        </w:rPr>
        <w:tab/>
      </w:r>
      <w:r>
        <w:rPr>
          <w:rFonts w:hint="eastAsia"/>
          <w:lang w:eastAsia="en-GB"/>
        </w:rPr>
        <w:t xml:space="preserve">Send the appropriate TPC commands in the uplink scheduling information to the UE until UE output power is -36.8dBm ±3.2dB </w:t>
      </w:r>
      <w:r>
        <w:rPr>
          <w:rFonts w:hint="eastAsia" w:cs="Times New Roman"/>
          <w:lang w:eastAsia="en-GB"/>
        </w:rPr>
        <w:t>for carrier frequency f ≤ 3.0GHz or</w:t>
      </w:r>
      <w:r>
        <w:rPr>
          <w:rFonts w:hint="eastAsia"/>
          <w:lang w:eastAsia="en-GB"/>
        </w:rPr>
        <w:t xml:space="preserve"> -36.5dBm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9.</w:t>
      </w:r>
      <w:r>
        <w:rPr>
          <w:rFonts w:hint="eastAsia"/>
          <w:lang w:eastAsia="en-GB"/>
        </w:rPr>
        <w:tab/>
      </w:r>
      <w:r>
        <w:rPr>
          <w:rFonts w:hint="eastAsia"/>
          <w:lang w:eastAsia="en-GB"/>
        </w:rPr>
        <w:t xml:space="preserve">Measure carrier leakage using Global In-Channel Tx-Test (Annex E) according to the UE’s declaration on the position of carrier centre frequency. </w:t>
      </w:r>
    </w:p>
    <w:p/>
    <w:p>
      <w:pPr>
        <w:pStyle w:val="9"/>
      </w:pPr>
      <w:r>
        <w:t>6.4A.2.2.4.3</w:t>
      </w:r>
      <w:r>
        <w:tab/>
      </w:r>
      <w:r>
        <w:t>Message contents</w:t>
      </w:r>
    </w:p>
    <w:p>
      <w:r>
        <w:t>Message contents are according to TS 36.508 [12] subclause 4.6 with the condition CEModeA.</w:t>
      </w:r>
    </w:p>
    <w:p>
      <w:pPr>
        <w:pStyle w:val="9"/>
      </w:pPr>
      <w:r>
        <w:t>6.4A.2.2.5</w:t>
      </w:r>
      <w:r>
        <w:tab/>
      </w:r>
      <w:r>
        <w:t>Test requirement</w:t>
      </w:r>
    </w:p>
    <w:p>
      <w:pPr>
        <w:tabs>
          <w:tab w:val="left" w:pos="3450"/>
        </w:tabs>
      </w:pPr>
      <w:r>
        <w:t>Each of the 20 IQ offset results, derived in Annex E.3.1, shall not exceed the values in table 6.4A.2.5-1</w:t>
      </w:r>
    </w:p>
    <w:p>
      <w:pPr>
        <w:pStyle w:val="113"/>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Style w:val="89"/>
        <w:tblW w:w="86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2849"/>
        <w:gridCol w:w="1687"/>
        <w:gridCol w:w="2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restart"/>
          </w:tcPr>
          <w:p>
            <w:pPr>
              <w:pStyle w:val="104"/>
              <w:rPr>
                <w:rFonts w:cs="Arial"/>
              </w:rPr>
            </w:pPr>
            <w:r>
              <w:t>LO Leakage</w:t>
            </w:r>
          </w:p>
        </w:tc>
        <w:tc>
          <w:tcPr>
            <w:tcW w:w="2849" w:type="dxa"/>
          </w:tcPr>
          <w:p>
            <w:pPr>
              <w:pStyle w:val="104"/>
              <w:rPr>
                <w:rFonts w:cs="Arial"/>
              </w:rPr>
            </w:pPr>
            <w:r>
              <w:rPr>
                <w:rFonts w:cs="Arial"/>
              </w:rPr>
              <w:t>Parameters</w:t>
            </w:r>
          </w:p>
        </w:tc>
        <w:tc>
          <w:tcPr>
            <w:tcW w:w="1687" w:type="dxa"/>
            <w:shd w:val="clear" w:color="auto" w:fill="auto"/>
          </w:tcPr>
          <w:p>
            <w:pPr>
              <w:pStyle w:val="104"/>
              <w:rPr>
                <w:rFonts w:cs="Arial"/>
              </w:rPr>
            </w:pPr>
            <w:r>
              <w:rPr>
                <w:rFonts w:cs="Arial"/>
              </w:rPr>
              <w:t>Relative limit (dBc)</w:t>
            </w:r>
          </w:p>
        </w:tc>
        <w:tc>
          <w:tcPr>
            <w:tcW w:w="2685" w:type="dxa"/>
            <w:shd w:val="clear" w:color="auto" w:fill="auto"/>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 w:hRule="atLeast"/>
          <w:jc w:val="center"/>
        </w:trPr>
        <w:tc>
          <w:tcPr>
            <w:tcW w:w="1417" w:type="dxa"/>
            <w:vMerge w:val="continue"/>
          </w:tcPr>
          <w:p>
            <w:pPr>
              <w:pStyle w:val="105"/>
            </w:pPr>
          </w:p>
        </w:tc>
        <w:tc>
          <w:tcPr>
            <w:tcW w:w="2849" w:type="dxa"/>
            <w:vMerge w:val="restart"/>
          </w:tcPr>
          <w:p>
            <w:pPr>
              <w:pStyle w:val="105"/>
            </w:pPr>
            <w:r>
              <w:t xml:space="preserve">f </w:t>
            </w:r>
            <w:r>
              <w:rPr>
                <w:rFonts w:cs="Arial"/>
              </w:rPr>
              <w:t>≤</w:t>
            </w:r>
            <w:r>
              <w:t xml:space="preserve"> 3.0GHz: 13.2 dBm </w:t>
            </w:r>
            <w:r>
              <w:rPr>
                <w:rFonts w:cs="Arial"/>
              </w:rPr>
              <w:t>±</w:t>
            </w:r>
            <w:r>
              <w:t>3.2dB</w:t>
            </w:r>
          </w:p>
          <w:p>
            <w:pPr>
              <w:pStyle w:val="105"/>
              <w:rPr>
                <w:rFonts w:cs="Arial"/>
              </w:rPr>
            </w:pPr>
            <w:r>
              <w:t xml:space="preserve">3.0GHz &lt; f </w:t>
            </w:r>
            <w:r>
              <w:rPr>
                <w:rFonts w:cs="Arial"/>
              </w:rPr>
              <w:t>≤</w:t>
            </w:r>
            <w:r>
              <w:t xml:space="preserve"> 4.2GHz: 13.5 dBm </w:t>
            </w:r>
            <w:r>
              <w:rPr>
                <w:rFonts w:cs="Arial"/>
              </w:rPr>
              <w:t>±</w:t>
            </w:r>
            <w:r>
              <w:t>3.5dB</w:t>
            </w:r>
          </w:p>
        </w:tc>
        <w:tc>
          <w:tcPr>
            <w:tcW w:w="1687" w:type="dxa"/>
            <w:shd w:val="clear" w:color="auto" w:fill="auto"/>
          </w:tcPr>
          <w:p>
            <w:pPr>
              <w:pStyle w:val="105"/>
              <w:rPr>
                <w:rFonts w:cs="Arial"/>
              </w:rPr>
            </w:pPr>
            <w:r>
              <w:rPr>
                <w:rFonts w:cs="Arial"/>
              </w:rPr>
              <w:t>-27.2</w:t>
            </w:r>
          </w:p>
        </w:tc>
        <w:tc>
          <w:tcPr>
            <w:tcW w:w="2685" w:type="dxa"/>
            <w:shd w:val="clear" w:color="auto" w:fill="auto"/>
          </w:tcPr>
          <w:p>
            <w:pPr>
              <w:pStyle w:val="105"/>
              <w:rPr>
                <w:rFonts w:cs="Arial"/>
              </w:rPr>
            </w:pPr>
            <w:r>
              <w:rPr>
                <w:rFonts w:cs="Arial"/>
              </w:rPr>
              <w:t>Carrier centre frequency &lt;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jc w:val="center"/>
        </w:trPr>
        <w:tc>
          <w:tcPr>
            <w:tcW w:w="1417" w:type="dxa"/>
            <w:vMerge w:val="continue"/>
          </w:tcPr>
          <w:p>
            <w:pPr>
              <w:pStyle w:val="105"/>
              <w:rPr>
                <w:rFonts w:cs="Arial"/>
              </w:rPr>
            </w:pPr>
          </w:p>
        </w:tc>
        <w:tc>
          <w:tcPr>
            <w:tcW w:w="2849" w:type="dxa"/>
            <w:vMerge w:val="continue"/>
          </w:tcPr>
          <w:p>
            <w:pPr>
              <w:pStyle w:val="105"/>
              <w:rPr>
                <w:rFonts w:cs="Arial"/>
              </w:rPr>
            </w:pPr>
          </w:p>
        </w:tc>
        <w:tc>
          <w:tcPr>
            <w:tcW w:w="1687" w:type="dxa"/>
            <w:shd w:val="clear" w:color="auto" w:fill="auto"/>
          </w:tcPr>
          <w:p>
            <w:pPr>
              <w:pStyle w:val="105"/>
              <w:rPr>
                <w:rFonts w:cs="Arial"/>
              </w:rPr>
            </w:pPr>
            <w:r>
              <w:t>-24.2</w:t>
            </w:r>
          </w:p>
        </w:tc>
        <w:tc>
          <w:tcPr>
            <w:tcW w:w="2685" w:type="dxa"/>
            <w:shd w:val="clear" w:color="auto" w:fill="auto"/>
          </w:tcPr>
          <w:p>
            <w:pPr>
              <w:pStyle w:val="105"/>
              <w:rPr>
                <w:rFonts w:cs="Arial"/>
              </w:rPr>
            </w:pPr>
            <w:r>
              <w:rPr>
                <w:rFonts w:cs="Arial"/>
              </w:rPr>
              <w:t>Carrier centre frequency ≥ 1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3.2 dBm </w:t>
            </w:r>
            <w:r>
              <w:rPr>
                <w:rFonts w:cs="Arial"/>
              </w:rPr>
              <w:t>±</w:t>
            </w:r>
            <w:r>
              <w:t>3.2dB</w:t>
            </w:r>
          </w:p>
          <w:p>
            <w:pPr>
              <w:pStyle w:val="105"/>
              <w:rPr>
                <w:rFonts w:cs="Arial"/>
              </w:rPr>
            </w:pPr>
            <w:r>
              <w:t xml:space="preserve">3.0GHz &lt; f </w:t>
            </w:r>
            <w:r>
              <w:rPr>
                <w:rFonts w:cs="Arial"/>
              </w:rPr>
              <w:t>≤</w:t>
            </w:r>
            <w:r>
              <w:t xml:space="preserve"> 4.2GHz: 3.5 dBm </w:t>
            </w:r>
            <w:r>
              <w:rPr>
                <w:rFonts w:cs="Arial"/>
              </w:rPr>
              <w:t>±</w:t>
            </w:r>
            <w:r>
              <w:t>3.5dB</w:t>
            </w:r>
          </w:p>
        </w:tc>
        <w:tc>
          <w:tcPr>
            <w:tcW w:w="1687" w:type="dxa"/>
            <w:shd w:val="clear" w:color="auto" w:fill="auto"/>
          </w:tcPr>
          <w:p>
            <w:pPr>
              <w:pStyle w:val="105"/>
              <w:rPr>
                <w:rFonts w:cs="Arial"/>
              </w:rPr>
            </w:pPr>
            <w:r>
              <w:t>-24.2</w:t>
            </w:r>
          </w:p>
        </w:tc>
        <w:tc>
          <w:tcPr>
            <w:tcW w:w="2685"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-26.8 dBm </w:t>
            </w:r>
            <w:r>
              <w:rPr>
                <w:rFonts w:cs="Arial"/>
              </w:rPr>
              <w:t>±</w:t>
            </w:r>
            <w:r>
              <w:t>3.2dB</w:t>
            </w:r>
          </w:p>
          <w:p>
            <w:pPr>
              <w:pStyle w:val="105"/>
              <w:rPr>
                <w:rFonts w:cs="Arial"/>
              </w:rPr>
            </w:pPr>
            <w:r>
              <w:t xml:space="preserve">3.0GHz &lt; f </w:t>
            </w:r>
            <w:r>
              <w:rPr>
                <w:rFonts w:cs="Arial"/>
              </w:rPr>
              <w:t>≤</w:t>
            </w:r>
            <w:r>
              <w:t xml:space="preserve"> 4.2GHz: -26.5 dBm </w:t>
            </w:r>
            <w:r>
              <w:rPr>
                <w:rFonts w:cs="Arial"/>
              </w:rPr>
              <w:t>±</w:t>
            </w:r>
            <w:r>
              <w:t>3.5dB</w:t>
            </w:r>
          </w:p>
        </w:tc>
        <w:tc>
          <w:tcPr>
            <w:tcW w:w="1687" w:type="dxa"/>
            <w:shd w:val="clear" w:color="auto" w:fill="auto"/>
          </w:tcPr>
          <w:p>
            <w:pPr>
              <w:pStyle w:val="105"/>
              <w:rPr>
                <w:rFonts w:cs="Arial"/>
              </w:rPr>
            </w:pPr>
            <w:r>
              <w:t>-19.2</w:t>
            </w:r>
          </w:p>
        </w:tc>
        <w:tc>
          <w:tcPr>
            <w:tcW w:w="2685" w:type="dxa"/>
            <w:shd w:val="clear" w:color="auto" w:fill="auto"/>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7" w:type="dxa"/>
            <w:vMerge w:val="continue"/>
          </w:tcPr>
          <w:p>
            <w:pPr>
              <w:pStyle w:val="105"/>
            </w:pPr>
          </w:p>
        </w:tc>
        <w:tc>
          <w:tcPr>
            <w:tcW w:w="2849" w:type="dxa"/>
          </w:tcPr>
          <w:p>
            <w:pPr>
              <w:pStyle w:val="105"/>
            </w:pPr>
            <w:r>
              <w:t xml:space="preserve">f </w:t>
            </w:r>
            <w:r>
              <w:rPr>
                <w:rFonts w:cs="Arial"/>
              </w:rPr>
              <w:t>≤</w:t>
            </w:r>
            <w:r>
              <w:t xml:space="preserve"> 3.0GHz: -36.8dBm</w:t>
            </w:r>
            <w:r>
              <w:rPr>
                <w:rFonts w:cs="Arial"/>
              </w:rPr>
              <w:t>±</w:t>
            </w:r>
            <w:r>
              <w:t>3.2dB</w:t>
            </w:r>
          </w:p>
          <w:p>
            <w:pPr>
              <w:pStyle w:val="105"/>
              <w:rPr>
                <w:rFonts w:cs="Arial"/>
              </w:rPr>
            </w:pPr>
            <w:r>
              <w:t xml:space="preserve">3.0GHz &lt; f </w:t>
            </w:r>
            <w:r>
              <w:rPr>
                <w:rFonts w:cs="Arial"/>
              </w:rPr>
              <w:t>≤</w:t>
            </w:r>
            <w:r>
              <w:t xml:space="preserve"> 4.2GHz: -36.5 dBm </w:t>
            </w:r>
            <w:r>
              <w:rPr>
                <w:rFonts w:cs="Arial"/>
              </w:rPr>
              <w:t>±</w:t>
            </w:r>
            <w:r>
              <w:t>3.5dB</w:t>
            </w:r>
          </w:p>
        </w:tc>
        <w:tc>
          <w:tcPr>
            <w:tcW w:w="1687" w:type="dxa"/>
            <w:shd w:val="clear" w:color="auto" w:fill="auto"/>
          </w:tcPr>
          <w:p>
            <w:pPr>
              <w:pStyle w:val="105"/>
              <w:rPr>
                <w:rFonts w:cs="Arial"/>
              </w:rPr>
            </w:pPr>
            <w:r>
              <w:t>-9.2</w:t>
            </w:r>
          </w:p>
        </w:tc>
        <w:tc>
          <w:tcPr>
            <w:tcW w:w="2685" w:type="dxa"/>
            <w:shd w:val="clear" w:color="auto" w:fill="auto"/>
          </w:tcPr>
          <w:p>
            <w:pPr>
              <w:pStyle w:val="105"/>
              <w:rPr>
                <w:rFonts w:cs="Arial"/>
              </w:rPr>
            </w:pPr>
          </w:p>
        </w:tc>
      </w:tr>
    </w:tbl>
    <w:p/>
    <w:p>
      <w:pPr>
        <w:pStyle w:val="6"/>
      </w:pPr>
      <w:bookmarkStart w:id="415" w:name="_Toc21661"/>
      <w:r>
        <w:t>6.4A.2.3</w:t>
      </w:r>
      <w:r>
        <w:tab/>
      </w:r>
      <w:r>
        <w:t>In-band emissions for non allocated RB for category M1</w:t>
      </w:r>
      <w:bookmarkEnd w:id="415"/>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Pr>
        <w:pStyle w:val="9"/>
      </w:pPr>
      <w:r>
        <w:t>6.4A.2.3.1</w:t>
      </w:r>
      <w:r>
        <w:tab/>
      </w:r>
      <w:r>
        <w:t>Test purpose</w:t>
      </w:r>
    </w:p>
    <w:p>
      <w:r>
        <w:t>The in-band emissions are a measure of the interference falling into the non-allocated resources blocks</w:t>
      </w:r>
    </w:p>
    <w:p>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Pr>
          <w:rFonts w:eastAsia="MS Mincho"/>
        </w:rPr>
        <w:t xml:space="preserve"> When the PUSCH or PUCCH transmission slot is shortened due to multiplexing with SRS, the in-band emissions measurement interval is reduced by one </w:t>
      </w:r>
      <w:r>
        <w:t xml:space="preserve">SC-FDMA </w:t>
      </w:r>
      <w:r>
        <w:rPr>
          <w:rFonts w:eastAsia="MS Mincho"/>
        </w:rPr>
        <w:t>symbol, accordingly.</w:t>
      </w:r>
      <w:r>
        <w:t xml:space="preserve"> Likewise, when the PUSCH starting position is modified or when the second last symbol is the ending symbol of the PUSCH sub-frame for Frame Structure Type 3, the in-band emissions measurement interval is reduced accordingly.</w:t>
      </w:r>
    </w:p>
    <w:p/>
    <w:p>
      <w:pPr>
        <w:pStyle w:val="9"/>
      </w:pPr>
      <w:r>
        <w:t>6.4A.2.3.2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6.4A.2.3.3</w:t>
      </w:r>
      <w:r>
        <w:tab/>
      </w:r>
      <w:r>
        <w:t>Minimum conformance requirements</w:t>
      </w:r>
    </w:p>
    <w:p>
      <w:pPr>
        <w:pStyle w:val="113"/>
      </w:pPr>
      <w:r>
        <w:t>Table 6.4A.2.3.3-1: Minimum requirements for in-band emissions for UE supporting Rel-15 and higher</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05"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293"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682"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rFonts w:cs="Arial"/>
              </w:rPr>
            </w:pPr>
            <w:r>
              <w:rPr>
                <w:rFonts w:cs="Arial"/>
              </w:rPr>
              <w:t>General</w:t>
            </w:r>
          </w:p>
        </w:tc>
        <w:tc>
          <w:tcPr>
            <w:tcW w:w="1293" w:type="dxa"/>
            <w:tcBorders>
              <w:top w:val="single" w:color="auto" w:sz="4" w:space="0"/>
              <w:left w:val="single" w:color="auto" w:sz="4" w:space="0"/>
              <w:bottom w:val="nil"/>
              <w:right w:val="single" w:color="auto" w:sz="4" w:space="0"/>
            </w:tcBorders>
            <w:vAlign w:val="bottom"/>
          </w:tcPr>
          <w:p>
            <w:pPr>
              <w:pStyle w:val="105"/>
              <w:rPr>
                <w:rFonts w:cs="Arial"/>
              </w:rPr>
            </w:pPr>
            <w:r>
              <w:rPr>
                <w:rFonts w:cs="Arial"/>
              </w:rPr>
              <w:t>dB</w:t>
            </w:r>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m:oMathPara>
              <m:oMath>
                <m:r>
                  <m:rPr/>
                  <w:rPr>
                    <w:rFonts w:ascii="Cambria Math" w:hAnsi="Cambria Math" w:cs="Arial"/>
                    <w:lang w:eastAsia="ja-JP"/>
                  </w:rPr>
                  <m:t>−18−</m:t>
                </m:r>
                <m:d>
                  <m:dPr>
                    <m:begChr m:val="["/>
                    <m:endChr m:val="]"/>
                    <m:ctrlPr>
                      <w:rPr>
                        <w:rFonts w:ascii="Cambria Math" w:hAnsi="Cambria Math" w:cs="Arial"/>
                        <w:i/>
                        <w:lang w:eastAsia="ja-JP"/>
                      </w:rPr>
                    </m:ctrlPr>
                  </m:dPr>
                  <m:e>
                    <m:r>
                      <m:rPr/>
                      <w:rPr>
                        <w:rFonts w:ascii="Cambria Math" w:hAnsi="Cambria Math" w:cs="Arial"/>
                        <w:lang w:eastAsia="ja-JP"/>
                      </w:rPr>
                      <m:t>5</m:t>
                    </m:r>
                    <m:ctrlPr>
                      <w:rPr>
                        <w:rFonts w:ascii="Cambria Math" w:hAnsi="Cambria Math" w:cs="Arial"/>
                        <w:i/>
                        <w:lang w:eastAsia="ja-JP"/>
                      </w:rPr>
                    </m:ctrlPr>
                  </m:e>
                </m:d>
                <m:r>
                  <m:rP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ctrlPr>
                      <w:rPr>
                        <w:rFonts w:ascii="Cambria Math" w:hAnsi="Cambria Math" w:cs="Arial"/>
                        <w:i/>
                        <w:lang w:eastAsia="ja-JP"/>
                      </w:rPr>
                    </m:ctrlPr>
                  </m:e>
                </m:d>
                <m:r>
                  <m:rPr/>
                  <w:rPr>
                    <w:rFonts w:ascii="Cambria Math" w:hAnsi="Cambria Math" w:cs="Arial"/>
                    <w:lang w:eastAsia="ja-JP"/>
                  </w:rPr>
                  <m:t>−1)/</m:t>
                </m:r>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m:oMathPara>
          </w:p>
        </w:tc>
        <w:tc>
          <w:tcPr>
            <w:tcW w:w="1682" w:type="dxa"/>
            <w:tcBorders>
              <w:top w:val="single" w:color="auto" w:sz="4" w:space="0"/>
              <w:left w:val="single" w:color="auto" w:sz="4" w:space="0"/>
              <w:bottom w:val="single" w:color="auto" w:sz="4" w:space="0"/>
              <w:right w:val="single" w:color="auto" w:sz="4" w:space="0"/>
            </w:tcBorders>
            <w:vAlign w:val="center"/>
          </w:tcPr>
          <w:p>
            <w:pPr>
              <w:pStyle w:val="105"/>
            </w:pPr>
            <w:r>
              <w:t>Any non-allocated Subcarrier Group within the subPRB allocation</w:t>
            </w:r>
          </w:p>
          <w:p>
            <w:pPr>
              <w:pStyle w:val="105"/>
              <w:rPr>
                <w:rFonts w:cs="Arial"/>
              </w:rPr>
            </w:pPr>
            <w:r>
              <w:t>(NOTE 11,12,13)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nil"/>
              <w:left w:val="single" w:color="auto" w:sz="4" w:space="0"/>
              <w:bottom w:val="single" w:color="auto" w:sz="4" w:space="0"/>
              <w:right w:val="single" w:color="auto" w:sz="4" w:space="0"/>
            </w:tcBorders>
            <w:shd w:val="clear" w:color="auto" w:fill="auto"/>
          </w:tcPr>
          <w:p>
            <w:pPr>
              <w:pStyle w:val="104"/>
              <w:jc w:val="left"/>
              <w:rPr>
                <w:rFonts w:cs="Arial"/>
              </w:rPr>
            </w:pPr>
          </w:p>
        </w:tc>
        <w:tc>
          <w:tcPr>
            <w:tcW w:w="1293" w:type="dxa"/>
            <w:tcBorders>
              <w:top w:val="nil"/>
              <w:left w:val="single" w:color="auto" w:sz="4" w:space="0"/>
              <w:bottom w:val="single" w:color="auto" w:sz="4" w:space="0"/>
              <w:right w:val="single" w:color="auto" w:sz="4" w:space="0"/>
            </w:tcBorders>
          </w:tcPr>
          <w:p>
            <w:pPr>
              <w:pStyle w:val="105"/>
              <w:rPr>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36" o:spt="75" type="#_x0000_t75" style="height:46.9pt;width:178.35pt;" o:ole="t" filled="f" o:preferrelative="t" stroked="f" coordsize="21600,21600">
                  <v:path/>
                  <v:fill on="f" focussize="0,0"/>
                  <v:stroke on="f" joinstyle="miter"/>
                  <v:imagedata r:id="rId40" o:title=""/>
                  <o:lock v:ext="edit" aspectratio="t"/>
                  <w10:wrap type="none"/>
                  <w10:anchorlock/>
                </v:shape>
                <o:OLEObject Type="Embed" ProgID="Equation.3" ShapeID="_x0000_i1036" DrawAspect="Content" ObjectID="_1468075736" r:id="rId39">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&gt; 10 dBm</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 10 dBm</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 1 GHz</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&lt; 1 GHz</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 1 GHz</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0 dBm ≤ Output power ≤10 dBm</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-30 dBm ≤ Output power ≤ 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RB and the limit is expressed as a ratio of measured power in one non-allocated RB to the measured average power per allocated RB, where the averaging is done across all allocated RBs.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pPr>
              <w:pStyle w:val="118"/>
              <w:rPr>
                <w:rFonts w:cs="Arial"/>
              </w:rPr>
            </w:pPr>
            <w:r>
              <w:rPr>
                <w:rFonts w:cs="Arial"/>
              </w:rPr>
              <w:t>NOTE 4:</w:t>
            </w:r>
            <w:r>
              <w:rPr>
                <w:rFonts w:cs="Arial"/>
              </w:rPr>
              <w:tab/>
            </w:r>
            <w:r>
              <w:rPr>
                <w:rFonts w:cs="Arial"/>
              </w:rPr>
              <w:t>The measurement bandwidth is 1 RB and the limit is expressed as a ratio of measured power in one non-allocated RB to the measured total power in all allocated RBs.</w:t>
            </w:r>
          </w:p>
          <w:p>
            <w:pPr>
              <w:pStyle w:val="118"/>
              <w:rPr>
                <w:rFonts w:cs="Arial"/>
              </w:rPr>
            </w:pPr>
            <w:r>
              <w:rPr>
                <w:rFonts w:cs="Arial"/>
              </w:rPr>
              <w:t>NOTE 5:</w:t>
            </w:r>
            <w:r>
              <w:rPr>
                <w:rFonts w:cs="Arial"/>
              </w:rPr>
              <w:tab/>
            </w:r>
            <w:r>
              <w:rPr>
                <w:rFonts w:cs="Arial"/>
              </w:rPr>
              <w:t xml:space="preserve">The applicable frequencies for this limit are those that are enclosed in the RBs containing the DC frequency if </w:t>
            </w:r>
            <w:r>
              <w:rPr>
                <w:rFonts w:cs="Arial"/>
                <w:position w:val="-10"/>
              </w:rPr>
              <w:object>
                <v:shape id="_x0000_i1037" o:spt="75" type="#_x0000_t75" style="height:16.9pt;width:21.8pt;" o:ole="t" filled="f" o:preferrelative="t" stroked="f" coordsize="21600,21600">
                  <v:path/>
                  <v:fill on="f" focussize="0,0"/>
                  <v:stroke on="f" joinstyle="miter"/>
                  <v:imagedata r:id="rId42" o:title=""/>
                  <o:lock v:ext="edit" aspectratio="t"/>
                  <w10:wrap type="none"/>
                  <w10:anchorlock/>
                </v:shape>
                <o:OLEObject Type="Embed" ProgID="Equation.3" ShapeID="_x0000_i1037" DrawAspect="Content" ObjectID="_1468075737" r:id="rId41">
                  <o:LockedField>false</o:LockedField>
                </o:OLEObject>
              </w:object>
            </w:r>
            <w:r>
              <w:rPr>
                <w:rFonts w:cs="Arial"/>
              </w:rPr>
              <w:t xml:space="preserve"> is odd, or in the two RBs immediately adjacent to the DC frequency if </w:t>
            </w:r>
            <w:r>
              <w:rPr>
                <w:rFonts w:cs="Arial"/>
                <w:position w:val="-10"/>
              </w:rPr>
              <w:object>
                <v:shape id="_x0000_i1038" o:spt="75" type="#_x0000_t75" style="height:16.9pt;width:21.8pt;" o:ole="t" filled="f" o:preferrelative="t" stroked="f" coordsize="21600,21600">
                  <v:path/>
                  <v:fill on="f" focussize="0,0"/>
                  <v:stroke on="f" joinstyle="miter"/>
                  <v:imagedata r:id="rId44" o:title=""/>
                  <o:lock v:ext="edit" aspectratio="t"/>
                  <w10:wrap type="none"/>
                  <w10:anchorlock/>
                </v:shape>
                <o:OLEObject Type="Embed" ProgID="Equation.3" ShapeID="_x0000_i1038" DrawAspect="Content" ObjectID="_1468075738" r:id="rId43">
                  <o:LockedField>false</o:LockedField>
                </o:OLEObject>
              </w:object>
            </w:r>
            <w:r>
              <w:rPr>
                <w:rFonts w:cs="Arial"/>
              </w:rPr>
              <w:t xml:space="preserve"> is even, but excluding any allocated RB. For UE of UL Category M1, the applicable frequencies shall alternatively be the centre frequency of the supported 6RBs additionally.</w:t>
            </w:r>
          </w:p>
          <w:p>
            <w:pPr>
              <w:pStyle w:val="118"/>
              <w:rPr>
                <w:rFonts w:cs="Arial"/>
              </w:rPr>
            </w:pPr>
            <w:r>
              <w:rPr>
                <w:rFonts w:cs="Arial"/>
              </w:rPr>
              <w:t>NOTE 6:</w:t>
            </w:r>
            <w:r>
              <w:rPr>
                <w:rFonts w:cs="Arial"/>
              </w:rPr>
              <w:tab/>
            </w:r>
            <w:r>
              <w:rPr>
                <w:rFonts w:cs="Arial"/>
                <w:position w:val="-12"/>
              </w:rPr>
              <w:object>
                <v:shape id="_x0000_i1039" o:spt="75" type="#_x0000_t75" style="height:19.1pt;width:24.55pt;" o:ole="t" filled="f" o:preferrelative="t" stroked="f" coordsize="21600,21600">
                  <v:path/>
                  <v:fill on="f" focussize="0,0"/>
                  <v:stroke on="f" joinstyle="miter"/>
                  <v:imagedata r:id="rId46" o:title=""/>
                  <o:lock v:ext="edit" aspectratio="t"/>
                  <w10:wrap type="none"/>
                  <w10:anchorlock/>
                </v:shape>
                <o:OLEObject Type="Embed" ProgID="Equation.3" ShapeID="_x0000_i1039" DrawAspect="Content" ObjectID="_1468075739" r:id="rId45">
                  <o:LockedField>false</o:LockedField>
                </o:OLEObject>
              </w:object>
            </w:r>
            <w:r>
              <w:rPr>
                <w:rFonts w:cs="Arial"/>
              </w:rPr>
              <w:t xml:space="preserve"> is the Transmission Bandwidth (see Figure 5.6-1).</w:t>
            </w:r>
          </w:p>
          <w:p>
            <w:pPr>
              <w:pStyle w:val="118"/>
              <w:rPr>
                <w:rFonts w:cs="Arial"/>
              </w:rPr>
            </w:pPr>
            <w:r>
              <w:rPr>
                <w:rFonts w:cs="Arial"/>
              </w:rPr>
              <w:t>NOTE 7:</w:t>
            </w:r>
            <w:r>
              <w:rPr>
                <w:rFonts w:cs="Arial"/>
              </w:rPr>
              <w:tab/>
            </w:r>
            <w:r>
              <w:rPr>
                <w:rFonts w:cs="Arial"/>
                <w:position w:val="-10"/>
              </w:rPr>
              <w:object>
                <v:shape id="_x0000_i1040" o:spt="75" type="#_x0000_t75" style="height:16.9pt;width:21.8pt;" o:ole="t" filled="f" o:preferrelative="t" stroked="f" coordsize="21600,21600">
                  <v:path/>
                  <v:fill on="f" focussize="0,0"/>
                  <v:stroke on="f" joinstyle="miter"/>
                  <v:imagedata r:id="rId48" o:title=""/>
                  <o:lock v:ext="edit" aspectratio="t"/>
                  <w10:wrap type="none"/>
                  <w10:anchorlock/>
                </v:shape>
                <o:OLEObject Type="Embed" ProgID="Equation.3" ShapeID="_x0000_i1040" DrawAspect="Content" ObjectID="_1468075740" r:id="rId47">
                  <o:LockedField>false</o:LockedField>
                </o:OLEObject>
              </w:object>
            </w:r>
            <w:r>
              <w:rPr>
                <w:rFonts w:cs="Arial"/>
              </w:rPr>
              <w:t xml:space="preserve"> is the Transmission Bandwidth Configuration (see Figure 5.6-1).</w:t>
            </w:r>
          </w:p>
          <w:p>
            <w:pPr>
              <w:pStyle w:val="118"/>
              <w:rPr>
                <w:rFonts w:cs="Arial"/>
              </w:rPr>
            </w:pPr>
            <w:r>
              <w:rPr>
                <w:rFonts w:cs="Arial"/>
              </w:rPr>
              <w:t>NOTE 8:</w:t>
            </w:r>
            <w:r>
              <w:rPr>
                <w:rFonts w:cs="Arial"/>
              </w:rPr>
              <w:tab/>
            </w:r>
            <w:r>
              <w:rPr>
                <w:rFonts w:cs="Arial"/>
                <w:position w:val="-6"/>
              </w:rPr>
              <w:object>
                <v:shape id="_x0000_i1041" o:spt="75" type="#_x0000_t75" style="height:14.2pt;width:31.65pt;" o:ole="t" filled="f" o:preferrelative="t" stroked="f" coordsize="21600,21600">
                  <v:path/>
                  <v:fill on="f" focussize="0,0"/>
                  <v:stroke on="f" joinstyle="miter"/>
                  <v:imagedata r:id="rId50" o:title=""/>
                  <o:lock v:ext="edit" aspectratio="t"/>
                  <w10:wrap type="none"/>
                  <w10:anchorlock/>
                </v:shape>
                <o:OLEObject Type="Embed" ProgID="Equation.3" ShapeID="_x0000_i1041" DrawAspect="Content" ObjectID="_1468075741" r:id="rId49">
                  <o:LockedField>false</o:LockedField>
                </o:OLEObject>
              </w:object>
            </w:r>
            <w:r>
              <w:rPr>
                <w:rFonts w:cs="Arial"/>
              </w:rPr>
              <w:t xml:space="preserve"> is the limit specified in Table 6.5.2.1.1-1 for the modulation format used in the allocated RBs.</w:t>
            </w:r>
          </w:p>
          <w:p>
            <w:pPr>
              <w:pStyle w:val="118"/>
              <w:rPr>
                <w:rFonts w:cs="Arial"/>
              </w:rPr>
            </w:pPr>
            <w:r>
              <w:rPr>
                <w:rFonts w:cs="Arial"/>
              </w:rPr>
              <w:t>NOTE 9:</w:t>
            </w:r>
            <w:r>
              <w:rPr>
                <w:rFonts w:cs="Arial"/>
              </w:rPr>
              <w:tab/>
            </w:r>
            <w:r>
              <w:rPr>
                <w:rFonts w:cs="Arial"/>
                <w:position w:val="-10"/>
              </w:rPr>
              <w:object>
                <v:shape id="_x0000_i1042" o:spt="75" type="#_x0000_t75" style="height:15.25pt;width:20.75pt;" o:ole="t" filled="f" o:preferrelative="t" stroked="f" coordsize="21600,21600">
                  <v:path/>
                  <v:fill on="f" focussize="0,0"/>
                  <v:stroke on="f" joinstyle="miter"/>
                  <v:imagedata r:id="rId52" o:title=""/>
                  <o:lock v:ext="edit" aspectratio="t"/>
                  <w10:wrap type="none"/>
                  <w10:anchorlock/>
                </v:shape>
                <o:OLEObject Type="Embed" ProgID="Equation.3" ShapeID="_x0000_i1042" DrawAspect="Content" ObjectID="_1468075742" r:id="rId51">
                  <o:LockedField>false</o:LockedField>
                </o:OLEObject>
              </w:object>
            </w:r>
            <w:r>
              <w:rPr>
                <w:rFonts w:cs="Arial"/>
              </w:rPr>
              <w:t xml:space="preserve"> is the starting frequency offset between the allocated RB and the measured non-allocated RB (e.g. </w:t>
            </w:r>
            <w:r>
              <w:rPr>
                <w:rFonts w:cs="Arial"/>
                <w:position w:val="-10"/>
              </w:rPr>
              <w:object>
                <v:shape id="_x0000_i1043" o:spt="75" type="#_x0000_t75" style="height:16.9pt;width:37.65pt;" o:ole="t" filled="f" o:preferrelative="t" stroked="f" coordsize="21600,21600">
                  <v:path/>
                  <v:fill on="f" focussize="0,0"/>
                  <v:stroke on="f" joinstyle="miter"/>
                  <v:imagedata r:id="rId54" o:title=""/>
                  <o:lock v:ext="edit" aspectratio="t"/>
                  <w10:wrap type="none"/>
                  <w10:anchorlock/>
                </v:shape>
                <o:OLEObject Type="Embed" ProgID="Equation.3" ShapeID="_x0000_i1043" DrawAspect="Content" ObjectID="_1468075743" r:id="rId53">
                  <o:LockedField>false</o:LockedField>
                </o:OLEObject>
              </w:object>
            </w:r>
            <w:r>
              <w:rPr>
                <w:rFonts w:cs="Arial"/>
              </w:rPr>
              <w:t xml:space="preserve"> or </w:t>
            </w:r>
            <w:r>
              <w:rPr>
                <w:rFonts w:cs="Arial"/>
                <w:position w:val="-10"/>
              </w:rPr>
              <w:object>
                <v:shape id="_x0000_i1044" o:spt="75" type="#_x0000_t75" style="height:16.9pt;width:46.9pt;" o:ole="t" filled="f" o:preferrelative="t" stroked="f" coordsize="21600,21600">
                  <v:path/>
                  <v:fill on="f" focussize="0,0"/>
                  <v:stroke on="f" joinstyle="miter"/>
                  <v:imagedata r:id="rId56" o:title=""/>
                  <o:lock v:ext="edit" aspectratio="t"/>
                  <w10:wrap type="none"/>
                  <w10:anchorlock/>
                </v:shape>
                <o:OLEObject Type="Embed" ProgID="Equation.3" ShapeID="_x0000_i1044" DrawAspect="Content" ObjectID="_1468075744" r:id="rId55">
                  <o:LockedField>false</o:LockedField>
                </o:OLEObject>
              </w:object>
            </w:r>
            <w:r>
              <w:rPr>
                <w:rFonts w:cs="Arial"/>
              </w:rPr>
              <w:t xml:space="preserve"> for the first adjacent RB outside of the allocated bandwidth.</w:t>
            </w:r>
          </w:p>
          <w:p>
            <w:pPr>
              <w:pStyle w:val="118"/>
              <w:rPr>
                <w:rFonts w:cs="Arial"/>
              </w:rPr>
            </w:pPr>
            <w:r>
              <w:rPr>
                <w:rFonts w:cs="Arial"/>
              </w:rPr>
              <w:t>NOTE 10:</w:t>
            </w:r>
            <w:r>
              <w:rPr>
                <w:rFonts w:cs="Arial"/>
              </w:rPr>
              <w:tab/>
            </w:r>
            <w:r>
              <w:rPr>
                <w:rFonts w:cs="Arial"/>
                <w:position w:val="-10"/>
              </w:rPr>
              <w:object>
                <v:shape id="_x0000_i1045" o:spt="75" type="#_x0000_t75" style="height:16.9pt;width:19.65pt;" o:ole="t" filled="f" o:preferrelative="t" stroked="f" coordsize="21600,21600">
                  <v:path/>
                  <v:fill on="f" focussize="0,0"/>
                  <v:stroke on="f" joinstyle="miter"/>
                  <v:imagedata r:id="rId58" o:title=""/>
                  <o:lock v:ext="edit" aspectratio="t"/>
                  <w10:wrap type="none"/>
                  <w10:anchorlock/>
                </v:shape>
                <o:OLEObject Type="Embed" ProgID="Equation.3" ShapeID="_x0000_i1045" DrawAspect="Content" ObjectID="_1468075745" r:id="rId57">
                  <o:LockedField>false</o:LockedField>
                </o:OLEObject>
              </w:object>
            </w:r>
            <w:r>
              <w:rPr>
                <w:rFonts w:cs="Arial"/>
              </w:rPr>
              <w:t xml:space="preserve"> is the transmitted power per 180 kHz in allocated RBs, measured in dBm.</w:t>
            </w:r>
          </w:p>
          <w:p>
            <w:pPr>
              <w:keepNext/>
              <w:keepLines/>
              <w:spacing w:after="0"/>
              <w:ind w:left="851" w:hanging="851"/>
              <w:rPr>
                <w:rFonts w:ascii="Arial" w:hAnsi="Arial" w:cs="Arial"/>
                <w:sz w:val="18"/>
              </w:rPr>
            </w:pPr>
            <w:r>
              <w:rPr>
                <w:rFonts w:ascii="Arial" w:hAnsi="Arial" w:cs="Arial"/>
                <w:sz w:val="18"/>
              </w:rPr>
              <w:t>NOTE 11:</w:t>
            </w:r>
            <w:r>
              <w:rPr>
                <w:rFonts w:cs="Arial"/>
              </w:rPr>
              <w:tab/>
            </w:r>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pPr>
              <w:keepNext/>
              <w:keepLines/>
              <w:spacing w:after="0"/>
              <w:ind w:left="851" w:hanging="851"/>
              <w:rPr>
                <w:rFonts w:ascii="Arial" w:hAnsi="Arial" w:cs="Arial"/>
                <w:sz w:val="18"/>
              </w:rPr>
            </w:pPr>
            <w:r>
              <w:rPr>
                <w:rFonts w:ascii="Arial" w:hAnsi="Arial" w:cs="Arial"/>
                <w:sz w:val="18"/>
              </w:rPr>
              <w:t>NOTE 12:</w:t>
            </w:r>
            <w:r>
              <w:rPr>
                <w:rFonts w:ascii="Arial" w:hAnsi="Arial" w:cs="Arial"/>
                <w:sz w:val="18"/>
              </w:rPr>
              <w:tab/>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r>
                <m:rPr/>
                <w:rPr>
                  <w:rFonts w:ascii="Cambria Math" w:hAnsi="Cambria Math" w:cs="Arial"/>
                  <w:lang w:eastAsia="ja-JP"/>
                </w:rPr>
                <m:t xml:space="preserve">=1 or </m:t>
              </m:r>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=-1 for the first adjacent subcarrier group outside the allocated subcarrier group.)</w:t>
            </w:r>
          </w:p>
          <w:p>
            <w:pPr>
              <w:pStyle w:val="118"/>
              <w:rPr>
                <w:rFonts w:cs="Arial"/>
              </w:rPr>
            </w:pPr>
            <w:r>
              <w:rPr>
                <w:rFonts w:cs="Arial"/>
              </w:rPr>
              <w:t>NOTE 13:</w:t>
            </w:r>
            <w:r>
              <w:rPr>
                <w:rFonts w:cs="Arial"/>
              </w:rPr>
              <w:tab/>
            </w:r>
            <m:oMath>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w:r>
              <w:rPr>
                <w:rFonts w:cs="Arial"/>
              </w:rPr>
              <w:t xml:space="preserve"> is the Transmission bandwidth (number of subcarrier group).</w:t>
            </w:r>
          </w:p>
        </w:tc>
      </w:tr>
    </w:tbl>
    <w:p/>
    <w:p>
      <w:r>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pPr>
        <w:rPr>
          <w:rFonts w:cs="v5.0.0"/>
        </w:rPr>
      </w:pPr>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6.4A.2.</w:t>
      </w:r>
    </w:p>
    <w:p>
      <w:pPr>
        <w:pStyle w:val="9"/>
      </w:pPr>
      <w:r>
        <w:t>6.4A.2.3.4</w:t>
      </w:r>
      <w:r>
        <w:tab/>
      </w:r>
      <w:r>
        <w:t>Test description</w:t>
      </w:r>
    </w:p>
    <w:p>
      <w:pPr>
        <w:pStyle w:val="9"/>
      </w:pPr>
      <w:r>
        <w:t>6.4A.2.3.4.1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6.4A.2.3.4.1-1 and 6.4A.2.3.4.1-2. The details of the uplink reference measurement channels (RMCs) are specified in Annex A.2. </w:t>
      </w:r>
      <w:r>
        <w:rPr>
          <w:rFonts w:cs="v5.0.0"/>
        </w:rPr>
        <w:t>Configurations of PDSCH and PDCCH before measurement are specified in</w:t>
      </w:r>
      <w:r>
        <w:t xml:space="preserve"> </w:t>
      </w:r>
      <w:r>
        <w:rPr>
          <w:rFonts w:cs="v5.0.0"/>
        </w:rPr>
        <w:t>Annex C.2.</w:t>
      </w:r>
    </w:p>
    <w:p>
      <w:pPr>
        <w:pStyle w:val="113"/>
      </w:pPr>
      <w:r>
        <w:t>Table 6.4A.2.3.4.1-1: Test Configuration Table for PUSCH</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t>Test Environment</w:t>
            </w:r>
          </w:p>
          <w:p>
            <w:pPr>
              <w:pStyle w:val="103"/>
              <w:jc w:val="center"/>
            </w:pPr>
            <w:r>
              <w:t>(as specified in TS 36.508 [12] subclause 4.1)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bCs/>
              </w:rPr>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rPr>
                <w:bCs/>
              </w:rPr>
              <w:t>Test Frequencies</w:t>
            </w:r>
          </w:p>
          <w:p>
            <w:pPr>
              <w:pStyle w:val="103"/>
              <w:jc w:val="center"/>
            </w:pPr>
            <w:r>
              <w:t>(as specified in TS36.508 [12] subclause 4.3.1)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jc w:val="center"/>
              <w:rPr>
                <w:bCs/>
              </w:rPr>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jc w:val="center"/>
            </w:pPr>
            <w:r>
              <w:rPr>
                <w:bCs/>
              </w:rPr>
              <w:t>Test Channel Bandwidths</w:t>
            </w:r>
          </w:p>
          <w:p>
            <w:pPr>
              <w:pStyle w:val="103"/>
              <w:jc w:val="center"/>
            </w:pPr>
            <w:r>
              <w:t>(as specified in TS 36.508 [12] subclause 4.3.1)</w:t>
            </w:r>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jc w:val="center"/>
              <w:rPr>
                <w:bCs/>
              </w:rPr>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3"/>
            </w:pPr>
          </w:p>
        </w:tc>
        <w:tc>
          <w:tcPr>
            <w:tcW w:w="2931" w:type="dxa"/>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30"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vMerge w:val="restart"/>
            <w:tcBorders>
              <w:top w:val="single" w:color="auto" w:sz="4" w:space="0"/>
              <w:left w:val="single" w:color="auto" w:sz="4" w:space="0"/>
              <w:right w:val="single" w:color="auto" w:sz="4" w:space="0"/>
            </w:tcBorders>
          </w:tcPr>
          <w:p>
            <w:pPr>
              <w:pStyle w:val="105"/>
            </w:pPr>
            <w:r>
              <w:rPr>
                <w:rFonts w:cs="v5.0.0"/>
              </w:rPr>
              <w:t>N/A for in-band emissions testing</w:t>
            </w:r>
          </w:p>
        </w:tc>
        <w:tc>
          <w:tcPr>
            <w:tcW w:w="1731" w:type="dxa"/>
            <w:tcBorders>
              <w:top w:val="single" w:color="auto" w:sz="4" w:space="0"/>
              <w:left w:val="single" w:color="auto" w:sz="4" w:space="0"/>
              <w:bottom w:val="single" w:color="auto" w:sz="4" w:space="0"/>
              <w:right w:val="single" w:color="auto" w:sz="4" w:space="0"/>
            </w:tcBorders>
          </w:tcPr>
          <w:p>
            <w:pPr>
              <w:pStyle w:val="105"/>
            </w:pPr>
            <w:r>
              <w:t>Mod'n</w:t>
            </w:r>
          </w:p>
        </w:tc>
        <w:tc>
          <w:tcPr>
            <w:tcW w:w="3499"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931" w:type="dxa"/>
            <w:vMerge w:val="continue"/>
            <w:tcBorders>
              <w:left w:val="single" w:color="auto" w:sz="4" w:space="0"/>
              <w:right w:val="single" w:color="auto" w:sz="4" w:space="0"/>
            </w:tcBorders>
            <w:vAlign w:val="center"/>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p>
        </w:tc>
        <w:tc>
          <w:tcPr>
            <w:tcW w:w="3499"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vMerge w:val="continue"/>
            <w:tcBorders>
              <w:left w:val="single" w:color="auto" w:sz="4" w:space="0"/>
              <w:right w:val="single" w:color="auto" w:sz="4" w:space="0"/>
            </w:tcBorders>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r>
              <w:t>QPSK</w:t>
            </w:r>
          </w:p>
        </w:tc>
        <w:tc>
          <w:tcPr>
            <w:tcW w:w="3499" w:type="dxa"/>
            <w:tcBorders>
              <w:top w:val="single" w:color="auto" w:sz="4" w:space="0"/>
              <w:left w:val="single" w:color="auto" w:sz="4" w:space="0"/>
              <w:bottom w:val="single" w:color="auto" w:sz="4" w:space="0"/>
              <w:right w:val="single" w:color="auto" w:sz="4" w:space="0"/>
            </w:tcBorders>
          </w:tcPr>
          <w:p>
            <w:pPr>
              <w:pStyle w:val="105"/>
            </w:pPr>
            <w:r>
              <w:t>1</w:t>
            </w:r>
          </w:p>
        </w:tc>
      </w:tr>
    </w:tbl>
    <w:p/>
    <w:p>
      <w:pPr>
        <w:pStyle w:val="113"/>
      </w:pPr>
      <w:r>
        <w:t>Table 6.4A.2.3.4.1-2: Test Configuration Table for PUCCH</w:t>
      </w:r>
    </w:p>
    <w:tbl>
      <w:tblPr>
        <w:tblStyle w:val="89"/>
        <w:tblW w:w="82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1165"/>
        <w:gridCol w:w="2330"/>
        <w:gridCol w:w="2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rFonts w:cs="v5.0.0"/>
              </w:rPr>
            </w:pPr>
          </w:p>
        </w:tc>
        <w:tc>
          <w:tcPr>
            <w:tcW w:w="4740" w:type="dxa"/>
            <w:gridSpan w:val="2"/>
          </w:tcPr>
          <w:p>
            <w:pPr>
              <w:pStyle w:val="104"/>
            </w:pPr>
            <w:r>
              <w:rPr>
                <w:rFonts w:cs="v5.0.0"/>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5"/>
            </w:pPr>
            <w:r>
              <w:rPr>
                <w:rFonts w:cs="v5.0.0"/>
              </w:rPr>
              <w:t>Test Environment as specified in</w:t>
            </w:r>
          </w:p>
          <w:p>
            <w:pPr>
              <w:pStyle w:val="105"/>
            </w:pPr>
            <w:r>
              <w:t>TS 36.508[12] subclause 4.1</w:t>
            </w:r>
          </w:p>
        </w:tc>
        <w:tc>
          <w:tcPr>
            <w:tcW w:w="4740" w:type="dxa"/>
            <w:gridSpan w:val="2"/>
          </w:tcPr>
          <w:p>
            <w:pPr>
              <w:pStyle w:val="104"/>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b w:val="0"/>
              </w:rPr>
            </w:pPr>
            <w:r>
              <w:rPr>
                <w:rFonts w:cs="v5.0.0"/>
                <w:b w:val="0"/>
              </w:rPr>
              <w:t>Test Frequencies as specified in</w:t>
            </w:r>
          </w:p>
          <w:p>
            <w:pPr>
              <w:pStyle w:val="104"/>
              <w:rPr>
                <w:b w:val="0"/>
              </w:rPr>
            </w:pPr>
            <w:r>
              <w:rPr>
                <w:b w:val="0"/>
              </w:rPr>
              <w:t>TS36.508 [12] subclause 4.3.1</w:t>
            </w:r>
          </w:p>
        </w:tc>
        <w:tc>
          <w:tcPr>
            <w:tcW w:w="4740" w:type="dxa"/>
            <w:gridSpan w:val="2"/>
          </w:tcPr>
          <w:p>
            <w:pPr>
              <w:pStyle w:val="104"/>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5" w:type="dxa"/>
            <w:gridSpan w:val="3"/>
          </w:tcPr>
          <w:p>
            <w:pPr>
              <w:pStyle w:val="104"/>
              <w:rPr>
                <w:b w:val="0"/>
              </w:rPr>
            </w:pPr>
            <w:r>
              <w:rPr>
                <w:rFonts w:cs="v5.0.0"/>
                <w:b w:val="0"/>
              </w:rPr>
              <w:t>Test Channel Bandwidths as specified in</w:t>
            </w:r>
          </w:p>
          <w:p>
            <w:pPr>
              <w:pStyle w:val="104"/>
              <w:rPr>
                <w:b w:val="0"/>
              </w:rPr>
            </w:pPr>
            <w:r>
              <w:rPr>
                <w:b w:val="0"/>
              </w:rPr>
              <w:t>TS 36.508 [12] subclause 4.3.1</w:t>
            </w:r>
          </w:p>
        </w:tc>
        <w:tc>
          <w:tcPr>
            <w:tcW w:w="4740" w:type="dxa"/>
            <w:gridSpan w:val="2"/>
          </w:tcPr>
          <w:p>
            <w:pPr>
              <w:pStyle w:val="104"/>
            </w:pPr>
            <w:r>
              <w:rPr>
                <w:b w:val="0"/>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35" w:type="dxa"/>
            <w:gridSpan w:val="5"/>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4660" w:type="dxa"/>
            <w:gridSpan w:val="3"/>
          </w:tcPr>
          <w:p>
            <w:pPr>
              <w:pStyle w:val="104"/>
            </w:pPr>
            <w:r>
              <w:t>Downlink Configuration</w:t>
            </w:r>
          </w:p>
        </w:tc>
        <w:tc>
          <w:tcPr>
            <w:tcW w:w="2410" w:type="dxa"/>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rPr>
                <w:rFonts w:cs="v5.0.0"/>
              </w:rPr>
              <w:t>Ch BW</w:t>
            </w:r>
          </w:p>
        </w:tc>
        <w:tc>
          <w:tcPr>
            <w:tcW w:w="1165" w:type="dxa"/>
          </w:tcPr>
          <w:p>
            <w:pPr>
              <w:pStyle w:val="105"/>
            </w:pPr>
            <w:r>
              <w:rPr>
                <w:rFonts w:cs="v5.0.0"/>
              </w:rPr>
              <w:t>Mod'n</w:t>
            </w:r>
          </w:p>
        </w:tc>
        <w:tc>
          <w:tcPr>
            <w:tcW w:w="3495" w:type="dxa"/>
            <w:gridSpan w:val="2"/>
          </w:tcPr>
          <w:p>
            <w:pPr>
              <w:pStyle w:val="103"/>
              <w:jc w:val="center"/>
            </w:pPr>
            <w:r>
              <w:rPr>
                <w:rFonts w:cs="v5.0.0"/>
              </w:rPr>
              <w:t>RB allocation</w:t>
            </w:r>
          </w:p>
        </w:tc>
        <w:tc>
          <w:tcPr>
            <w:tcW w:w="2410" w:type="dxa"/>
            <w:vMerge w:val="restart"/>
          </w:tcPr>
          <w:p>
            <w:pPr>
              <w:pStyle w:val="103"/>
            </w:pPr>
            <w:r>
              <w:t>FDD: PUCCH format = Format 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1165" w:type="dxa"/>
          </w:tcPr>
          <w:p>
            <w:pPr>
              <w:pStyle w:val="105"/>
            </w:pPr>
          </w:p>
        </w:tc>
        <w:tc>
          <w:tcPr>
            <w:tcW w:w="3495" w:type="dxa"/>
            <w:gridSpan w:val="2"/>
          </w:tcPr>
          <w:p>
            <w:pPr>
              <w:pStyle w:val="105"/>
            </w:pPr>
            <w:r>
              <w:t>FDD and HD-FDD</w:t>
            </w:r>
          </w:p>
        </w:tc>
        <w:tc>
          <w:tcPr>
            <w:tcW w:w="2410"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r>
              <w:t>1.4MHz</w:t>
            </w:r>
          </w:p>
        </w:tc>
        <w:tc>
          <w:tcPr>
            <w:tcW w:w="1165" w:type="dxa"/>
          </w:tcPr>
          <w:p>
            <w:pPr>
              <w:pStyle w:val="105"/>
            </w:pPr>
            <w:r>
              <w:t>QPSK</w:t>
            </w:r>
          </w:p>
        </w:tc>
        <w:tc>
          <w:tcPr>
            <w:tcW w:w="3495" w:type="dxa"/>
            <w:gridSpan w:val="2"/>
          </w:tcPr>
          <w:p>
            <w:pPr>
              <w:pStyle w:val="105"/>
            </w:pPr>
            <w:r>
              <w:t>3@0</w:t>
            </w:r>
          </w:p>
        </w:tc>
        <w:tc>
          <w:tcPr>
            <w:tcW w:w="2410" w:type="dxa"/>
            <w:vMerge w:val="continue"/>
          </w:tcPr>
          <w:p>
            <w:pPr>
              <w:pStyle w:val="105"/>
            </w:pPr>
          </w:p>
        </w:tc>
      </w:tr>
    </w:tbl>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and DL Reference Measurement channels are set according to in Table 6.4A.2.3.4.1-1 (PUSCH sub-test) and Table 6.4A.2.3.4.1-2 (PUCCH sub-test).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Ensure the UE is in State 3A-RF-CE according to TS 36.508 [12] clause 5.2A.2AA. Message contents are defined in clause 6.4A.2.3.4.3.</w:t>
      </w:r>
    </w:p>
    <w:p>
      <w:pPr>
        <w:pStyle w:val="9"/>
      </w:pPr>
      <w:r>
        <w:t>6.4A.2.3.4.2</w:t>
      </w:r>
      <w:r>
        <w:tab/>
      </w:r>
      <w:r>
        <w:t>Test procedure</w:t>
      </w:r>
    </w:p>
    <w:p>
      <w:r>
        <w:t>Test procedure for PUSCH: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1.1</w:t>
      </w:r>
      <w:r>
        <w:rPr>
          <w:rFonts w:hint="eastAsia"/>
          <w:lang w:eastAsia="en-GB"/>
        </w:rPr>
        <w:tab/>
      </w:r>
      <w:r>
        <w:rPr>
          <w:rFonts w:hint="eastAsia"/>
          <w:lang w:eastAsia="en-GB"/>
        </w:rPr>
        <w:t>SS sends uplink scheduling information for each UL HARQ process via PDCCH DCI format 0 for C_RNTI to schedule the UL RMC according to Table 6.4A.2.3.4.1-1.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1.2</w:t>
      </w:r>
      <w:r>
        <w:rPr>
          <w:rFonts w:hint="eastAsia"/>
          <w:lang w:eastAsia="en-GB"/>
        </w:rPr>
        <w:tab/>
      </w:r>
      <w:r>
        <w:rPr>
          <w:rFonts w:hint="eastAsia"/>
          <w:lang w:eastAsia="en-GB"/>
        </w:rPr>
        <w:t xml:space="preserve">Send the appropriate TPC commands in the uplink scheduling information to the UE until UE output power is 13.2 dBm </w:t>
      </w:r>
      <w:r>
        <w:rPr>
          <w:rFonts w:hint="eastAsia" w:cs="Times New Roman"/>
          <w:lang w:eastAsia="en-GB"/>
        </w:rPr>
        <w:t>±3.2dB for carrier frequency f ≤ 3.0GHz or</w:t>
      </w:r>
      <w:r>
        <w:rPr>
          <w:rFonts w:hint="eastAsia"/>
          <w:lang w:eastAsia="en-GB"/>
        </w:rPr>
        <w:t xml:space="preserve"> 13.5dBm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1.3</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1.4</w:t>
      </w:r>
      <w:r>
        <w:rPr>
          <w:rFonts w:hint="eastAsia"/>
          <w:lang w:eastAsia="en-GB"/>
        </w:rPr>
        <w:tab/>
      </w:r>
      <w:r>
        <w:rPr>
          <w:rFonts w:hint="eastAsia"/>
          <w:lang w:eastAsia="en-GB"/>
        </w:rPr>
        <w:t xml:space="preserve">Send the appropriate TPC commands in the uplink scheduling information to the UE until UE output power is 3.2 dBm </w:t>
      </w:r>
      <w:r>
        <w:rPr>
          <w:rFonts w:hint="eastAsia" w:cs="Times New Roman"/>
          <w:lang w:eastAsia="en-GB"/>
        </w:rPr>
        <w:t>±3.2dB for carrier frequency f ≤ 3.0GHz or</w:t>
      </w:r>
      <w:r>
        <w:rPr>
          <w:rFonts w:hint="eastAsia"/>
          <w:lang w:eastAsia="en-GB"/>
        </w:rPr>
        <w:t xml:space="preserve"> 3.5dBm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1.5</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1.6</w:t>
      </w:r>
      <w:r>
        <w:rPr>
          <w:rFonts w:hint="eastAsia"/>
          <w:lang w:eastAsia="en-GB"/>
        </w:rPr>
        <w:tab/>
      </w:r>
      <w:r>
        <w:rPr>
          <w:rFonts w:hint="eastAsia"/>
          <w:lang w:eastAsia="en-GB"/>
        </w:rPr>
        <w:t xml:space="preserve">Send the appropriate TPC commands in the uplink scheduling information to the UE until UE output power is -26.8 dBm </w:t>
      </w:r>
      <w:r>
        <w:rPr>
          <w:rFonts w:hint="eastAsia" w:cs="Times New Roman"/>
          <w:lang w:eastAsia="en-GB"/>
        </w:rPr>
        <w:t>±3.2dB for carrier frequency f ≤ 3.0GHz or</w:t>
      </w:r>
      <w:r>
        <w:rPr>
          <w:rFonts w:hint="eastAsia"/>
          <w:lang w:eastAsia="en-GB"/>
        </w:rPr>
        <w:t xml:space="preserve"> -36.5dBm </w:t>
      </w:r>
      <w:r>
        <w:rPr>
          <w:rFonts w:hint="eastAsia" w:cs="Times New Roman"/>
          <w:lang w:eastAsia="en-GB"/>
        </w:rPr>
        <w:t>±</w:t>
      </w:r>
      <w:r>
        <w:rPr>
          <w:rFonts w:hint="eastAsia"/>
          <w:lang w:eastAsia="en-GB"/>
        </w:rPr>
        <w:t xml:space="preserve">2.5 dB </w:t>
      </w:r>
      <w:r>
        <w:rPr>
          <w:rFonts w:hint="eastAsia" w:cs="Times New Roman"/>
          <w:lang w:eastAsia="en-GB"/>
        </w:rPr>
        <w:t>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1.7</w:t>
      </w:r>
      <w:r>
        <w:rPr>
          <w:rFonts w:hint="eastAsia"/>
          <w:lang w:eastAsia="en-GB"/>
        </w:rPr>
        <w:tab/>
      </w:r>
      <w:r>
        <w:rPr>
          <w:rFonts w:hint="eastAsia"/>
          <w:lang w:eastAsia="en-GB"/>
        </w:rPr>
        <w:t>Measure In-band emission using Global In-Channel Tx-Test (Annex E) according to the UE’s declaration on the position of carrier centre frequency. For HD-FDD slots with transient periods are not under test. Half-duplex guard subframes are not under test.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1.8</w:t>
      </w:r>
      <w:r>
        <w:rPr>
          <w:rFonts w:hint="eastAsia"/>
          <w:lang w:eastAsia="en-GB"/>
        </w:rPr>
        <w:tab/>
      </w:r>
      <w:r>
        <w:rPr>
          <w:rFonts w:hint="eastAsia"/>
          <w:lang w:eastAsia="en-GB"/>
        </w:rPr>
        <w:t xml:space="preserve">Send the appropriate TPC commands in the uplink scheduling information to the UE until UE output power is to -36.8 dBm </w:t>
      </w:r>
      <w:r>
        <w:rPr>
          <w:rFonts w:hint="eastAsia" w:cs="Times New Roman"/>
          <w:lang w:eastAsia="en-GB"/>
        </w:rPr>
        <w:t>±3.2dB for carrier frequency f ≤ 3.0GHz or</w:t>
      </w:r>
      <w:r>
        <w:rPr>
          <w:rFonts w:hint="eastAsia"/>
          <w:lang w:eastAsia="en-GB"/>
        </w:rPr>
        <w:t xml:space="preserve"> -36.5dBm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1.9</w:t>
      </w:r>
      <w:r>
        <w:rPr>
          <w:rFonts w:hint="eastAsia"/>
          <w:lang w:eastAsia="en-GB"/>
        </w:rPr>
        <w:tab/>
      </w:r>
      <w:r>
        <w:rPr>
          <w:rFonts w:hint="eastAsia"/>
          <w:lang w:eastAsia="en-GB"/>
        </w:rPr>
        <w:t>Measure In-band emission using Global In-Channel Tx-Test (Annex E) according to the UE’s declaration on the position of carrier centre frequency. For HD-FDD slots with transient periods are not under test. Half-duplex guard subframes are not under test.</w:t>
      </w:r>
    </w:p>
    <w:p>
      <w:r>
        <w:t>Test procedure for PUCCH: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2.1</w:t>
      </w:r>
      <w:r>
        <w:rPr>
          <w:rFonts w:hint="eastAsia"/>
          <w:lang w:eastAsia="en-GB"/>
        </w:rPr>
        <w:tab/>
      </w:r>
      <w:r>
        <w:rPr>
          <w:rFonts w:hint="eastAsia"/>
          <w:lang w:eastAsia="en-GB"/>
        </w:rPr>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2.2</w:t>
      </w:r>
      <w:r>
        <w:rPr>
          <w:rFonts w:hint="eastAsia"/>
          <w:lang w:eastAsia="en-GB"/>
        </w:rPr>
        <w:tab/>
      </w:r>
      <w:r>
        <w:rPr>
          <w:rFonts w:hint="eastAsia"/>
          <w:lang w:eastAsia="en-GB"/>
        </w:rPr>
        <w:t xml:space="preserve">Send the appropriate TPC commands in the uplink scheduling information for PUCCH to the UE until UE output power is 13.2 dBm ±3.2dB </w:t>
      </w:r>
      <w:r>
        <w:rPr>
          <w:rFonts w:hint="eastAsia" w:cs="Times New Roman"/>
          <w:lang w:eastAsia="en-GB"/>
        </w:rPr>
        <w:t>for carrier frequency f ≤ 3.0GHz or</w:t>
      </w:r>
      <w:r>
        <w:rPr>
          <w:rFonts w:hint="eastAsia"/>
          <w:lang w:eastAsia="en-GB"/>
        </w:rPr>
        <w:t xml:space="preserve"> 13.5dBm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2.3</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2.4</w:t>
      </w:r>
      <w:r>
        <w:rPr>
          <w:rFonts w:hint="eastAsia"/>
          <w:lang w:eastAsia="en-GB"/>
        </w:rPr>
        <w:tab/>
      </w:r>
      <w:r>
        <w:rPr>
          <w:rFonts w:hint="eastAsia"/>
          <w:lang w:eastAsia="en-GB"/>
        </w:rPr>
        <w:t xml:space="preserve">Send the appropriate TPC commands in the uplink scheduling information for PUCCH to the UE until UE output power is 3.2 dBm ±3.2dB </w:t>
      </w:r>
      <w:r>
        <w:rPr>
          <w:rFonts w:hint="eastAsia" w:cs="Times New Roman"/>
          <w:lang w:eastAsia="en-GB"/>
        </w:rPr>
        <w:t>for carrier frequency f ≤ 3.0GHz or</w:t>
      </w:r>
      <w:r>
        <w:rPr>
          <w:rFonts w:hint="eastAsia"/>
          <w:lang w:eastAsia="en-GB"/>
        </w:rPr>
        <w:t xml:space="preserve"> 3.5dBm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2.5</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2.6</w:t>
      </w:r>
      <w:r>
        <w:rPr>
          <w:rFonts w:hint="eastAsia"/>
          <w:lang w:eastAsia="en-GB"/>
        </w:rPr>
        <w:tab/>
      </w:r>
      <w:r>
        <w:rPr>
          <w:rFonts w:hint="eastAsia"/>
          <w:lang w:eastAsia="en-GB"/>
        </w:rPr>
        <w:t xml:space="preserve">Send the appropriate TPC commands for PUCCH in the uplink scheduling information to the UE until UE output power is -26.8 dBm ±3.2dB </w:t>
      </w:r>
      <w:r>
        <w:rPr>
          <w:rFonts w:hint="eastAsia" w:cs="Times New Roman"/>
          <w:lang w:eastAsia="en-GB"/>
        </w:rPr>
        <w:t>for carrier frequency f ≤ 3.0GHz or</w:t>
      </w:r>
      <w:r>
        <w:rPr>
          <w:rFonts w:hint="eastAsia"/>
          <w:lang w:eastAsia="en-GB"/>
        </w:rPr>
        <w:t xml:space="preserve"> -26.5dBm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2.7</w:t>
      </w:r>
      <w:r>
        <w:rPr>
          <w:rFonts w:hint="eastAsia"/>
          <w:lang w:eastAsia="en-GB"/>
        </w:rPr>
        <w:tab/>
      </w:r>
      <w:r>
        <w:rPr>
          <w:rFonts w:hint="eastAsia"/>
          <w:lang w:eastAsia="en-GB"/>
        </w:rPr>
        <w:t>Measure In-band emission using Global In-Channel Tx-Test (Annex E) according to the UE’s declaration on the position of carrier centre frequency.</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2.8</w:t>
      </w:r>
      <w:r>
        <w:rPr>
          <w:rFonts w:hint="eastAsia"/>
          <w:lang w:eastAsia="en-GB"/>
        </w:rPr>
        <w:tab/>
      </w:r>
      <w:r>
        <w:rPr>
          <w:rFonts w:hint="eastAsia"/>
          <w:lang w:eastAsia="en-GB"/>
        </w:rPr>
        <w:t xml:space="preserve">Send the appropriate TPC commands for PUCCH in the uplink scheduling information to the UE until UE output power is to -36.8 dBm ±3.2dB </w:t>
      </w:r>
      <w:r>
        <w:rPr>
          <w:rFonts w:hint="eastAsia" w:cs="Times New Roman"/>
          <w:lang w:eastAsia="en-GB"/>
        </w:rPr>
        <w:t>for carrier frequency f ≤ 3.0GHz or</w:t>
      </w:r>
      <w:r>
        <w:rPr>
          <w:rFonts w:hint="eastAsia"/>
          <w:lang w:eastAsia="en-GB"/>
        </w:rPr>
        <w:t xml:space="preserve"> -36.5dBm </w:t>
      </w:r>
      <w:r>
        <w:rPr>
          <w:rFonts w:hint="eastAsia" w:cs="Times New Roman"/>
          <w:lang w:eastAsia="en-GB"/>
        </w:rPr>
        <w:t>±</w:t>
      </w:r>
      <w:r>
        <w:rPr>
          <w:rFonts w:hint="eastAsia"/>
          <w:lang w:eastAsia="en-GB"/>
        </w:rPr>
        <w:t xml:space="preserve">3.5 dB </w:t>
      </w:r>
      <w:r>
        <w:rPr>
          <w:rFonts w:hint="eastAsia" w:cs="Times New Roman"/>
          <w:lang w:eastAsia="en-GB"/>
        </w:rPr>
        <w:t>for carrier frequency 3.0GHz &lt; f ≤ 4.2GHz</w:t>
      </w:r>
      <w:r>
        <w:rPr>
          <w:rFonts w:hint="eastAsia"/>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2.9</w:t>
      </w:r>
      <w:r>
        <w:rPr>
          <w:rFonts w:hint="eastAsia"/>
          <w:lang w:eastAsia="en-GB"/>
        </w:rPr>
        <w:tab/>
      </w:r>
      <w:r>
        <w:rPr>
          <w:rFonts w:hint="eastAsia"/>
          <w:lang w:eastAsia="en-GB"/>
        </w:rPr>
        <w:t>Measure In-band emission using Global In-Channel Tx-Test (Annex E) according to the UE’s declaration on the position of carrier centre frequency.</w:t>
      </w:r>
    </w:p>
    <w:p/>
    <w:p>
      <w:pPr>
        <w:pStyle w:val="9"/>
      </w:pPr>
      <w:r>
        <w:t>6.4A.2.3.4.3</w:t>
      </w:r>
      <w:r>
        <w:tab/>
      </w:r>
      <w:r>
        <w:t>Message contents</w:t>
      </w:r>
    </w:p>
    <w:p>
      <w:pPr>
        <w:rPr>
          <w:rFonts w:eastAsia="MS Mincho"/>
        </w:rPr>
      </w:pPr>
      <w:r>
        <w:t>Message contents are according to TS 36.508 [12] subclause 4.6 with the condition CEModeA and the following exceptions:</w:t>
      </w:r>
    </w:p>
    <w:p>
      <w:pPr>
        <w:pStyle w:val="113"/>
      </w:pPr>
      <w:r>
        <w:t xml:space="preserve">Table 6.4A.2.3.4.3-1: </w:t>
      </w:r>
      <w:r>
        <w:rPr>
          <w:i/>
          <w:iCs/>
        </w:rPr>
        <w:t>PUCCH-ConfigCommon</w:t>
      </w:r>
      <w:r>
        <w:t>: PUCCH in-band emissions measurement</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TS 36.508 [12] clause 6.3.2, Table 4.6.3-8: PUCCH-ConfigCommon-DEFAULT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PUCCH-ConfigCommon-DEFAULT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nRB-CQI</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
      <w:pPr>
        <w:pStyle w:val="9"/>
      </w:pPr>
      <w:r>
        <w:t>6.4A.2.3.5</w:t>
      </w:r>
      <w:r>
        <w:tab/>
      </w:r>
      <w:r>
        <w:t>Test requirement</w:t>
      </w:r>
    </w:p>
    <w:p>
      <w:r>
        <w:t>Each of the 20 In-band emissions results, derived in Annex E.4.3 shall not exceed the corresponding values in Table 6.4A.5-1.</w:t>
      </w:r>
    </w:p>
    <w:p>
      <w:pPr>
        <w:pStyle w:val="113"/>
      </w:pPr>
      <w:r>
        <w:rPr>
          <w:rFonts w:eastAsia="Osaka"/>
        </w:rPr>
        <w:t xml:space="preserve">Table 6.4A.2.3.5-1: Test requirements for in-band emissions </w:t>
      </w:r>
      <w:r>
        <w:t>for UE supporting Rel-15 and higher</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293"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5420"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682"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single" w:color="auto" w:sz="4" w:space="0"/>
              <w:left w:val="single" w:color="auto" w:sz="4" w:space="0"/>
              <w:bottom w:val="nil"/>
              <w:right w:val="single" w:color="auto" w:sz="4" w:space="0"/>
            </w:tcBorders>
            <w:shd w:val="clear" w:color="auto" w:fill="auto"/>
            <w:vAlign w:val="bottom"/>
          </w:tcPr>
          <w:p>
            <w:pPr>
              <w:pStyle w:val="104"/>
              <w:rPr>
                <w:rFonts w:cs="Arial"/>
              </w:rPr>
            </w:pPr>
            <w:r>
              <w:rPr>
                <w:rFonts w:cs="Arial"/>
              </w:rPr>
              <w:t>General</w:t>
            </w:r>
          </w:p>
        </w:tc>
        <w:tc>
          <w:tcPr>
            <w:tcW w:w="1293" w:type="dxa"/>
            <w:tcBorders>
              <w:top w:val="single" w:color="auto" w:sz="4" w:space="0"/>
              <w:left w:val="single" w:color="auto" w:sz="4" w:space="0"/>
              <w:bottom w:val="nil"/>
              <w:right w:val="single" w:color="auto" w:sz="4" w:space="0"/>
            </w:tcBorders>
            <w:vAlign w:val="bottom"/>
          </w:tcPr>
          <w:p>
            <w:pPr>
              <w:pStyle w:val="105"/>
              <w:rPr>
                <w:rFonts w:cs="Arial"/>
              </w:rPr>
            </w:pPr>
            <w:r>
              <w:rPr>
                <w:rFonts w:cs="Arial"/>
              </w:rPr>
              <w:t>dB</w:t>
            </w:r>
          </w:p>
        </w:tc>
        <w:tc>
          <w:tcPr>
            <w:tcW w:w="5420"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m:oMathPara>
              <m:oMath>
                <m:r>
                  <m:rPr/>
                  <w:rPr>
                    <w:rFonts w:ascii="Cambria Math" w:hAnsi="Cambria Math" w:cs="Arial"/>
                    <w:lang w:eastAsia="ja-JP"/>
                  </w:rPr>
                  <m:t>−18−</m:t>
                </m:r>
                <m:d>
                  <m:dPr>
                    <m:begChr m:val="["/>
                    <m:endChr m:val="]"/>
                    <m:ctrlPr>
                      <w:rPr>
                        <w:rFonts w:ascii="Cambria Math" w:hAnsi="Cambria Math" w:cs="Arial"/>
                        <w:i/>
                        <w:lang w:eastAsia="ja-JP"/>
                      </w:rPr>
                    </m:ctrlPr>
                  </m:dPr>
                  <m:e>
                    <m:r>
                      <m:rPr/>
                      <w:rPr>
                        <w:rFonts w:ascii="Cambria Math" w:hAnsi="Cambria Math" w:cs="Arial"/>
                        <w:lang w:eastAsia="ja-JP"/>
                      </w:rPr>
                      <m:t>5</m:t>
                    </m:r>
                    <m:ctrlPr>
                      <w:rPr>
                        <w:rFonts w:ascii="Cambria Math" w:hAnsi="Cambria Math" w:cs="Arial"/>
                        <w:i/>
                        <w:lang w:eastAsia="ja-JP"/>
                      </w:rPr>
                    </m:ctrlPr>
                  </m:e>
                </m:d>
                <m:r>
                  <m:rP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ctrlPr>
                      <w:rPr>
                        <w:rFonts w:ascii="Cambria Math" w:hAnsi="Cambria Math" w:cs="Arial"/>
                        <w:i/>
                        <w:lang w:eastAsia="ja-JP"/>
                      </w:rPr>
                    </m:ctrlPr>
                  </m:e>
                </m:d>
                <m:r>
                  <m:rPr/>
                  <w:rPr>
                    <w:rFonts w:ascii="Cambria Math" w:hAnsi="Cambria Math" w:cs="Arial"/>
                    <w:lang w:eastAsia="ja-JP"/>
                  </w:rPr>
                  <m:t>−1)/</m:t>
                </m:r>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m:oMathPara>
          </w:p>
          <w:p>
            <w:pPr>
              <w:pStyle w:val="105"/>
              <w:rPr>
                <w:rFonts w:cs="Arial"/>
              </w:rPr>
            </w:pPr>
          </w:p>
        </w:tc>
        <w:tc>
          <w:tcPr>
            <w:tcW w:w="1682" w:type="dxa"/>
            <w:tcBorders>
              <w:top w:val="single" w:color="auto" w:sz="4" w:space="0"/>
              <w:left w:val="single" w:color="auto" w:sz="4" w:space="0"/>
              <w:bottom w:val="single" w:color="auto" w:sz="4" w:space="0"/>
              <w:right w:val="single" w:color="auto" w:sz="4" w:space="0"/>
            </w:tcBorders>
            <w:vAlign w:val="center"/>
          </w:tcPr>
          <w:p>
            <w:pPr>
              <w:pStyle w:val="105"/>
            </w:pPr>
            <w:r>
              <w:t>Any non-allocated Subcarrier Group within the subPRB allocation</w:t>
            </w:r>
          </w:p>
          <w:p>
            <w:pPr>
              <w:pStyle w:val="105"/>
              <w:rPr>
                <w:rFonts w:cs="Arial"/>
              </w:rPr>
            </w:pPr>
            <w:r>
              <w:t>(NOTE 11,12,13)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205" w:type="dxa"/>
            <w:tcBorders>
              <w:top w:val="nil"/>
              <w:left w:val="single" w:color="auto" w:sz="4" w:space="0"/>
              <w:bottom w:val="single" w:color="auto" w:sz="4" w:space="0"/>
              <w:right w:val="single" w:color="auto" w:sz="4" w:space="0"/>
            </w:tcBorders>
            <w:shd w:val="clear" w:color="auto" w:fill="auto"/>
          </w:tcPr>
          <w:p>
            <w:pPr>
              <w:pStyle w:val="104"/>
              <w:rPr>
                <w:rFonts w:cs="Arial"/>
              </w:rPr>
            </w:pPr>
          </w:p>
        </w:tc>
        <w:tc>
          <w:tcPr>
            <w:tcW w:w="1293" w:type="dxa"/>
            <w:tcBorders>
              <w:top w:val="nil"/>
              <w:left w:val="single" w:color="auto" w:sz="4" w:space="0"/>
              <w:bottom w:val="single" w:color="auto" w:sz="4" w:space="0"/>
              <w:right w:val="single" w:color="auto" w:sz="4" w:space="0"/>
            </w:tcBorders>
          </w:tcPr>
          <w:p>
            <w:pPr>
              <w:pStyle w:val="105"/>
              <w:rPr>
                <w:rFonts w:cs="Arial"/>
              </w:rPr>
            </w:pPr>
          </w:p>
        </w:tc>
        <w:tc>
          <w:tcPr>
            <w:tcW w:w="5420"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46" o:spt="75" type="#_x0000_t75" style="height:47.45pt;width:178.35pt;" o:ole="t" filled="f" o:preferrelative="t" stroked="f" coordsize="21600,21600">
                  <v:path/>
                  <v:fill on="f" focussize="0,0"/>
                  <v:stroke on="f" joinstyle="miter"/>
                  <v:imagedata r:id="rId40" o:title=""/>
                  <o:lock v:ext="edit" aspectratio="t"/>
                  <w10:wrap type="none"/>
                  <w10:anchorlock/>
                </v:shape>
                <o:OLEObject Type="Embed" ProgID="Equation.3" ShapeID="_x0000_i1046" DrawAspect="Content" ObjectID="_1468075746" r:id="rId59">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&gt; 10 dBm</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&lt; 1 GHz and Output power ≤ 10 dBm</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05" w:type="dxa"/>
            <w:vMerge w:val="continue"/>
            <w:tcBorders>
              <w:right w:val="single" w:color="auto" w:sz="4" w:space="0"/>
            </w:tcBorders>
            <w:shd w:val="clear" w:color="auto" w:fill="auto"/>
            <w:vAlign w:val="center"/>
          </w:tcPr>
          <w:p>
            <w:pPr>
              <w:pStyle w:val="104"/>
              <w:rPr>
                <w:rFonts w:cs="Arial"/>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vAlign w:val="center"/>
          </w:tcPr>
          <w:p>
            <w:pPr>
              <w:pStyle w:val="103"/>
              <w:rPr>
                <w:rFonts w:cs="Arial"/>
              </w:rPr>
            </w:pPr>
            <w:r>
              <w:rPr>
                <w:rFonts w:cs="Arial"/>
              </w:rPr>
              <w:t>Image frequencies when carrier centre frequency ≥ 1 GHz</w:t>
            </w:r>
          </w:p>
        </w:tc>
        <w:tc>
          <w:tcPr>
            <w:tcW w:w="1682"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293"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-28</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&lt; 1 GHz</w:t>
            </w:r>
          </w:p>
        </w:tc>
        <w:tc>
          <w:tcPr>
            <w:tcW w:w="1682"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Output power &gt; 10 dBm and carrier centre frequency ≥ 1 GHz</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205" w:type="dxa"/>
            <w:vMerge w:val="continue"/>
            <w:tcBorders>
              <w:top w:val="single" w:color="auto" w:sz="4" w:space="0"/>
              <w:right w:val="single" w:color="auto" w:sz="4" w:space="0"/>
            </w:tcBorders>
            <w:shd w:val="clear" w:color="auto" w:fill="auto"/>
            <w:vAlign w:val="center"/>
          </w:tcPr>
          <w:p>
            <w:pPr>
              <w:pStyle w:val="104"/>
              <w:rPr>
                <w:rFonts w:cs="Arial"/>
              </w:rPr>
            </w:pPr>
          </w:p>
        </w:tc>
        <w:tc>
          <w:tcPr>
            <w:tcW w:w="1293" w:type="dxa"/>
            <w:vMerge w:val="continue"/>
            <w:tcBorders>
              <w:top w:val="single" w:color="auto" w:sz="4" w:space="0"/>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4155" w:type="dxa"/>
            <w:tcBorders>
              <w:top w:val="single" w:color="auto" w:sz="4" w:space="0"/>
              <w:left w:val="single" w:color="auto" w:sz="4" w:space="0"/>
              <w:right w:val="single" w:color="auto" w:sz="4" w:space="0"/>
            </w:tcBorders>
            <w:shd w:val="clear" w:color="auto" w:fill="auto"/>
            <w:vAlign w:val="center"/>
          </w:tcPr>
          <w:p>
            <w:pPr>
              <w:pStyle w:val="103"/>
              <w:rPr>
                <w:rFonts w:cs="Arial"/>
              </w:rPr>
            </w:pPr>
            <w:r>
              <w:rPr>
                <w:rFonts w:cs="Arial"/>
              </w:rPr>
              <w:t>0 dBm ≤ Output power ≤10 dBm</w:t>
            </w:r>
          </w:p>
        </w:tc>
        <w:tc>
          <w:tcPr>
            <w:tcW w:w="1682" w:type="dxa"/>
            <w:vMerge w:val="continue"/>
            <w:tcBorders>
              <w:top w:val="single" w:color="auto" w:sz="4" w:space="0"/>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-30 dBm ≤ Output power ≤ 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 w:hRule="atLeast"/>
          <w:jc w:val="center"/>
        </w:trPr>
        <w:tc>
          <w:tcPr>
            <w:tcW w:w="1205" w:type="dxa"/>
            <w:vMerge w:val="continue"/>
            <w:tcBorders>
              <w:right w:val="single" w:color="auto" w:sz="4" w:space="0"/>
            </w:tcBorders>
            <w:shd w:val="clear" w:color="auto" w:fill="auto"/>
            <w:vAlign w:val="center"/>
          </w:tcPr>
          <w:p>
            <w:pPr>
              <w:spacing w:after="0"/>
              <w:rPr>
                <w:b/>
              </w:rPr>
            </w:pPr>
          </w:p>
        </w:tc>
        <w:tc>
          <w:tcPr>
            <w:tcW w:w="1293" w:type="dxa"/>
            <w:vMerge w:val="continue"/>
            <w:tcBorders>
              <w:left w:val="single" w:color="auto" w:sz="4" w:space="0"/>
              <w:right w:val="single" w:color="auto" w:sz="4" w:space="0"/>
            </w:tcBorders>
            <w:vAlign w:val="center"/>
          </w:tcPr>
          <w:p>
            <w:pPr>
              <w:pStyle w:val="105"/>
              <w:rPr>
                <w:rFonts w:cs="Arial"/>
              </w:rPr>
            </w:pPr>
          </w:p>
        </w:tc>
        <w:tc>
          <w:tcPr>
            <w:tcW w:w="1265"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4155" w:type="dxa"/>
            <w:tcBorders>
              <w:left w:val="single" w:color="auto" w:sz="4" w:space="0"/>
              <w:right w:val="single" w:color="auto" w:sz="4" w:space="0"/>
            </w:tcBorders>
            <w:shd w:val="clear" w:color="auto" w:fill="auto"/>
            <w:vAlign w:val="center"/>
          </w:tcPr>
          <w:p>
            <w:pPr>
              <w:pStyle w:val="103"/>
              <w:rPr>
                <w:rFonts w:cs="Arial"/>
              </w:rPr>
            </w:pPr>
            <w:r>
              <w:rPr>
                <w:rFonts w:cs="Arial"/>
              </w:rPr>
              <w:t xml:space="preserve">-40 dBm </w:t>
            </w:r>
            <w:r>
              <w:rPr>
                <w:rFonts w:cs="Arial"/>
              </w:rPr>
              <w:sym w:font="Symbol" w:char="F0A3"/>
            </w:r>
            <w:r>
              <w:rPr>
                <w:rFonts w:cs="Arial"/>
              </w:rPr>
              <w:t xml:space="preserve"> Output power &lt; -30 dBm</w:t>
            </w:r>
          </w:p>
        </w:tc>
        <w:tc>
          <w:tcPr>
            <w:tcW w:w="1682" w:type="dxa"/>
            <w:vMerge w:val="continue"/>
            <w:tcBorders>
              <w:left w:val="single" w:color="auto" w:sz="4" w:space="0"/>
              <w:right w:val="single" w:color="auto" w:sz="4" w:space="0"/>
            </w:tcBorders>
            <w:vAlign w:val="center"/>
          </w:tcPr>
          <w:p>
            <w:pPr>
              <w:spacing w:after="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RB. For each such RB, the minimum requirement is calculated as the higher of </w:t>
            </w:r>
            <w:r>
              <w:rPr>
                <w:rFonts w:cs="Arial"/>
                <w:i/>
              </w:rPr>
              <w:t>P</w:t>
            </w:r>
            <w:r>
              <w:rPr>
                <w:rFonts w:cs="Arial"/>
                <w:i/>
                <w:vertAlign w:val="subscript"/>
              </w:rPr>
              <w:t xml:space="preserve">RB </w:t>
            </w:r>
            <w:r>
              <w:rPr>
                <w:rFonts w:cs="Arial"/>
              </w:rPr>
              <w:t xml:space="preserve">- 30 dB and the power sum of all limit values (General, IQ Image or Carrier leakage) that apply. </w:t>
            </w:r>
            <w:r>
              <w:rPr>
                <w:rFonts w:cs="Arial"/>
                <w:i/>
              </w:rPr>
              <w:t>P</w:t>
            </w:r>
            <w:r>
              <w:rPr>
                <w:rFonts w:cs="Arial"/>
                <w:i/>
                <w:vertAlign w:val="subscript"/>
              </w:rPr>
              <w:t>RB</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RB and the limit is expressed as a ratio of measured power in one non-allocated RB to the measured average power per allocated RB, where the averaging is done across all allocated RBs.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pPr>
              <w:pStyle w:val="118"/>
              <w:rPr>
                <w:rFonts w:cs="Arial"/>
              </w:rPr>
            </w:pPr>
            <w:r>
              <w:rPr>
                <w:rFonts w:cs="Arial"/>
              </w:rPr>
              <w:t>NOTE 4:</w:t>
            </w:r>
            <w:r>
              <w:rPr>
                <w:rFonts w:cs="Arial"/>
              </w:rPr>
              <w:tab/>
            </w:r>
            <w:r>
              <w:rPr>
                <w:rFonts w:cs="Arial"/>
              </w:rPr>
              <w:t>The measurement bandwidth is 1 RB and the limit is expressed as a ratio of measured power in one non-allocated RB to the measured total power in all allocated RBs.</w:t>
            </w:r>
          </w:p>
          <w:p>
            <w:pPr>
              <w:pStyle w:val="118"/>
              <w:rPr>
                <w:rFonts w:cs="Arial"/>
              </w:rPr>
            </w:pPr>
            <w:r>
              <w:rPr>
                <w:rFonts w:cs="Arial"/>
              </w:rPr>
              <w:t>NOTE 5:</w:t>
            </w:r>
            <w:r>
              <w:rPr>
                <w:rFonts w:cs="Arial"/>
              </w:rPr>
              <w:tab/>
            </w:r>
            <w:r>
              <w:rPr>
                <w:rFonts w:cs="Arial"/>
              </w:rPr>
              <w:t xml:space="preserve">The applicable frequencies for this limit are those that are enclosed in the RBs containing the DC frequency if </w:t>
            </w:r>
            <w:r>
              <w:rPr>
                <w:rFonts w:cs="Arial"/>
                <w:position w:val="-10"/>
              </w:rPr>
              <w:object>
                <v:shape id="_x0000_i1047" o:spt="75" type="#_x0000_t75" style="height:17.45pt;width:21.8pt;" o:ole="t" filled="f" o:preferrelative="t" stroked="f" coordsize="21600,21600">
                  <v:path/>
                  <v:fill on="f" focussize="0,0"/>
                  <v:stroke on="f" joinstyle="miter"/>
                  <v:imagedata r:id="rId42" o:title=""/>
                  <o:lock v:ext="edit" aspectratio="t"/>
                  <w10:wrap type="none"/>
                  <w10:anchorlock/>
                </v:shape>
                <o:OLEObject Type="Embed" ProgID="Equation.3" ShapeID="_x0000_i1047" DrawAspect="Content" ObjectID="_1468075747" r:id="rId60">
                  <o:LockedField>false</o:LockedField>
                </o:OLEObject>
              </w:object>
            </w:r>
            <w:r>
              <w:rPr>
                <w:rFonts w:cs="Arial"/>
              </w:rPr>
              <w:t xml:space="preserve"> is odd, or in the two RBs immediately adjacent to the DC frequency if </w:t>
            </w:r>
            <w:r>
              <w:rPr>
                <w:rFonts w:cs="Arial"/>
                <w:position w:val="-10"/>
              </w:rPr>
              <w:object>
                <v:shape id="_x0000_i1048" o:spt="75" type="#_x0000_t75" style="height:17.45pt;width:21.8pt;" o:ole="t" filled="f" o:preferrelative="t" stroked="f" coordsize="21600,21600">
                  <v:path/>
                  <v:fill on="f" focussize="0,0"/>
                  <v:stroke on="f" joinstyle="miter"/>
                  <v:imagedata r:id="rId44" o:title=""/>
                  <o:lock v:ext="edit" aspectratio="t"/>
                  <w10:wrap type="none"/>
                  <w10:anchorlock/>
                </v:shape>
                <o:OLEObject Type="Embed" ProgID="Equation.3" ShapeID="_x0000_i1048" DrawAspect="Content" ObjectID="_1468075748" r:id="rId61">
                  <o:LockedField>false</o:LockedField>
                </o:OLEObject>
              </w:object>
            </w:r>
            <w:r>
              <w:rPr>
                <w:rFonts w:cs="Arial"/>
              </w:rPr>
              <w:t xml:space="preserve"> is even, but excluding any allocated RB. For UE of UL Category M1, the applicable frequencies shall alternatively be the centre frequency of the supported 6RBs additionally.</w:t>
            </w:r>
          </w:p>
          <w:p>
            <w:pPr>
              <w:pStyle w:val="118"/>
              <w:rPr>
                <w:rFonts w:cs="Arial"/>
              </w:rPr>
            </w:pPr>
            <w:r>
              <w:rPr>
                <w:rFonts w:cs="Arial"/>
              </w:rPr>
              <w:t>NOTE 6:</w:t>
            </w:r>
            <w:r>
              <w:rPr>
                <w:rFonts w:cs="Arial"/>
              </w:rPr>
              <w:tab/>
            </w:r>
            <w:r>
              <w:rPr>
                <w:rFonts w:cs="Arial"/>
                <w:position w:val="-12"/>
              </w:rPr>
              <w:object>
                <v:shape id="_x0000_i1049" o:spt="75" type="#_x0000_t75" style="height:19.1pt;width:24.55pt;" o:ole="t" filled="f" o:preferrelative="t" stroked="f" coordsize="21600,21600">
                  <v:path/>
                  <v:fill on="f" focussize="0,0"/>
                  <v:stroke on="f" joinstyle="miter"/>
                  <v:imagedata r:id="rId46" o:title=""/>
                  <o:lock v:ext="edit" aspectratio="t"/>
                  <w10:wrap type="none"/>
                  <w10:anchorlock/>
                </v:shape>
                <o:OLEObject Type="Embed" ProgID="Equation.3" ShapeID="_x0000_i1049" DrawAspect="Content" ObjectID="_1468075749" r:id="rId62">
                  <o:LockedField>false</o:LockedField>
                </o:OLEObject>
              </w:object>
            </w:r>
            <w:r>
              <w:rPr>
                <w:rFonts w:cs="Arial"/>
              </w:rPr>
              <w:t xml:space="preserve"> is the Transmission Bandwidth (see Figure 5.6-1).</w:t>
            </w:r>
          </w:p>
          <w:p>
            <w:pPr>
              <w:pStyle w:val="118"/>
              <w:rPr>
                <w:rFonts w:cs="Arial"/>
              </w:rPr>
            </w:pPr>
            <w:r>
              <w:rPr>
                <w:rFonts w:cs="Arial"/>
              </w:rPr>
              <w:t>NOTE 7:</w:t>
            </w:r>
            <w:r>
              <w:rPr>
                <w:rFonts w:cs="Arial"/>
              </w:rPr>
              <w:tab/>
            </w:r>
            <w:r>
              <w:rPr>
                <w:rFonts w:cs="Arial"/>
                <w:position w:val="-10"/>
              </w:rPr>
              <w:object>
                <v:shape id="_x0000_i1050" o:spt="75" type="#_x0000_t75" style="height:17.45pt;width:21.8pt;" o:ole="t" filled="f" o:preferrelative="t" stroked="f" coordsize="21600,21600">
                  <v:path/>
                  <v:fill on="f" focussize="0,0"/>
                  <v:stroke on="f" joinstyle="miter"/>
                  <v:imagedata r:id="rId48" o:title=""/>
                  <o:lock v:ext="edit" aspectratio="t"/>
                  <w10:wrap type="none"/>
                  <w10:anchorlock/>
                </v:shape>
                <o:OLEObject Type="Embed" ProgID="Equation.3" ShapeID="_x0000_i1050" DrawAspect="Content" ObjectID="_1468075750" r:id="rId63">
                  <o:LockedField>false</o:LockedField>
                </o:OLEObject>
              </w:object>
            </w:r>
            <w:r>
              <w:rPr>
                <w:rFonts w:cs="Arial"/>
              </w:rPr>
              <w:t xml:space="preserve"> is the Transmission Bandwidth Configuration (see Figure 5.6-1).</w:t>
            </w:r>
          </w:p>
          <w:p>
            <w:pPr>
              <w:pStyle w:val="118"/>
              <w:rPr>
                <w:rFonts w:cs="Arial"/>
              </w:rPr>
            </w:pPr>
            <w:r>
              <w:rPr>
                <w:rFonts w:cs="Arial"/>
              </w:rPr>
              <w:t>NOTE 8:</w:t>
            </w:r>
            <w:r>
              <w:rPr>
                <w:rFonts w:cs="Arial"/>
              </w:rPr>
              <w:tab/>
            </w:r>
            <w:r>
              <w:rPr>
                <w:rFonts w:cs="Arial"/>
                <w:position w:val="-6"/>
              </w:rPr>
              <w:object>
                <v:shape id="_x0000_i1051" o:spt="75" type="#_x0000_t75" style="height:14.2pt;width:32.2pt;" o:ole="t" filled="f" o:preferrelative="t" stroked="f" coordsize="21600,21600">
                  <v:path/>
                  <v:fill on="f" focussize="0,0"/>
                  <v:stroke on="f" joinstyle="miter"/>
                  <v:imagedata r:id="rId50" o:title=""/>
                  <o:lock v:ext="edit" aspectratio="t"/>
                  <w10:wrap type="none"/>
                  <w10:anchorlock/>
                </v:shape>
                <o:OLEObject Type="Embed" ProgID="Equation.3" ShapeID="_x0000_i1051" DrawAspect="Content" ObjectID="_1468075751" r:id="rId64">
                  <o:LockedField>false</o:LockedField>
                </o:OLEObject>
              </w:object>
            </w:r>
            <w:r>
              <w:rPr>
                <w:rFonts w:cs="Arial"/>
              </w:rPr>
              <w:t xml:space="preserve"> is the limit specified in Table 6.5.2.1.1-1 for the modulation format used in the allocated RBs.</w:t>
            </w:r>
          </w:p>
          <w:p>
            <w:pPr>
              <w:pStyle w:val="118"/>
              <w:rPr>
                <w:rFonts w:cs="Arial"/>
              </w:rPr>
            </w:pPr>
            <w:r>
              <w:rPr>
                <w:rFonts w:cs="Arial"/>
              </w:rPr>
              <w:t>NOTE 9:</w:t>
            </w:r>
            <w:r>
              <w:rPr>
                <w:rFonts w:cs="Arial"/>
              </w:rPr>
              <w:tab/>
            </w:r>
            <w:r>
              <w:rPr>
                <w:rFonts w:cs="Arial"/>
                <w:position w:val="-10"/>
              </w:rPr>
              <w:object>
                <v:shape id="_x0000_i1052" o:spt="75" type="#_x0000_t75" style="height:15.25pt;width:20.2pt;" o:ole="t" filled="f" o:preferrelative="t" stroked="f" coordsize="21600,21600">
                  <v:path/>
                  <v:fill on="f" focussize="0,0"/>
                  <v:stroke on="f" joinstyle="miter"/>
                  <v:imagedata r:id="rId52" o:title=""/>
                  <o:lock v:ext="edit" aspectratio="t"/>
                  <w10:wrap type="none"/>
                  <w10:anchorlock/>
                </v:shape>
                <o:OLEObject Type="Embed" ProgID="Equation.3" ShapeID="_x0000_i1052" DrawAspect="Content" ObjectID="_1468075752" r:id="rId65">
                  <o:LockedField>false</o:LockedField>
                </o:OLEObject>
              </w:object>
            </w:r>
            <w:r>
              <w:rPr>
                <w:rFonts w:cs="Arial"/>
              </w:rPr>
              <w:t xml:space="preserve"> is the starting frequency offset between the allocated RB and the measured non-allocated RB (e.g. </w:t>
            </w:r>
            <w:r>
              <w:rPr>
                <w:rFonts w:cs="Arial"/>
                <w:position w:val="-10"/>
              </w:rPr>
              <w:object>
                <v:shape id="_x0000_i1053" o:spt="75" type="#_x0000_t75" style="height:17.45pt;width:37.65pt;" o:ole="t" filled="f" o:preferrelative="t" stroked="f" coordsize="21600,21600">
                  <v:path/>
                  <v:fill on="f" focussize="0,0"/>
                  <v:stroke on="f" joinstyle="miter"/>
                  <v:imagedata r:id="rId54" o:title=""/>
                  <o:lock v:ext="edit" aspectratio="t"/>
                  <w10:wrap type="none"/>
                  <w10:anchorlock/>
                </v:shape>
                <o:OLEObject Type="Embed" ProgID="Equation.3" ShapeID="_x0000_i1053" DrawAspect="Content" ObjectID="_1468075753" r:id="rId66">
                  <o:LockedField>false</o:LockedField>
                </o:OLEObject>
              </w:object>
            </w:r>
            <w:r>
              <w:rPr>
                <w:rFonts w:cs="Arial"/>
              </w:rPr>
              <w:t xml:space="preserve"> or </w:t>
            </w:r>
            <w:r>
              <w:rPr>
                <w:rFonts w:cs="Arial"/>
                <w:position w:val="-10"/>
              </w:rPr>
              <w:object>
                <v:shape id="_x0000_i1054" o:spt="75" type="#_x0000_t75" style="height:17.45pt;width:47.45pt;" o:ole="t" filled="f" o:preferrelative="t" stroked="f" coordsize="21600,21600">
                  <v:path/>
                  <v:fill on="f" focussize="0,0"/>
                  <v:stroke on="f" joinstyle="miter"/>
                  <v:imagedata r:id="rId56" o:title=""/>
                  <o:lock v:ext="edit" aspectratio="t"/>
                  <w10:wrap type="none"/>
                  <w10:anchorlock/>
                </v:shape>
                <o:OLEObject Type="Embed" ProgID="Equation.3" ShapeID="_x0000_i1054" DrawAspect="Content" ObjectID="_1468075754" r:id="rId67">
                  <o:LockedField>false</o:LockedField>
                </o:OLEObject>
              </w:object>
            </w:r>
            <w:r>
              <w:rPr>
                <w:rFonts w:cs="Arial"/>
              </w:rPr>
              <w:t xml:space="preserve"> for the first adjacent RB outside of the allocated bandwidth.</w:t>
            </w:r>
          </w:p>
          <w:p>
            <w:pPr>
              <w:pStyle w:val="118"/>
              <w:rPr>
                <w:rFonts w:cs="Arial"/>
              </w:rPr>
            </w:pPr>
            <w:r>
              <w:rPr>
                <w:rFonts w:cs="Arial"/>
              </w:rPr>
              <w:t>NOTE 10:</w:t>
            </w:r>
            <w:r>
              <w:rPr>
                <w:rFonts w:cs="Arial"/>
              </w:rPr>
              <w:tab/>
            </w:r>
            <w:r>
              <w:rPr>
                <w:rFonts w:cs="Arial"/>
                <w:position w:val="-10"/>
              </w:rPr>
              <w:object>
                <v:shape id="_x0000_i1055" o:spt="75" type="#_x0000_t75" style="height:17.45pt;width:19.65pt;" o:ole="t" filled="f" o:preferrelative="t" stroked="f" coordsize="21600,21600">
                  <v:path/>
                  <v:fill on="f" focussize="0,0"/>
                  <v:stroke on="f" joinstyle="miter"/>
                  <v:imagedata r:id="rId58" o:title=""/>
                  <o:lock v:ext="edit" aspectratio="t"/>
                  <w10:wrap type="none"/>
                  <w10:anchorlock/>
                </v:shape>
                <o:OLEObject Type="Embed" ProgID="Equation.3" ShapeID="_x0000_i1055" DrawAspect="Content" ObjectID="_1468075755" r:id="rId68">
                  <o:LockedField>false</o:LockedField>
                </o:OLEObject>
              </w:object>
            </w:r>
            <w:r>
              <w:rPr>
                <w:rFonts w:cs="Arial"/>
              </w:rPr>
              <w:t xml:space="preserve"> is the transmitted power per 180 kHz in allocated RBs, measured in dBm.</w:t>
            </w:r>
          </w:p>
          <w:p>
            <w:pPr>
              <w:keepNext/>
              <w:keepLines/>
              <w:spacing w:after="0"/>
              <w:ind w:left="851" w:hanging="851"/>
              <w:rPr>
                <w:rFonts w:ascii="Arial" w:hAnsi="Arial" w:cs="Arial"/>
                <w:sz w:val="18"/>
              </w:rPr>
            </w:pPr>
            <w:r>
              <w:rPr>
                <w:rFonts w:ascii="Arial" w:hAnsi="Arial" w:cs="Arial"/>
                <w:sz w:val="18"/>
              </w:rPr>
              <w:t>NOTE 11:</w:t>
            </w:r>
            <w:r>
              <w:rPr>
                <w:rFonts w:cs="Arial"/>
              </w:rPr>
              <w:tab/>
            </w:r>
            <w:r>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pPr>
              <w:keepNext/>
              <w:keepLines/>
              <w:spacing w:after="0"/>
              <w:ind w:left="851" w:hanging="851"/>
              <w:rPr>
                <w:rFonts w:ascii="Arial" w:hAnsi="Arial" w:cs="Arial"/>
                <w:sz w:val="18"/>
              </w:rPr>
            </w:pPr>
            <w:r>
              <w:rPr>
                <w:rFonts w:ascii="Arial" w:hAnsi="Arial" w:cs="Arial"/>
                <w:sz w:val="18"/>
              </w:rPr>
              <w:t>NOTE 12:</w:t>
            </w:r>
            <w:r>
              <w:rPr>
                <w:rFonts w:ascii="Arial" w:hAnsi="Arial" w:cs="Arial"/>
                <w:sz w:val="18"/>
              </w:rPr>
              <w:tab/>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r>
                <m:rPr/>
                <w:rPr>
                  <w:rFonts w:ascii="Cambria Math" w:hAnsi="Cambria Math" w:cs="Arial"/>
                  <w:lang w:eastAsia="ja-JP"/>
                </w:rPr>
                <m:t xml:space="preserve">=1 or </m:t>
              </m:r>
              <m:sSub>
                <m:sSubPr>
                  <m:ctrlPr>
                    <w:rPr>
                      <w:rFonts w:ascii="Cambria Math" w:hAnsi="Cambria Math" w:cs="Arial"/>
                      <w:i/>
                      <w:lang w:eastAsia="ja-JP"/>
                    </w:rPr>
                  </m:ctrlPr>
                </m:sSubPr>
                <m:e>
                  <m:r>
                    <m:rPr/>
                    <w:rPr>
                      <w:rFonts w:ascii="Cambria Math" w:hAnsi="Cambria Math" w:cs="Arial"/>
                      <w:lang w:eastAsia="ja-JP"/>
                    </w:rPr>
                    <m:t>∆</m:t>
                  </m:r>
                  <m:ctrlPr>
                    <w:rPr>
                      <w:rFonts w:ascii="Cambria Math" w:hAnsi="Cambria Math" w:cs="Arial"/>
                      <w:i/>
                      <w:lang w:eastAsia="ja-JP"/>
                    </w:rPr>
                  </m:ctrlPr>
                </m:e>
                <m:sub>
                  <m:r>
                    <m:rPr/>
                    <w:rPr>
                      <w:rFonts w:ascii="Cambria Math" w:hAnsi="Cambria Math" w:cs="Arial"/>
                      <w:lang w:eastAsia="ja-JP"/>
                    </w:rPr>
                    <m:t>SubG</m:t>
                  </m:r>
                  <m:ctrlPr>
                    <w:rPr>
                      <w:rFonts w:ascii="Cambria Math" w:hAnsi="Cambria Math" w:cs="Arial"/>
                      <w:i/>
                      <w:lang w:eastAsia="ja-JP"/>
                    </w:rPr>
                  </m:ctrlPr>
                </m:sub>
              </m:sSub>
            </m:oMath>
            <w:r>
              <w:rPr>
                <w:rFonts w:ascii="Arial" w:hAnsi="Arial" w:cs="Arial"/>
                <w:sz w:val="18"/>
              </w:rPr>
              <w:t xml:space="preserve"> =-1 for the first adjacent subcarrier group outside the allocated subcarrier group.)</w:t>
            </w:r>
          </w:p>
          <w:p>
            <w:pPr>
              <w:pStyle w:val="118"/>
              <w:rPr>
                <w:rFonts w:cs="Arial"/>
              </w:rPr>
            </w:pPr>
            <w:r>
              <w:rPr>
                <w:rFonts w:cs="Arial"/>
              </w:rPr>
              <w:t>NOTE 13:</w:t>
            </w:r>
            <w:r>
              <w:rPr>
                <w:rFonts w:cs="Arial"/>
              </w:rPr>
              <w:tab/>
            </w:r>
            <m:oMath>
              <m:sSub>
                <m:sSubPr>
                  <m:ctrlPr>
                    <w:rPr>
                      <w:rFonts w:ascii="Cambria Math" w:hAnsi="Cambria Math" w:cs="Arial"/>
                      <w:i/>
                      <w:lang w:eastAsia="ja-JP"/>
                    </w:rPr>
                  </m:ctrlPr>
                </m:sSubPr>
                <m:e>
                  <m:r>
                    <m:rPr/>
                    <w:rPr>
                      <w:rFonts w:ascii="Cambria Math" w:hAnsi="Cambria Math" w:cs="Arial"/>
                      <w:lang w:eastAsia="ja-JP"/>
                    </w:rPr>
                    <m:t>L</m:t>
                  </m:r>
                  <m:ctrlPr>
                    <w:rPr>
                      <w:rFonts w:ascii="Cambria Math" w:hAnsi="Cambria Math" w:cs="Arial"/>
                      <w:i/>
                      <w:lang w:eastAsia="ja-JP"/>
                    </w:rPr>
                  </m:ctrlPr>
                </m:e>
                <m:sub>
                  <m:r>
                    <m:rPr/>
                    <w:rPr>
                      <w:rFonts w:ascii="Cambria Math" w:hAnsi="Cambria Math" w:cs="Arial"/>
                      <w:lang w:eastAsia="ja-JP"/>
                    </w:rPr>
                    <m:t>SCG</m:t>
                  </m:r>
                  <m:ctrlPr>
                    <w:rPr>
                      <w:rFonts w:ascii="Cambria Math" w:hAnsi="Cambria Math" w:cs="Arial"/>
                      <w:i/>
                      <w:lang w:eastAsia="ja-JP"/>
                    </w:rPr>
                  </m:ctrlPr>
                </m:sub>
              </m:sSub>
            </m:oMath>
            <w:r>
              <w:rPr>
                <w:rFonts w:cs="Arial"/>
              </w:rPr>
              <w:t xml:space="preserve"> is the Transmission bandwidth (number of subcarrier group).</w:t>
            </w:r>
          </w:p>
        </w:tc>
      </w:tr>
    </w:tbl>
    <w:p/>
    <w:p>
      <w:pPr>
        <w:pStyle w:val="6"/>
        <w:rPr>
          <w:lang w:val="en-US"/>
        </w:rPr>
      </w:pPr>
      <w:bookmarkStart w:id="416" w:name="_Toc30799"/>
      <w:r>
        <w:t>6.4A.2.4</w:t>
      </w:r>
      <w:r>
        <w:tab/>
      </w:r>
      <w:r>
        <w:t>EVM equalizer spectrum flatness for category M1</w:t>
      </w:r>
      <w:bookmarkEnd w:id="416"/>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Pr>
        <w:pStyle w:val="9"/>
      </w:pPr>
      <w:r>
        <w:t>6.4A.2.4.1</w:t>
      </w:r>
      <w:r>
        <w:tab/>
      </w:r>
      <w:r>
        <w:t>Test purpose</w:t>
      </w:r>
    </w:p>
    <w:p>
      <w:r>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Pr>
          <w:rFonts w:eastAsia="×–¾’©‘Ì" w:cs="v5.0.0"/>
        </w:rPr>
        <w:t xml:space="preserve">peak-to-peak ripple of the equalizer coefficients (dB) across the allocated uplink block </w:t>
      </w:r>
      <w:r>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pPr>
        <w:pStyle w:val="9"/>
      </w:pPr>
      <w:r>
        <w:t>6.4A.2.4.2</w:t>
      </w:r>
      <w:r>
        <w:tab/>
      </w:r>
      <w: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pPr>
      <w:r>
        <w:t>6.4A.2.4.3</w:t>
      </w:r>
      <w:r>
        <w:tab/>
      </w:r>
      <w:r>
        <w:t>Minimum conformance requirements</w:t>
      </w:r>
    </w:p>
    <w:p>
      <w:pPr>
        <w:rPr>
          <w:rFonts w:cs="v5.0.0"/>
        </w:rPr>
      </w:pPr>
      <w:r>
        <w:t xml:space="preserve">Same minimum conformance requirements as in TS 36.521-1[14] clause 6.5.2.4.3 </w:t>
      </w:r>
    </w:p>
    <w:p>
      <w:pPr>
        <w:pStyle w:val="9"/>
      </w:pPr>
      <w:r>
        <w:t>6.4A.2.4.4</w:t>
      </w:r>
      <w:r>
        <w:tab/>
      </w:r>
      <w:r>
        <w:t>Test description</w:t>
      </w:r>
    </w:p>
    <w:p>
      <w:pPr>
        <w:pStyle w:val="9"/>
      </w:pPr>
      <w:r>
        <w:t>6.4A.2.4.4.1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test frequencies, and channel bandwidths based on E-UTRA bands specified in table 5.2A. All of these configurations shall be tested with applicable test parameters are shown in table 6.4A.2.4.4.1-1. The details of the uplink reference measurement channels (RMCs) are specified in TS Annex A.2. </w:t>
      </w:r>
      <w:r>
        <w:rPr>
          <w:rFonts w:cs="v5.0.0"/>
        </w:rPr>
        <w:t>Configurations of PDSCH and PDCCH before measurement are specified in</w:t>
      </w:r>
      <w:r>
        <w:t xml:space="preserve"> </w:t>
      </w:r>
      <w:r>
        <w:rPr>
          <w:rFonts w:cs="v5.0.0"/>
        </w:rPr>
        <w:t>Annex C.2.</w:t>
      </w:r>
    </w:p>
    <w:p>
      <w:pPr>
        <w:pStyle w:val="113"/>
      </w:pPr>
      <w:r>
        <w:t>Table 6.4A.2.4.</w:t>
      </w:r>
      <w:r>
        <w:rPr>
          <w:rFonts w:eastAsia="MS Mincho"/>
        </w:rPr>
        <w:t>4.</w:t>
      </w:r>
      <w:r>
        <w:t>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931"/>
        <w:gridCol w:w="1731"/>
        <w:gridCol w:w="34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t>Test Environment</w:t>
            </w:r>
          </w:p>
          <w:p>
            <w:pPr>
              <w:pStyle w:val="103"/>
            </w:pPr>
            <w:r>
              <w:t>(as specified in TS 36.508 [12] subclause 4.1)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rPr>
                <w:bCs/>
              </w:rPr>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rPr>
                <w:bCs/>
              </w:rPr>
              <w:t>Test Frequencies</w:t>
            </w:r>
          </w:p>
          <w:p>
            <w:pPr>
              <w:pStyle w:val="103"/>
            </w:pPr>
            <w:r>
              <w:t>(as specified in TS36.508 [12] subclause 4.3.1)</w:t>
            </w:r>
          </w:p>
        </w:tc>
        <w:tc>
          <w:tcPr>
            <w:tcW w:w="5230" w:type="dxa"/>
            <w:gridSpan w:val="2"/>
            <w:tcBorders>
              <w:top w:val="single" w:color="auto" w:sz="4" w:space="0"/>
              <w:left w:val="single" w:color="auto" w:sz="4" w:space="0"/>
              <w:bottom w:val="single" w:color="auto" w:sz="4" w:space="0"/>
              <w:right w:val="single" w:color="auto" w:sz="4" w:space="0"/>
            </w:tcBorders>
          </w:tcPr>
          <w:p>
            <w:pPr>
              <w:pStyle w:val="103"/>
              <w:rPr>
                <w:bCs/>
              </w:rPr>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096" w:type="dxa"/>
            <w:gridSpan w:val="2"/>
            <w:tcBorders>
              <w:top w:val="single" w:color="auto" w:sz="4" w:space="0"/>
              <w:left w:val="single" w:color="auto" w:sz="4" w:space="0"/>
              <w:bottom w:val="single" w:color="auto" w:sz="4" w:space="0"/>
              <w:right w:val="single" w:color="auto" w:sz="4" w:space="0"/>
            </w:tcBorders>
          </w:tcPr>
          <w:p>
            <w:pPr>
              <w:pStyle w:val="103"/>
            </w:pPr>
            <w:r>
              <w:rPr>
                <w:bCs/>
              </w:rPr>
              <w:t>Test Channel Bandwidths</w:t>
            </w:r>
          </w:p>
          <w:p>
            <w:pPr>
              <w:pStyle w:val="103"/>
            </w:pPr>
            <w:r>
              <w:t>(as specified in TS 36.508 [12] subclause 4.3.1)</w:t>
            </w:r>
          </w:p>
        </w:tc>
        <w:tc>
          <w:tcPr>
            <w:tcW w:w="5230" w:type="dxa"/>
            <w:gridSpan w:val="2"/>
            <w:tcBorders>
              <w:top w:val="single" w:color="auto" w:sz="4" w:space="0"/>
              <w:left w:val="single" w:color="auto" w:sz="4" w:space="0"/>
              <w:bottom w:val="single" w:color="auto" w:sz="4" w:space="0"/>
              <w:right w:val="single" w:color="auto" w:sz="4" w:space="0"/>
            </w:tcBorders>
            <w:vAlign w:val="center"/>
          </w:tcPr>
          <w:p>
            <w:pPr>
              <w:pStyle w:val="103"/>
              <w:rPr>
                <w:bCs/>
              </w:rPr>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4"/>
            <w:tcBorders>
              <w:top w:val="single" w:color="auto" w:sz="4" w:space="0"/>
              <w:left w:val="single" w:color="auto" w:sz="4" w:space="0"/>
              <w:bottom w:val="single" w:color="auto" w:sz="4" w:space="0"/>
              <w:right w:val="single" w:color="auto" w:sz="4" w:space="0"/>
            </w:tcBorders>
          </w:tcPr>
          <w:p>
            <w:pPr>
              <w:pStyle w:val="104"/>
            </w:pPr>
            <w: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3"/>
            </w:pPr>
          </w:p>
        </w:tc>
        <w:tc>
          <w:tcPr>
            <w:tcW w:w="2931" w:type="dxa"/>
            <w:tcBorders>
              <w:top w:val="single" w:color="auto" w:sz="4" w:space="0"/>
              <w:left w:val="single" w:color="auto" w:sz="4" w:space="0"/>
              <w:bottom w:val="single" w:color="auto" w:sz="4" w:space="0"/>
              <w:right w:val="single" w:color="auto" w:sz="4" w:space="0"/>
            </w:tcBorders>
          </w:tcPr>
          <w:p>
            <w:pPr>
              <w:pStyle w:val="104"/>
            </w:pPr>
            <w:r>
              <w:t>Downlink Configuration</w:t>
            </w:r>
          </w:p>
        </w:tc>
        <w:tc>
          <w:tcPr>
            <w:tcW w:w="5230" w:type="dxa"/>
            <w:gridSpan w:val="2"/>
            <w:tcBorders>
              <w:top w:val="single" w:color="auto" w:sz="4" w:space="0"/>
              <w:left w:val="single" w:color="auto" w:sz="4" w:space="0"/>
              <w:bottom w:val="single" w:color="auto" w:sz="4" w:space="0"/>
              <w:right w:val="single" w:color="auto" w:sz="4" w:space="0"/>
            </w:tcBorders>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Ch BW</w:t>
            </w:r>
          </w:p>
        </w:tc>
        <w:tc>
          <w:tcPr>
            <w:tcW w:w="2931" w:type="dxa"/>
            <w:vMerge w:val="restart"/>
            <w:tcBorders>
              <w:top w:val="single" w:color="auto" w:sz="4" w:space="0"/>
              <w:left w:val="single" w:color="auto" w:sz="4" w:space="0"/>
              <w:right w:val="single" w:color="auto" w:sz="4" w:space="0"/>
            </w:tcBorders>
          </w:tcPr>
          <w:p>
            <w:pPr>
              <w:pStyle w:val="105"/>
            </w:pPr>
            <w:r>
              <w:t>N/A for EVM equalizer spectrum flatness testing</w:t>
            </w:r>
          </w:p>
        </w:tc>
        <w:tc>
          <w:tcPr>
            <w:tcW w:w="1731" w:type="dxa"/>
            <w:tcBorders>
              <w:top w:val="single" w:color="auto" w:sz="4" w:space="0"/>
              <w:left w:val="single" w:color="auto" w:sz="4" w:space="0"/>
              <w:bottom w:val="single" w:color="auto" w:sz="4" w:space="0"/>
              <w:right w:val="single" w:color="auto" w:sz="4" w:space="0"/>
            </w:tcBorders>
          </w:tcPr>
          <w:p>
            <w:pPr>
              <w:pStyle w:val="105"/>
            </w:pPr>
            <w:r>
              <w:t>Mod'n</w:t>
            </w:r>
          </w:p>
        </w:tc>
        <w:tc>
          <w:tcPr>
            <w:tcW w:w="3499" w:type="dxa"/>
            <w:tcBorders>
              <w:top w:val="single" w:color="auto" w:sz="4" w:space="0"/>
              <w:left w:val="single" w:color="auto" w:sz="4" w:space="0"/>
              <w:bottom w:val="single" w:color="auto" w:sz="4" w:space="0"/>
              <w:right w:val="single" w:color="auto" w:sz="4" w:space="0"/>
            </w:tcBorders>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p>
        </w:tc>
        <w:tc>
          <w:tcPr>
            <w:tcW w:w="2931" w:type="dxa"/>
            <w:vMerge w:val="continue"/>
            <w:tcBorders>
              <w:left w:val="single" w:color="auto" w:sz="4" w:space="0"/>
              <w:right w:val="single" w:color="auto" w:sz="4" w:space="0"/>
            </w:tcBorders>
            <w:vAlign w:val="center"/>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p>
        </w:tc>
        <w:tc>
          <w:tcPr>
            <w:tcW w:w="3499" w:type="dxa"/>
            <w:tcBorders>
              <w:top w:val="single" w:color="auto" w:sz="4" w:space="0"/>
              <w:left w:val="single" w:color="auto" w:sz="4" w:space="0"/>
              <w:bottom w:val="single" w:color="auto" w:sz="4" w:space="0"/>
              <w:right w:val="single" w:color="auto" w:sz="4" w:space="0"/>
            </w:tcBorders>
          </w:tcPr>
          <w:p>
            <w:pPr>
              <w:pStyle w:val="105"/>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pStyle w:val="105"/>
            </w:pPr>
            <w:r>
              <w:t>1.4MHz</w:t>
            </w:r>
          </w:p>
        </w:tc>
        <w:tc>
          <w:tcPr>
            <w:tcW w:w="2931" w:type="dxa"/>
            <w:vMerge w:val="continue"/>
            <w:tcBorders>
              <w:left w:val="single" w:color="auto" w:sz="4" w:space="0"/>
              <w:right w:val="single" w:color="auto" w:sz="4" w:space="0"/>
            </w:tcBorders>
          </w:tcPr>
          <w:p>
            <w:pPr>
              <w:spacing w:after="0"/>
              <w:rPr>
                <w:rFonts w:ascii="Arial" w:hAnsi="Arial"/>
                <w:sz w:val="18"/>
              </w:rPr>
            </w:pPr>
          </w:p>
        </w:tc>
        <w:tc>
          <w:tcPr>
            <w:tcW w:w="1731" w:type="dxa"/>
            <w:tcBorders>
              <w:top w:val="single" w:color="auto" w:sz="4" w:space="0"/>
              <w:left w:val="single" w:color="auto" w:sz="4" w:space="0"/>
              <w:bottom w:val="single" w:color="auto" w:sz="4" w:space="0"/>
              <w:right w:val="single" w:color="auto" w:sz="4" w:space="0"/>
            </w:tcBorders>
          </w:tcPr>
          <w:p>
            <w:pPr>
              <w:pStyle w:val="105"/>
            </w:pPr>
            <w:r>
              <w:t>QPSK</w:t>
            </w:r>
          </w:p>
        </w:tc>
        <w:tc>
          <w:tcPr>
            <w:tcW w:w="3499" w:type="dxa"/>
            <w:tcBorders>
              <w:top w:val="single" w:color="auto" w:sz="4" w:space="0"/>
              <w:left w:val="single" w:color="auto" w:sz="4" w:space="0"/>
              <w:bottom w:val="single" w:color="auto" w:sz="4" w:space="0"/>
              <w:right w:val="single" w:color="auto" w:sz="4" w:space="0"/>
            </w:tcBorders>
          </w:tcPr>
          <w:p>
            <w:pPr>
              <w:pStyle w:val="105"/>
            </w:pPr>
            <w:r>
              <w:t>6</w:t>
            </w:r>
          </w:p>
        </w:tc>
      </w:tr>
    </w:tbl>
    <w:p>
      <w:pPr>
        <w:rPr>
          <w:rFonts w:cs="v5.0.0"/>
        </w:rPr>
      </w:pP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antenna connectors as shown in TS 36.508 [12]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6.4A.2.4.4.1-1.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Ensure the UE is in State 3A-RF-CE according to TS 36.508 [12] clause 5.2A.2AA. Message contents are defined in clause 6.4A.2.4.4.3.</w:t>
      </w:r>
    </w:p>
    <w:p>
      <w:pPr>
        <w:pStyle w:val="9"/>
      </w:pPr>
      <w:r>
        <w:t>6.4A.2.4.4.2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6.4A.2.4.4.1-1.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w:t>
      </w:r>
      <w:r>
        <w:rPr>
          <w:rFonts w:hint="eastAsia"/>
          <w:vertAlign w:val="baseline"/>
          <w:lang w:eastAsia="en-GB"/>
        </w:rPr>
        <w:t xml:space="preserve">UMAX </w:t>
      </w:r>
      <w:r>
        <w:rPr>
          <w:rFonts w:hint="eastAsia"/>
          <w:lang w:eastAsia="en-GB"/>
        </w:rPr>
        <w:t>level.</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Measure spectrum flatness using Global In-Channel Tx-Test (Annex E). For HD-FDD slots with transient periods are not under test. Half-duplex guard sub frame is not under test.</w:t>
      </w:r>
    </w:p>
    <w:p/>
    <w:p>
      <w:pPr>
        <w:pStyle w:val="9"/>
      </w:pPr>
      <w:r>
        <w:t>6.4A.2.4.4.3</w:t>
      </w:r>
      <w:r>
        <w:tab/>
      </w:r>
      <w:r>
        <w:t>Message contents</w:t>
      </w:r>
    </w:p>
    <w:p>
      <w:r>
        <w:t>Message contents are according to TS 36.508 [12] subclause 4.6 with the condition CEModeA.</w:t>
      </w:r>
    </w:p>
    <w:p>
      <w:pPr>
        <w:pStyle w:val="9"/>
      </w:pPr>
      <w:r>
        <w:t>6.4A.2.4.5</w:t>
      </w:r>
      <w:r>
        <w:tab/>
      </w:r>
      <w:r>
        <w:t>Test requirement</w:t>
      </w:r>
    </w:p>
    <w:p>
      <w:pPr>
        <w:rPr>
          <w:rFonts w:cs="v5.0.0"/>
        </w:rPr>
      </w:pPr>
      <w:r>
        <w:t>Each of the 20 spectrum flatness functions, shall derive four ripple results in Annex E.4.4, The derived results shall not exceed the values in Figure 6.4A.2.4.5-1</w:t>
      </w:r>
      <w:r>
        <w:rPr>
          <w:rFonts w:cs="v5.0.0"/>
        </w:rPr>
        <w:t>:</w:t>
      </w:r>
    </w:p>
    <w:p>
      <w:pPr>
        <w:rPr>
          <w:rFonts w:cs="v5.0.0"/>
        </w:rPr>
      </w:pPr>
      <w:r>
        <w:rPr>
          <w:rFonts w:ascii="宋体" w:hAnsi="宋体" w:cs="v5.0.0"/>
        </w:rPr>
        <w:t>F</w:t>
      </w:r>
      <w:r>
        <w:rPr>
          <w:rFonts w:eastAsia="×–¾’©‘Ì" w:cs="v5.0.0"/>
        </w:rPr>
        <w:t>or normal conditions</w:t>
      </w:r>
      <w:r>
        <w:rPr>
          <w:rFonts w:cs="v5.0.0"/>
        </w:rPr>
        <w:t>,</w:t>
      </w:r>
      <w:r>
        <w:rPr>
          <w:rFonts w:eastAsia="×–¾’©‘Ì" w:cs="v5.0.0"/>
        </w:rPr>
        <w:t xml:space="preserve"> the maximum ripple in </w:t>
      </w:r>
      <w:r>
        <w:rPr>
          <w:rFonts w:cs="v5.0.0"/>
        </w:rPr>
        <w:t xml:space="preserve">Range 1 and Range 2 shall not exceed the values specified in Table 6.4A.2.4.5-1 </w:t>
      </w:r>
      <w:r>
        <w:rPr>
          <w:rFonts w:eastAsia="×–¾’©‘Ì" w:cs="v5.0.0"/>
        </w:rPr>
        <w:t>and the following additional requirement:</w:t>
      </w:r>
      <w:r>
        <w:rPr>
          <w:rFonts w:eastAsia="?? ??"/>
        </w:rPr>
        <w:t xml:space="preserve"> the relative difference between the maximum coefficient in Range 1 and the minimum coefficient in Range 2 must not be larger than </w:t>
      </w:r>
      <w:r>
        <w:t>6.4</w:t>
      </w:r>
      <w:r>
        <w:rPr>
          <w:rFonts w:eastAsia="?? ??"/>
        </w:rPr>
        <w:t xml:space="preserve"> dB, and the relative difference between the maximum coefficient in Range 2 and the minimum coefficient in Range 1 must not be larger than </w:t>
      </w:r>
      <w:r>
        <w:t>8.4</w:t>
      </w:r>
      <w:r>
        <w:rPr>
          <w:rFonts w:eastAsia="?? ??"/>
        </w:rPr>
        <w:t xml:space="preserve"> dB (see Figure 6.4A.2.4.</w:t>
      </w:r>
      <w:r>
        <w:t>5</w:t>
      </w:r>
      <w:r>
        <w:rPr>
          <w:rFonts w:eastAsia="?? ??"/>
        </w:rPr>
        <w:t>-1)</w:t>
      </w:r>
      <w:r>
        <w:rPr>
          <w:rFonts w:eastAsia="×–¾’©‘Ì" w:cs="v5.0.0"/>
        </w:rPr>
        <w:t>.</w:t>
      </w:r>
    </w:p>
    <w:p>
      <w:pPr>
        <w:rPr>
          <w:rFonts w:cs="v5.0.0"/>
        </w:rPr>
      </w:pPr>
      <w:r>
        <w:rPr>
          <w:rFonts w:ascii="宋体" w:hAnsi="宋体" w:cs="v5.0.0"/>
        </w:rPr>
        <w:t>F</w:t>
      </w:r>
      <w:r>
        <w:rPr>
          <w:rFonts w:eastAsia="×–¾’©‘Ì" w:cs="v5.0.0"/>
        </w:rPr>
        <w:t xml:space="preserve">or </w:t>
      </w:r>
      <w:r>
        <w:rPr>
          <w:rFonts w:cs="v5.0.0"/>
        </w:rPr>
        <w:t>extreme</w:t>
      </w:r>
      <w:r>
        <w:rPr>
          <w:rFonts w:eastAsia="×–¾’©‘Ì" w:cs="v5.0.0"/>
        </w:rPr>
        <w:t xml:space="preserve"> conditions</w:t>
      </w:r>
      <w:r>
        <w:rPr>
          <w:rFonts w:cs="v5.0.0"/>
        </w:rPr>
        <w:t>,</w:t>
      </w:r>
      <w:r>
        <w:rPr>
          <w:rFonts w:eastAsia="×–¾’©‘Ì" w:cs="v5.0.0"/>
        </w:rPr>
        <w:t xml:space="preserve"> the maximum ripple in </w:t>
      </w:r>
      <w:r>
        <w:rPr>
          <w:rFonts w:cs="v5.0.0"/>
        </w:rPr>
        <w:t xml:space="preserve">Range 1 and Range 2 shall not exceed the values specified in Table 6.4A.2.4.5-2 </w:t>
      </w:r>
      <w:r>
        <w:rPr>
          <w:rFonts w:eastAsia="×–¾’©‘Ì" w:cs="v5.0.0"/>
        </w:rPr>
        <w:t>and the following additional requirement:</w:t>
      </w:r>
      <w:r>
        <w:rPr>
          <w:rFonts w:eastAsia="?? ??"/>
        </w:rPr>
        <w:t xml:space="preserve"> the relative difference between the maximum coefficient in Range 1 and the minimum coefficient in Range 2 must not be larger than </w:t>
      </w:r>
      <w:r>
        <w:t>7.4</w:t>
      </w:r>
      <w:r>
        <w:rPr>
          <w:rFonts w:eastAsia="?? ??"/>
        </w:rPr>
        <w:t xml:space="preserve"> dB, and the relative difference between the maximum coefficient in Range 2 and the minimum coefficient in Range 1 must not be larger than </w:t>
      </w:r>
      <w:r>
        <w:t>11.4</w:t>
      </w:r>
      <w:r>
        <w:rPr>
          <w:rFonts w:eastAsia="?? ??"/>
        </w:rPr>
        <w:t xml:space="preserve"> dB (see Figure 6.4A.2.4.</w:t>
      </w:r>
      <w:r>
        <w:t>5</w:t>
      </w:r>
      <w:r>
        <w:rPr>
          <w:rFonts w:eastAsia="?? ??"/>
        </w:rPr>
        <w:t>-1)</w:t>
      </w:r>
      <w:r>
        <w:rPr>
          <w:rFonts w:eastAsia="×–¾’©‘Ì" w:cs="v5.0.0"/>
        </w:rPr>
        <w:t>.</w:t>
      </w:r>
    </w:p>
    <w:p>
      <w:pPr>
        <w:pStyle w:val="113"/>
      </w:pPr>
      <w:r>
        <w:rPr>
          <w:rFonts w:eastAsia="Osaka"/>
        </w:rPr>
        <w:t>Table 6.4A.2.4.</w:t>
      </w:r>
      <w:r>
        <w:t>5</w:t>
      </w:r>
      <w:r>
        <w:rPr>
          <w:rFonts w:eastAsia="Osaka"/>
        </w:rPr>
        <w:t>-1: Test requirements for</w:t>
      </w:r>
      <w:r>
        <w:t xml:space="preserve"> </w:t>
      </w:r>
      <w:r>
        <w:rPr>
          <w:rFonts w:eastAsia="Osaka"/>
        </w:rPr>
        <w:t>EVM equalizer spectrum flatness (normal conditions)</w:t>
      </w:r>
    </w:p>
    <w:tbl>
      <w:tblPr>
        <w:tblStyle w:val="89"/>
        <w:tblW w:w="739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123" w:type="dxa"/>
          </w:tcPr>
          <w:p>
            <w:pPr>
              <w:pStyle w:val="104"/>
            </w:pPr>
            <w:r>
              <w:rPr>
                <w:rFonts w:cs="v5.0.0"/>
              </w:rPr>
              <w:br w:type="page"/>
            </w:r>
            <w:r>
              <w:rPr>
                <w:rFonts w:cs="v5.0.0"/>
              </w:rPr>
              <w:t>Frequency Range</w:t>
            </w:r>
          </w:p>
        </w:tc>
        <w:tc>
          <w:tcPr>
            <w:tcW w:w="2268" w:type="dxa"/>
          </w:tcPr>
          <w:p>
            <w:pPr>
              <w:pStyle w:val="104"/>
            </w:pPr>
            <w:r>
              <w:rPr>
                <w:rFonts w:cs="v5.0.0"/>
              </w:rPr>
              <w:t>Maximum Ripple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 3 MHz and F</w:t>
            </w:r>
            <w:r>
              <w:rPr>
                <w:vertAlign w:val="subscript"/>
              </w:rPr>
              <w:t xml:space="preserve">UL_High </w:t>
            </w:r>
            <w:r>
              <w:t>– F</w:t>
            </w:r>
            <w:r>
              <w:rPr>
                <w:vertAlign w:val="subscript"/>
              </w:rPr>
              <w:t xml:space="preserve">UL_Meas </w:t>
            </w:r>
            <w:r>
              <w:t>≥ 3 MHz</w:t>
            </w:r>
          </w:p>
          <w:p>
            <w:pPr>
              <w:pStyle w:val="105"/>
            </w:pPr>
            <w:r>
              <w:t>(Range 1)</w:t>
            </w:r>
          </w:p>
        </w:tc>
        <w:tc>
          <w:tcPr>
            <w:tcW w:w="2268" w:type="dxa"/>
          </w:tcPr>
          <w:p>
            <w:pPr>
              <w:pStyle w:val="105"/>
            </w:pPr>
            <w:r>
              <w:rPr>
                <w:rFonts w:cs="v5.0.0"/>
              </w:rPr>
              <w:t>5.4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5123" w:type="dxa"/>
          </w:tcPr>
          <w:p>
            <w:pPr>
              <w:pStyle w:val="105"/>
            </w:pPr>
            <w:r>
              <w:t>F</w:t>
            </w:r>
            <w:r>
              <w:rPr>
                <w:vertAlign w:val="subscript"/>
              </w:rPr>
              <w:t xml:space="preserve">UL_Meas </w:t>
            </w:r>
            <w:r>
              <w:t>– F</w:t>
            </w:r>
            <w:r>
              <w:rPr>
                <w:vertAlign w:val="subscript"/>
              </w:rPr>
              <w:t xml:space="preserve">UL_Low </w:t>
            </w:r>
            <w:r>
              <w:t>&lt; 3 MHz or F</w:t>
            </w:r>
            <w:r>
              <w:rPr>
                <w:vertAlign w:val="subscript"/>
              </w:rPr>
              <w:t>UL_High</w:t>
            </w:r>
            <w:r>
              <w:t xml:space="preserve"> – F</w:t>
            </w:r>
            <w:r>
              <w:rPr>
                <w:vertAlign w:val="subscript"/>
              </w:rPr>
              <w:t xml:space="preserve">UL_Meas </w:t>
            </w:r>
            <w:r>
              <w:t>&lt; 3 MHz</w:t>
            </w:r>
          </w:p>
          <w:p>
            <w:pPr>
              <w:pStyle w:val="105"/>
            </w:pPr>
            <w:r>
              <w:t>(Range 2)</w:t>
            </w:r>
          </w:p>
        </w:tc>
        <w:tc>
          <w:tcPr>
            <w:tcW w:w="2268" w:type="dxa"/>
          </w:tcPr>
          <w:p>
            <w:pPr>
              <w:pStyle w:val="105"/>
            </w:pPr>
            <w:r>
              <w:rPr>
                <w:rFonts w:cs="v5.0.0"/>
              </w:rPr>
              <w:t>9.4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1" w:type="dxa"/>
            <w:gridSpan w:val="2"/>
          </w:tcPr>
          <w:p>
            <w:pPr>
              <w:pStyle w:val="118"/>
            </w:pPr>
            <w:r>
              <w:t>Note 1:</w:t>
            </w:r>
            <w:r>
              <w:tab/>
            </w:r>
            <w:r>
              <w:t>F</w:t>
            </w:r>
            <w:r>
              <w:rPr>
                <w:vertAlign w:val="subscript"/>
              </w:rPr>
              <w:t xml:space="preserve">UL_Meas </w:t>
            </w:r>
            <w:r>
              <w:t>refers to the sub-carrier frequency for which the equalizer coefficient is evaluated</w:t>
            </w:r>
          </w:p>
          <w:p>
            <w:pPr>
              <w:pStyle w:val="118"/>
            </w:pPr>
            <w:r>
              <w:t>Note 2:</w:t>
            </w:r>
            <w:r>
              <w:tab/>
            </w:r>
            <w:r>
              <w:t>F</w:t>
            </w:r>
            <w:r>
              <w:rPr>
                <w:vertAlign w:val="subscript"/>
              </w:rPr>
              <w:t>UL_Low</w:t>
            </w:r>
            <w:r>
              <w:t xml:space="preserve"> and F</w:t>
            </w:r>
            <w:r>
              <w:rPr>
                <w:vertAlign w:val="subscript"/>
              </w:rPr>
              <w:t>UL_High</w:t>
            </w:r>
            <w:r>
              <w:t xml:space="preserve"> refer to each E-UTRA frequency band specified in Table 5.2-1</w:t>
            </w:r>
          </w:p>
        </w:tc>
      </w:tr>
    </w:tbl>
    <w:p/>
    <w:p>
      <w:pPr>
        <w:pStyle w:val="113"/>
      </w:pPr>
      <w:r>
        <w:rPr>
          <w:rFonts w:eastAsia="Osaka"/>
        </w:rPr>
        <w:t>Table 6.4A.2.4.</w:t>
      </w:r>
      <w:r>
        <w:t>5</w:t>
      </w:r>
      <w:r>
        <w:rPr>
          <w:rFonts w:eastAsia="Osaka"/>
        </w:rPr>
        <w:t>-2: Test requirements for spectrum flatness (extreme conditions)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23"/>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4"/>
            </w:pPr>
            <w:r>
              <w:rPr>
                <w:rFonts w:cs="v5.0.0"/>
              </w:rPr>
              <w:br w:type="page"/>
            </w:r>
            <w:r>
              <w:rPr>
                <w:rFonts w:cs="v5.0.0"/>
              </w:rPr>
              <w:t>Frequency Range</w:t>
            </w:r>
          </w:p>
        </w:tc>
        <w:tc>
          <w:tcPr>
            <w:tcW w:w="2268" w:type="dxa"/>
          </w:tcPr>
          <w:p>
            <w:pPr>
              <w:pStyle w:val="104"/>
            </w:pPr>
            <w:r>
              <w:rPr>
                <w:rFonts w:cs="v5.0.0"/>
              </w:rPr>
              <w:t>Maximum Ripple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 5 MHz and F</w:t>
            </w:r>
            <w:r>
              <w:rPr>
                <w:vertAlign w:val="subscript"/>
              </w:rPr>
              <w:t xml:space="preserve">UL_High </w:t>
            </w:r>
            <w:r>
              <w:t>– F</w:t>
            </w:r>
            <w:r>
              <w:rPr>
                <w:vertAlign w:val="subscript"/>
              </w:rPr>
              <w:t xml:space="preserve">UL_Meas </w:t>
            </w:r>
            <w:r>
              <w:t>≥ 5 MHz</w:t>
            </w:r>
          </w:p>
          <w:p>
            <w:pPr>
              <w:pStyle w:val="105"/>
            </w:pPr>
            <w:r>
              <w:t>(Range 1)</w:t>
            </w:r>
          </w:p>
        </w:tc>
        <w:tc>
          <w:tcPr>
            <w:tcW w:w="2268" w:type="dxa"/>
          </w:tcPr>
          <w:p>
            <w:pPr>
              <w:pStyle w:val="105"/>
            </w:pPr>
            <w:r>
              <w:rPr>
                <w:rFonts w:cs="v5.0.0"/>
              </w:rPr>
              <w:t>5.4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23" w:type="dxa"/>
          </w:tcPr>
          <w:p>
            <w:pPr>
              <w:pStyle w:val="105"/>
            </w:pPr>
            <w:r>
              <w:t>F</w:t>
            </w:r>
            <w:r>
              <w:rPr>
                <w:vertAlign w:val="subscript"/>
              </w:rPr>
              <w:t xml:space="preserve">UL_Meas </w:t>
            </w:r>
            <w:r>
              <w:t>– F</w:t>
            </w:r>
            <w:r>
              <w:rPr>
                <w:vertAlign w:val="subscript"/>
              </w:rPr>
              <w:t xml:space="preserve">UL_Low </w:t>
            </w:r>
            <w:r>
              <w:t>&lt; 5 MHz or F</w:t>
            </w:r>
            <w:r>
              <w:rPr>
                <w:vertAlign w:val="subscript"/>
              </w:rPr>
              <w:t>UL_High</w:t>
            </w:r>
            <w:r>
              <w:t xml:space="preserve"> – F</w:t>
            </w:r>
            <w:r>
              <w:rPr>
                <w:vertAlign w:val="subscript"/>
              </w:rPr>
              <w:t xml:space="preserve">UL_Meas </w:t>
            </w:r>
            <w:r>
              <w:t>&lt; 5 MHz</w:t>
            </w:r>
          </w:p>
          <w:p>
            <w:pPr>
              <w:pStyle w:val="105"/>
            </w:pPr>
            <w:r>
              <w:t>(Range 2)</w:t>
            </w:r>
          </w:p>
        </w:tc>
        <w:tc>
          <w:tcPr>
            <w:tcW w:w="2268" w:type="dxa"/>
          </w:tcPr>
          <w:p>
            <w:pPr>
              <w:pStyle w:val="105"/>
            </w:pPr>
            <w:r>
              <w:rPr>
                <w:rFonts w:cs="v5.0.0"/>
              </w:rPr>
              <w:t>13.4 (p-p)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7391" w:type="dxa"/>
            <w:gridSpan w:val="2"/>
          </w:tcPr>
          <w:p>
            <w:pPr>
              <w:pStyle w:val="118"/>
            </w:pPr>
            <w:r>
              <w:t>Note 1:</w:t>
            </w:r>
            <w:r>
              <w:tab/>
            </w:r>
            <w:r>
              <w:t>F</w:t>
            </w:r>
            <w:r>
              <w:rPr>
                <w:vertAlign w:val="subscript"/>
              </w:rPr>
              <w:t xml:space="preserve">UL_Meas </w:t>
            </w:r>
            <w:r>
              <w:t>refers to the sub-carrier frequency for which the equalizer coefficient is evaluated</w:t>
            </w:r>
          </w:p>
          <w:p>
            <w:pPr>
              <w:pStyle w:val="118"/>
            </w:pPr>
            <w:r>
              <w:t>Note 2:</w:t>
            </w:r>
            <w:r>
              <w:tab/>
            </w:r>
            <w:r>
              <w:t>F</w:t>
            </w:r>
            <w:r>
              <w:rPr>
                <w:vertAlign w:val="subscript"/>
              </w:rPr>
              <w:t>UL_Low</w:t>
            </w:r>
            <w:r>
              <w:t xml:space="preserve"> and F</w:t>
            </w:r>
            <w:r>
              <w:rPr>
                <w:vertAlign w:val="subscript"/>
              </w:rPr>
              <w:t>UL_High</w:t>
            </w:r>
            <w:r>
              <w:t xml:space="preserve"> refer to each E-UTRA frequency band specified in Table 5.2-1</w:t>
            </w:r>
          </w:p>
        </w:tc>
      </w:tr>
    </w:tbl>
    <w:p/>
    <w:p>
      <w:pPr>
        <w:pStyle w:val="113"/>
      </w:pPr>
      <w:r>
        <w:object>
          <v:shape id="_x0000_i1056" o:spt="75" type="#_x0000_t75" style="height:154.9pt;width:453.25pt;" o:ole="t" filled="f" o:preferrelative="t" stroked="f" coordsize="21600,21600">
            <v:path/>
            <v:fill on="f" focussize="0,0"/>
            <v:stroke on="f" joinstyle="miter"/>
            <v:imagedata r:id="rId70" o:title=""/>
            <o:lock v:ext="edit" aspectratio="t"/>
            <w10:wrap type="none"/>
            <w10:anchorlock/>
          </v:shape>
          <o:OLEObject Type="Embed" ProgID="Word.Picture.8" ShapeID="_x0000_i1056" DrawAspect="Content" ObjectID="_1468075756" r:id="rId69">
            <o:LockedField>false</o:LockedField>
          </o:OLEObject>
        </w:object>
      </w:r>
    </w:p>
    <w:p>
      <w:pPr>
        <w:pStyle w:val="120"/>
      </w:pPr>
      <w:r>
        <w:t>Figure 6.4A.2.4.5-1: The limits for EVM equalizer spectrum flatness with the maximum allowed variation of the coefficients indicated (the ETC minimum requirement within brackets)</w:t>
      </w:r>
    </w:p>
    <w:p/>
    <w:p>
      <w:pPr>
        <w:pStyle w:val="4"/>
        <w:rPr>
          <w:rFonts w:eastAsia="宋体"/>
          <w:color w:val="000000" w:themeColor="text1"/>
          <w14:textFill>
            <w14:solidFill>
              <w14:schemeClr w14:val="tx1"/>
            </w14:solidFill>
          </w14:textFill>
        </w:rPr>
      </w:pPr>
      <w:bookmarkStart w:id="417" w:name="_Toc31699"/>
      <w:bookmarkStart w:id="418" w:name="_Toc120570049"/>
      <w:bookmarkStart w:id="419" w:name="_Toc8715"/>
      <w:bookmarkStart w:id="420" w:name="_Toc29451"/>
      <w:bookmarkStart w:id="421" w:name="_Toc121162841"/>
      <w:r>
        <w:t>6.4B</w:t>
      </w:r>
      <w:r>
        <w:tab/>
      </w:r>
      <w:r>
        <w:t>Transmit signal quality for category NB1 and NB2</w:t>
      </w:r>
      <w:bookmarkEnd w:id="417"/>
      <w:bookmarkEnd w:id="418"/>
      <w:bookmarkEnd w:id="419"/>
      <w:bookmarkEnd w:id="420"/>
      <w:bookmarkEnd w:id="421"/>
    </w:p>
    <w:p>
      <w:pPr>
        <w:pStyle w:val="5"/>
      </w:pPr>
      <w:bookmarkStart w:id="422" w:name="_Toc121162842"/>
      <w:bookmarkStart w:id="423" w:name="_Toc15886"/>
      <w:bookmarkStart w:id="424" w:name="_Toc31446"/>
      <w:bookmarkStart w:id="425" w:name="_Toc120570050"/>
      <w:bookmarkStart w:id="426" w:name="_Toc21064"/>
      <w:r>
        <w:t>6.4B.1</w:t>
      </w:r>
      <w:r>
        <w:tab/>
      </w:r>
      <w:r>
        <w:t>Frequency error for UE category NB1 and NB2</w:t>
      </w:r>
      <w:bookmarkEnd w:id="407"/>
      <w:bookmarkEnd w:id="422"/>
      <w:bookmarkEnd w:id="423"/>
      <w:bookmarkEnd w:id="424"/>
      <w:bookmarkEnd w:id="425"/>
      <w:bookmarkEnd w:id="426"/>
    </w:p>
    <w:p>
      <w:pPr>
        <w:rPr>
          <w:color w:val="000000" w:themeColor="text1"/>
          <w:lang w:eastAsia="zh-CN"/>
          <w14:textFill>
            <w14:solidFill>
              <w14:schemeClr w14:val="tx1"/>
            </w14:solidFill>
          </w14:textFill>
        </w:rPr>
      </w:pPr>
    </w:p>
    <w:bookmarkEnd w:id="408"/>
    <w:p>
      <w:pPr>
        <w:pStyle w:val="5"/>
      </w:pPr>
      <w:bookmarkStart w:id="427" w:name="_Toc120570051"/>
      <w:bookmarkStart w:id="428" w:name="_Toc121162843"/>
      <w:bookmarkStart w:id="429" w:name="_Toc6152"/>
      <w:bookmarkStart w:id="430" w:name="_Toc2703"/>
      <w:bookmarkStart w:id="431" w:name="_Toc26824"/>
      <w:bookmarkStart w:id="432" w:name="_Toc111062055"/>
      <w:r>
        <w:t>6.4B.2</w:t>
      </w:r>
      <w:r>
        <w:tab/>
      </w:r>
      <w:r>
        <w:t>Transmit modulation quality for Category NB1 and NB2</w:t>
      </w:r>
      <w:bookmarkEnd w:id="427"/>
      <w:bookmarkEnd w:id="428"/>
      <w:bookmarkEnd w:id="429"/>
      <w:bookmarkEnd w:id="430"/>
      <w:bookmarkEnd w:id="431"/>
      <w:bookmarkEnd w:id="432"/>
    </w:p>
    <w:p>
      <w:pPr>
        <w:pStyle w:val="6"/>
        <w:rPr>
          <w:lang w:val="en-US"/>
        </w:rPr>
      </w:pPr>
      <w:bookmarkStart w:id="433" w:name="_Toc31758"/>
      <w:r>
        <w:t>6.4B.2.1</w:t>
      </w:r>
      <w:r>
        <w:tab/>
      </w:r>
      <w:r>
        <w:t>Error Vector Magnitude (EVM) for Category NB1 and NB2</w:t>
      </w:r>
      <w:bookmarkEnd w:id="433"/>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Pr>
        <w:pStyle w:val="9"/>
      </w:pPr>
      <w:r>
        <w:t>6.4B.2.1.1</w:t>
      </w:r>
      <w:r>
        <w:tab/>
      </w:r>
      <w:r>
        <w:t>Test purpose</w:t>
      </w:r>
    </w:p>
    <w:p>
      <w:pPr>
        <w:rPr>
          <w:rFonts w:eastAsia="MS Mincho" w:cs="v5.0.0"/>
        </w:rPr>
      </w:pPr>
      <w:r>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r>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pPr>
        <w:pStyle w:val="9"/>
      </w:pPr>
      <w:r>
        <w:t>6.4B.2.1.2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6.4B.2.1.3</w:t>
      </w:r>
      <w:r>
        <w:tab/>
      </w:r>
      <w:r>
        <w:t>Minimum conformance requirements</w:t>
      </w:r>
    </w:p>
    <w:p>
      <w:r>
        <w:t>The RMS average of the basic EVM measurements for 240/</w:t>
      </w:r>
      <w:r>
        <w:rPr>
          <w:i/>
        </w:rPr>
        <w:t>L</w:t>
      </w:r>
      <w:r>
        <w:rPr>
          <w:i/>
          <w:vertAlign w:val="subscript"/>
        </w:rPr>
        <w:t>Ctone</w:t>
      </w:r>
      <w:r>
        <w:t xml:space="preserve"> slots excluding any transient period for the average EVM case, where </w:t>
      </w:r>
      <w:r>
        <w:rPr>
          <w:i/>
        </w:rPr>
        <w:t>L</w:t>
      </w:r>
      <w:r>
        <w:rPr>
          <w:i/>
          <w:vertAlign w:val="subscript"/>
        </w:rPr>
        <w:t>Ctone</w:t>
      </w:r>
      <w:r>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pPr>
        <w:pStyle w:val="113"/>
      </w:pPr>
      <w:r>
        <w:t>Table 6.4B.2.1.3-1: Minimum requirements for Error Vector Magnitude</w:t>
      </w:r>
    </w:p>
    <w:tbl>
      <w:tblPr>
        <w:tblStyle w:val="89"/>
        <w:tblW w:w="92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56"/>
        <w:gridCol w:w="1135"/>
        <w:gridCol w:w="2406"/>
        <w:gridCol w:w="24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4"/>
            </w:pPr>
            <w:r>
              <w:rPr>
                <w:rFonts w:cs="v5.0.0"/>
              </w:rPr>
              <w:br w:type="page"/>
            </w:r>
            <w:r>
              <w:rPr>
                <w:rFonts w:cs="v5.0.0"/>
              </w:rPr>
              <w:t>Parameter</w:t>
            </w:r>
          </w:p>
        </w:tc>
        <w:tc>
          <w:tcPr>
            <w:tcW w:w="1135" w:type="dxa"/>
          </w:tcPr>
          <w:p>
            <w:pPr>
              <w:pStyle w:val="104"/>
            </w:pPr>
            <w:r>
              <w:rPr>
                <w:rFonts w:cs="v5.0.0"/>
              </w:rPr>
              <w:t>Unit</w:t>
            </w:r>
          </w:p>
        </w:tc>
        <w:tc>
          <w:tcPr>
            <w:tcW w:w="2406" w:type="dxa"/>
          </w:tcPr>
          <w:p>
            <w:pPr>
              <w:pStyle w:val="104"/>
            </w:pPr>
            <w:r>
              <w:rPr>
                <w:rFonts w:cs="v5.0.0"/>
              </w:rPr>
              <w:t>Average EVM Level</w:t>
            </w:r>
          </w:p>
        </w:tc>
        <w:tc>
          <w:tcPr>
            <w:tcW w:w="2406" w:type="dxa"/>
          </w:tcPr>
          <w:p>
            <w:pPr>
              <w:pStyle w:val="104"/>
            </w:pPr>
            <w:r>
              <w:rPr>
                <w:rFonts w:cs="v5.0.0"/>
              </w:rPr>
              <w:t>Reference Signal EVM 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56" w:type="dxa"/>
          </w:tcPr>
          <w:p>
            <w:pPr>
              <w:pStyle w:val="103"/>
            </w:pPr>
            <w:r>
              <w:t xml:space="preserve">BPSK </w:t>
            </w:r>
            <w:r>
              <w:rPr>
                <w:rFonts w:cs="v5.0.0"/>
              </w:rPr>
              <w:t xml:space="preserve">or QPSK </w:t>
            </w:r>
          </w:p>
        </w:tc>
        <w:tc>
          <w:tcPr>
            <w:tcW w:w="1135" w:type="dxa"/>
          </w:tcPr>
          <w:p>
            <w:pPr>
              <w:pStyle w:val="105"/>
            </w:pPr>
            <w:r>
              <w:rPr>
                <w:rFonts w:cs="v5.0.0"/>
              </w:rPr>
              <w:t>%</w:t>
            </w:r>
          </w:p>
        </w:tc>
        <w:tc>
          <w:tcPr>
            <w:tcW w:w="2406" w:type="dxa"/>
          </w:tcPr>
          <w:p>
            <w:pPr>
              <w:pStyle w:val="105"/>
            </w:pPr>
            <w:r>
              <w:rPr>
                <w:rFonts w:cs="v5.0.0"/>
              </w:rPr>
              <w:t>17.5</w:t>
            </w:r>
          </w:p>
        </w:tc>
        <w:tc>
          <w:tcPr>
            <w:tcW w:w="2406" w:type="dxa"/>
          </w:tcPr>
          <w:p>
            <w:pPr>
              <w:pStyle w:val="105"/>
            </w:pPr>
            <w:r>
              <w:rPr>
                <w:rFonts w:cs="v5.0.0"/>
              </w:rPr>
              <w:t>17.5</w:t>
            </w:r>
          </w:p>
        </w:tc>
      </w:tr>
    </w:tbl>
    <w:p/>
    <w:p>
      <w:pPr>
        <w:pStyle w:val="113"/>
      </w:pPr>
      <w:r>
        <w:t>Table 6.4B.2.1.3-2: Parameters for Error Vector Magnitude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66"/>
        <w:gridCol w:w="1135"/>
        <w:gridCol w:w="2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66" w:type="dxa"/>
          </w:tcPr>
          <w:p>
            <w:pPr>
              <w:pStyle w:val="104"/>
            </w:pPr>
            <w:r>
              <w:br w:type="page"/>
            </w:r>
            <w:r>
              <w:t>Parameter</w:t>
            </w:r>
          </w:p>
        </w:tc>
        <w:tc>
          <w:tcPr>
            <w:tcW w:w="1135" w:type="dxa"/>
          </w:tcPr>
          <w:p>
            <w:pPr>
              <w:pStyle w:val="104"/>
            </w:pPr>
            <w:r>
              <w:t>Unit</w:t>
            </w:r>
          </w:p>
        </w:tc>
        <w:tc>
          <w:tcPr>
            <w:tcW w:w="2630" w:type="dxa"/>
          </w:tcPr>
          <w:p>
            <w:pPr>
              <w:pStyle w:val="104"/>
            </w:pPr>
            <w:r>
              <w:t>Level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66" w:type="dxa"/>
          </w:tcPr>
          <w:p>
            <w:pPr>
              <w:pStyle w:val="103"/>
            </w:pPr>
            <w:r>
              <w:rPr>
                <w:rFonts w:cs="v5.0.0"/>
              </w:rPr>
              <w:t>UE Output Power</w:t>
            </w:r>
          </w:p>
        </w:tc>
        <w:tc>
          <w:tcPr>
            <w:tcW w:w="1135" w:type="dxa"/>
          </w:tcPr>
          <w:p>
            <w:pPr>
              <w:pStyle w:val="105"/>
            </w:pPr>
            <w:r>
              <w:t>dBm</w:t>
            </w:r>
          </w:p>
        </w:tc>
        <w:tc>
          <w:tcPr>
            <w:tcW w:w="2630" w:type="dxa"/>
          </w:tcPr>
          <w:p>
            <w:pPr>
              <w:pStyle w:val="105"/>
            </w:pPr>
            <w:r>
              <w:rPr/>
              <w:sym w:font="Symbol" w:char="F0B3"/>
            </w:r>
            <w:r>
              <w:t xml:space="preserve">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66" w:type="dxa"/>
          </w:tcPr>
          <w:p>
            <w:pPr>
              <w:pStyle w:val="103"/>
            </w:pPr>
            <w:r>
              <w:rPr>
                <w:rFonts w:cs="v5.0.0"/>
              </w:rPr>
              <w:t>Operating conditions</w:t>
            </w:r>
          </w:p>
        </w:tc>
        <w:tc>
          <w:tcPr>
            <w:tcW w:w="1135" w:type="dxa"/>
          </w:tcPr>
          <w:p>
            <w:pPr>
              <w:pStyle w:val="105"/>
            </w:pPr>
          </w:p>
        </w:tc>
        <w:tc>
          <w:tcPr>
            <w:tcW w:w="2630" w:type="dxa"/>
          </w:tcPr>
          <w:p>
            <w:pPr>
              <w:pStyle w:val="105"/>
            </w:pPr>
            <w:r>
              <w:t>Normal conditions</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6.4B.2.1.4</w:t>
      </w:r>
      <w:r>
        <w:tab/>
      </w:r>
      <w:r>
        <w:t>Test description</w:t>
      </w:r>
    </w:p>
    <w:p>
      <w:pPr>
        <w:pStyle w:val="9"/>
      </w:pPr>
      <w:r>
        <w:t>6.4B.2.1.4.1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6.4B.2.1.4.1-1. The details of the uplink reference measurement channels (RMCs) are specified in Annex A.2.4. </w:t>
      </w:r>
      <w:r>
        <w:rPr>
          <w:rFonts w:cs="v5.0.0"/>
        </w:rPr>
        <w:t>Configurations of NPDSCH and NPDCCH before measurement are specified in</w:t>
      </w:r>
      <w:r>
        <w:t xml:space="preserve"> </w:t>
      </w:r>
      <w:r>
        <w:rPr>
          <w:rFonts w:cs="v5.0.0"/>
        </w:rPr>
        <w:t>Annex C.2.</w:t>
      </w:r>
    </w:p>
    <w:p>
      <w:pPr>
        <w:pStyle w:val="113"/>
      </w:pPr>
      <w:r>
        <w:t xml:space="preserve">Table 6.4B.2.1.4.1-1: Test Configuration for NPUSCH for FDD </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rPr>
              <w:t>TS 36.508[12]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rPr>
              <w:t>TS 36.508 [12] subclause 8.1.3.1</w:t>
            </w:r>
          </w:p>
        </w:tc>
        <w:tc>
          <w:tcPr>
            <w:tcW w:w="5494" w:type="dxa"/>
            <w:gridSpan w:val="3"/>
          </w:tcPr>
          <w:p>
            <w:pPr>
              <w:pStyle w:val="103"/>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rPr>
              <w:t>Modulation</w:t>
            </w:r>
          </w:p>
        </w:tc>
        <w:tc>
          <w:tcPr>
            <w:tcW w:w="1843" w:type="dxa"/>
          </w:tcPr>
          <w:p>
            <w:pPr>
              <w:pStyle w:val="103"/>
              <w:jc w:val="center"/>
            </w:pPr>
            <w:r>
              <w:rPr>
                <w:rFonts w:eastAsia="微软雅黑" w:cs="Arial"/>
              </w:rPr>
              <w:t>N</w:t>
            </w:r>
            <w:r>
              <w:rPr>
                <w:rFonts w:eastAsia="微软雅黑" w:cs="Arial"/>
                <w:vertAlign w:val="subscript"/>
              </w:rPr>
              <w:t>tones</w:t>
            </w:r>
            <w:r>
              <w:rPr>
                <w:rFonts w:eastAsia="微软雅黑" w:cs="Arial"/>
              </w:rPr>
              <w:t>, start position</w:t>
            </w:r>
          </w:p>
        </w:tc>
        <w:tc>
          <w:tcPr>
            <w:tcW w:w="2376" w:type="dxa"/>
          </w:tcPr>
          <w:p>
            <w:pPr>
              <w:pStyle w:val="103"/>
              <w:jc w:val="center"/>
            </w:pPr>
            <w:r>
              <w:rPr>
                <w:rFonts w:eastAsia="微软雅黑" w:cs="Arial"/>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1@47</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3</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4</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1@11</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 xml:space="preserve">5 </w:t>
            </w:r>
            <w:r>
              <w:rPr>
                <w:rFonts w:cs="Arial"/>
              </w:rPr>
              <w:t>(</w:t>
            </w:r>
            <w:r>
              <w:rPr>
                <w:rFonts w:eastAsia="微软雅黑" w:cs="Arial"/>
              </w:rPr>
              <w:t>Note 1</w:t>
            </w:r>
            <w:r>
              <w:rPr>
                <w:rFonts w:cs="Arial"/>
              </w:rPr>
              <w:t>)</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12@0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18"/>
            </w:pPr>
            <w:r>
              <w:rPr>
                <w:rFonts w:eastAsia="微软雅黑"/>
              </w:rPr>
              <w:t>Note 1: Applicable to UE supporting UL multi-tone transmissions</w:t>
            </w:r>
          </w:p>
        </w:tc>
      </w:tr>
    </w:tbl>
    <w:p/>
    <w:p>
      <w:pPr>
        <w:pStyle w:val="113"/>
      </w:pPr>
      <w:r>
        <w:t xml:space="preserve">Table 6.4B.2.1.4.1-2: Test Configuration for NPRACH for FDD </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2"/>
          </w:tcPr>
          <w:p>
            <w:pPr>
              <w:keepNext/>
              <w:keepLines/>
              <w:spacing w:after="0"/>
              <w:jc w:val="center"/>
              <w:rPr>
                <w:rFonts w:ascii="Arial" w:hAnsi="Arial"/>
                <w:b/>
                <w:sz w:val="18"/>
              </w:rPr>
            </w:pPr>
            <w:r>
              <w:rPr>
                <w:rFonts w:ascii="Arial" w:hAnsi="Arial" w:cs="v5.0.0"/>
                <w:b/>
                <w:bCs/>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sz w:val="18"/>
              </w:rPr>
              <w:t>Test Environment</w:t>
            </w:r>
          </w:p>
          <w:p>
            <w:pPr>
              <w:keepNext/>
              <w:keepLines/>
              <w:spacing w:after="0"/>
              <w:rPr>
                <w:rFonts w:ascii="Arial" w:hAnsi="Arial"/>
                <w:bCs/>
                <w:sz w:val="18"/>
              </w:rPr>
            </w:pPr>
            <w:r>
              <w:rPr>
                <w:rFonts w:ascii="Arial" w:hAnsi="Arial"/>
                <w:sz w:val="18"/>
              </w:rPr>
              <w:t>(as specified in TS 36.508 [12] subclause 8.1.1)</w:t>
            </w:r>
          </w:p>
        </w:tc>
        <w:tc>
          <w:tcPr>
            <w:tcW w:w="3495" w:type="dxa"/>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bCs/>
                <w:sz w:val="18"/>
              </w:rPr>
              <w:t>Test Frequencies</w:t>
            </w:r>
          </w:p>
          <w:p>
            <w:pPr>
              <w:keepNext/>
              <w:keepLines/>
              <w:spacing w:after="0"/>
              <w:rPr>
                <w:rFonts w:ascii="Arial" w:hAnsi="Arial"/>
                <w:sz w:val="18"/>
              </w:rPr>
            </w:pPr>
            <w:r>
              <w:rPr>
                <w:rFonts w:ascii="Arial" w:hAnsi="Arial"/>
                <w:sz w:val="18"/>
              </w:rPr>
              <w:t>(as specified in TS36.508 [12] subclause 8.1.3.1)</w:t>
            </w:r>
          </w:p>
        </w:tc>
        <w:tc>
          <w:tcPr>
            <w:tcW w:w="3495" w:type="dxa"/>
            <w:vAlign w:val="center"/>
          </w:tcPr>
          <w:p>
            <w:pPr>
              <w:keepNext/>
              <w:keepLines/>
              <w:spacing w:after="0"/>
              <w:rPr>
                <w:rFonts w:ascii="Arial" w:hAnsi="Arial"/>
                <w:sz w:val="18"/>
              </w:rPr>
            </w:pPr>
            <w:r>
              <w:rPr>
                <w:rFonts w:ascii="Arial" w:hAnsi="Arial"/>
                <w:sz w:val="18"/>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bCs/>
                <w:sz w:val="18"/>
              </w:rPr>
              <w:t>NPRACH preamble format</w:t>
            </w:r>
          </w:p>
        </w:tc>
        <w:tc>
          <w:tcPr>
            <w:tcW w:w="3495" w:type="dxa"/>
            <w:vAlign w:val="center"/>
          </w:tcPr>
          <w:p>
            <w:pPr>
              <w:keepNext/>
              <w:keepLines/>
              <w:spacing w:after="0"/>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1" w:type="dxa"/>
          </w:tcPr>
          <w:p>
            <w:pPr>
              <w:keepNext/>
              <w:keepLines/>
              <w:spacing w:after="0"/>
              <w:rPr>
                <w:rFonts w:ascii="Arial" w:hAnsi="Arial"/>
                <w:sz w:val="18"/>
              </w:rPr>
            </w:pPr>
            <w:r>
              <w:rPr>
                <w:rFonts w:ascii="Arial" w:hAnsi="Arial"/>
                <w:sz w:val="18"/>
              </w:rPr>
              <w:t>NRS EPRE setting for test point (dBm/15kHz)</w:t>
            </w:r>
          </w:p>
        </w:tc>
        <w:tc>
          <w:tcPr>
            <w:tcW w:w="3495" w:type="dxa"/>
            <w:vAlign w:val="center"/>
          </w:tcPr>
          <w:p>
            <w:pPr>
              <w:keepNext/>
              <w:keepLines/>
              <w:spacing w:after="0"/>
              <w:rPr>
                <w:rFonts w:ascii="Arial" w:hAnsi="Arial"/>
                <w:sz w:val="18"/>
              </w:rPr>
            </w:pPr>
            <w:r>
              <w:rPr>
                <w:rFonts w:ascii="Arial" w:hAnsi="Arial"/>
                <w:sz w:val="18"/>
              </w:rPr>
              <w:t>-110</w:t>
            </w:r>
          </w:p>
        </w:tc>
      </w:tr>
    </w:tbl>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6.4B.2.1.4.1-1.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Ensure the UE is State 2A-NB with CP CIoT Optimisation to TS 36.508 [12] clause 8.1.5. Message contents are defined in clause 6.4B.2.1.4.3.</w:t>
      </w:r>
    </w:p>
    <w:p>
      <w:pPr>
        <w:pStyle w:val="9"/>
      </w:pPr>
      <w:r>
        <w:t>6.4B.2.1.4.2</w:t>
      </w:r>
      <w:r>
        <w:tab/>
      </w:r>
      <w:r>
        <w:t>Test procedure</w:t>
      </w:r>
    </w:p>
    <w:p>
      <w:r>
        <w:t>Test procedure for NPUSCH: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1.2</w:t>
      </w:r>
      <w:r>
        <w:rPr>
          <w:rFonts w:hint="eastAsia"/>
          <w:lang w:eastAsia="en-GB"/>
        </w:rPr>
        <w:tab/>
      </w:r>
      <w:r>
        <w:rPr>
          <w:rFonts w:hint="eastAsia"/>
          <w:lang w:eastAsia="en-GB"/>
        </w:rPr>
        <w:t>Configure the UE to transmit at P</w:t>
      </w:r>
      <w:r>
        <w:rPr>
          <w:rFonts w:hint="eastAsia"/>
          <w:vertAlign w:val="baseline"/>
          <w:lang w:eastAsia="en-GB"/>
        </w:rPr>
        <w:t>UMAX level</w:t>
      </w:r>
      <w:r>
        <w:rPr>
          <w:rFonts w:hint="eastAsia"/>
          <w:lang w:eastAsia="en-GB"/>
        </w:rPr>
        <w:t>.</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lang w:eastAsia="en-GB"/>
        </w:rPr>
        <w:t>1.3</w:t>
      </w:r>
      <w:r>
        <w:rPr>
          <w:rFonts w:hint="eastAsia"/>
          <w:lang w:eastAsia="en-GB"/>
        </w:rPr>
        <w:tab/>
      </w:r>
      <w:r>
        <w:rPr>
          <w:rFonts w:hint="eastAsia"/>
          <w:lang w:eastAsia="en-GB"/>
        </w:rPr>
        <w:t xml:space="preserve">Measure the EVM and </w:t>
      </w:r>
      <w:r>
        <w:rPr>
          <w:rFonts w:hint="eastAsia"/>
          <w:position w:val="0"/>
          <w:lang w:eastAsia="en-GB"/>
        </w:rPr>
        <w:object>
          <v:shape id="_x0000_i1057"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57" DrawAspect="Content" ObjectID="_1468075757" r:id="rId71">
            <o:LockedField>false</o:LockedField>
          </o:OLEObject>
        </w:object>
      </w:r>
      <w:r>
        <w:rPr>
          <w:rFonts w:hint="eastAsia"/>
          <w:lang w:eastAsia="en-GB"/>
        </w:rPr>
        <w:t xml:space="preserve"> using Global In-Channel Tx-Test (Annex E). The measurement period of EVM for 240/</w:t>
      </w:r>
      <w:r>
        <w:rPr>
          <w:rFonts w:hint="eastAsia"/>
          <w:i w:val="0"/>
          <w:lang w:eastAsia="en-GB"/>
        </w:rPr>
        <w:t>N</w:t>
      </w:r>
      <w:r>
        <w:rPr>
          <w:rFonts w:hint="eastAsia"/>
          <w:vertAlign w:val="baseline"/>
          <w:lang w:eastAsia="en-GB"/>
        </w:rPr>
        <w:t>tones</w:t>
      </w:r>
      <w:r>
        <w:rPr>
          <w:rFonts w:hint="eastAsia"/>
          <w:lang w:eastAsia="en-GB"/>
        </w:rPr>
        <w:t xml:space="preserve"> slots should exclude any transient period for the average EVM case, where </w:t>
      </w:r>
      <w:r>
        <w:rPr>
          <w:rFonts w:hint="eastAsia"/>
          <w:i w:val="0"/>
          <w:lang w:eastAsia="en-GB"/>
        </w:rPr>
        <w:t>N</w:t>
      </w:r>
      <w:r>
        <w:rPr>
          <w:rFonts w:hint="eastAsia"/>
          <w:vertAlign w:val="baseline"/>
          <w:lang w:eastAsia="en-GB"/>
        </w:rPr>
        <w:t>tones</w:t>
      </w:r>
      <w:r>
        <w:rPr>
          <w:rFonts w:hint="eastAsia"/>
          <w:lang w:eastAsia="en-GB"/>
        </w:rPr>
        <w:t xml:space="preserve"> = {1, 3, 6, 12} is the number of subcarriers for the NB-IoT transmission.</w:t>
      </w:r>
    </w:p>
    <w:p>
      <w:pPr>
        <w:pStyle w:val="111"/>
        <w:overflowPunct w:val="0"/>
        <w:autoSpaceDE w:val="0"/>
        <w:autoSpaceDN w:val="0"/>
        <w:adjustRightInd w:val="0"/>
        <w:ind w:left="568"/>
        <w:textAlignment w:val="baseline"/>
        <w:rPr>
          <w:rFonts w:hint="eastAsia"/>
          <w:lang w:eastAsia="en-GB"/>
        </w:rPr>
      </w:pPr>
      <w:r>
        <w:rPr>
          <w:rFonts w:hint="eastAsia"/>
          <w:lang w:eastAsia="en-GB"/>
        </w:rPr>
        <w:t>1.4 Release the connection through State 3A-NB.</w:t>
      </w:r>
    </w:p>
    <w:p>
      <w:pPr>
        <w:pStyle w:val="111"/>
        <w:overflowPunct w:val="0"/>
        <w:autoSpaceDE w:val="0"/>
        <w:autoSpaceDN w:val="0"/>
        <w:adjustRightInd w:val="0"/>
        <w:ind w:left="568"/>
        <w:textAlignment w:val="baseline"/>
        <w:rPr>
          <w:rFonts w:hint="eastAsia"/>
          <w:lang w:eastAsia="en-GB"/>
        </w:rPr>
      </w:pPr>
      <w:r>
        <w:rPr>
          <w:rFonts w:hint="eastAsia"/>
          <w:lang w:eastAsia="en-GB"/>
        </w:rPr>
        <w:t>1.5 Modify system information elements according to Table 6.4B.2.1.4.3-1 and Table 6.4B.2.1.4.3-2 and notify the UE via paging message with SystemInformationModification included (test point 2).</w:t>
      </w:r>
    </w:p>
    <w:p>
      <w:pPr>
        <w:pStyle w:val="111"/>
        <w:overflowPunct w:val="0"/>
        <w:autoSpaceDE w:val="0"/>
        <w:autoSpaceDN w:val="0"/>
        <w:adjustRightInd w:val="0"/>
        <w:ind w:left="568"/>
        <w:textAlignment w:val="baseline"/>
        <w:rPr>
          <w:rFonts w:hint="eastAsia"/>
          <w:lang w:eastAsia="en-GB"/>
        </w:rPr>
      </w:pPr>
      <w:r>
        <w:rPr>
          <w:rFonts w:hint="eastAsia"/>
          <w:lang w:eastAsia="en-GB"/>
        </w:rPr>
        <w:t>1.6 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1.8</w:t>
      </w:r>
      <w:r>
        <w:rPr>
          <w:rFonts w:hint="eastAsia"/>
          <w:lang w:eastAsia="en-GB"/>
        </w:rPr>
        <w:tab/>
      </w:r>
      <w:r>
        <w:rPr>
          <w:rFonts w:hint="eastAsia"/>
          <w:lang w:eastAsia="en-GB"/>
        </w:rPr>
        <w:t xml:space="preserve">Measure the EVM and </w:t>
      </w:r>
      <w:r>
        <w:rPr>
          <w:rFonts w:hint="eastAsia"/>
          <w:position w:val="0"/>
          <w:lang w:eastAsia="en-GB"/>
        </w:rPr>
        <w:object>
          <v:shape id="_x0000_i1058"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58" DrawAspect="Content" ObjectID="_1468075758" r:id="rId72">
            <o:LockedField>false</o:LockedField>
          </o:OLEObject>
        </w:object>
      </w:r>
      <w:r>
        <w:rPr>
          <w:rFonts w:hint="eastAsia"/>
          <w:lang w:eastAsia="en-GB"/>
        </w:rPr>
        <w:t xml:space="preserve"> using Global In-Channel Tx-Test (Annex E). The measurement period of EVM for 240/</w:t>
      </w:r>
      <w:r>
        <w:rPr>
          <w:rFonts w:hint="eastAsia"/>
          <w:i w:val="0"/>
          <w:lang w:eastAsia="en-GB"/>
        </w:rPr>
        <w:t>N</w:t>
      </w:r>
      <w:r>
        <w:rPr>
          <w:rFonts w:hint="eastAsia"/>
          <w:vertAlign w:val="baseline"/>
          <w:lang w:eastAsia="en-GB"/>
        </w:rPr>
        <w:t>tones</w:t>
      </w:r>
      <w:r>
        <w:rPr>
          <w:rFonts w:hint="eastAsia"/>
          <w:lang w:eastAsia="en-GB"/>
        </w:rPr>
        <w:t xml:space="preserve"> slots should exclude any transient period for the average EVM case, where </w:t>
      </w:r>
      <w:r>
        <w:rPr>
          <w:rFonts w:hint="eastAsia"/>
          <w:i w:val="0"/>
          <w:lang w:eastAsia="en-GB"/>
        </w:rPr>
        <w:t>N</w:t>
      </w:r>
      <w:r>
        <w:rPr>
          <w:rFonts w:hint="eastAsia"/>
          <w:vertAlign w:val="baseline"/>
          <w:lang w:eastAsia="en-GB"/>
        </w:rPr>
        <w:t>tones</w:t>
      </w:r>
      <w:r>
        <w:rPr>
          <w:rFonts w:hint="eastAsia"/>
          <w:lang w:eastAsia="en-GB"/>
        </w:rPr>
        <w:t xml:space="preserve"> = {1, 3, 6, 12} is the number of subcarriers for the NB-IoT transmission.</w:t>
      </w:r>
    </w:p>
    <w:p>
      <w:r>
        <w:t>Test procedure for NPRACH: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2.1</w:t>
      </w:r>
      <w:r>
        <w:rPr>
          <w:rFonts w:hint="eastAsia"/>
          <w:lang w:eastAsia="en-GB"/>
        </w:rPr>
        <w:tab/>
      </w:r>
      <w:r>
        <w:rPr>
          <w:rFonts w:hint="eastAsia"/>
          <w:lang w:eastAsia="en-GB"/>
        </w:rPr>
        <w:t>The SS shall set RS EPRE according to Table 6.4B.2.1.4.1-2.</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2.2</w:t>
      </w:r>
      <w:r>
        <w:rPr>
          <w:rFonts w:hint="eastAsia"/>
          <w:lang w:eastAsia="en-GB"/>
        </w:rPr>
        <w:tab/>
      </w:r>
      <w:r>
        <w:rPr>
          <w:rFonts w:hint="eastAsia"/>
          <w:lang w:eastAsia="en-GB"/>
        </w:rPr>
        <w:t>NPRACH is set according to Table 6.4B.2.1.4.1-2.</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2.3</w:t>
      </w:r>
      <w:r>
        <w:rPr>
          <w:rFonts w:hint="eastAsia"/>
          <w:lang w:eastAsia="en-GB"/>
        </w:rPr>
        <w:tab/>
      </w:r>
      <w:r>
        <w:rPr>
          <w:rFonts w:hint="eastAsia"/>
          <w:lang w:eastAsia="en-GB"/>
        </w:rPr>
        <w:t>The UE shall send a preamble to the SS.</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2.4</w:t>
      </w:r>
      <w:r>
        <w:rPr>
          <w:rFonts w:hint="eastAsia"/>
          <w:lang w:eastAsia="en-GB"/>
        </w:rPr>
        <w:tab/>
      </w:r>
      <w:r>
        <w:rPr>
          <w:rFonts w:hint="eastAsia"/>
          <w:lang w:eastAsia="en-GB"/>
        </w:rPr>
        <w:t>In response to the preamble, the SS shall transmit a random access response not corresponding to the transmitted random access preamble, or send no response.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2.5</w:t>
      </w:r>
      <w:r>
        <w:rPr>
          <w:rFonts w:hint="eastAsia"/>
          <w:lang w:eastAsia="en-GB"/>
        </w:rPr>
        <w:tab/>
      </w:r>
      <w:r>
        <w:rPr>
          <w:rFonts w:hint="eastAsia"/>
          <w:lang w:eastAsia="en-GB"/>
        </w:rPr>
        <w:t>The UE shall consider the random access response reception not successful then re-transmit the preamble with the calculated NPRACH transmission power.</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2.6</w:t>
      </w:r>
      <w:r>
        <w:rPr>
          <w:rFonts w:hint="eastAsia"/>
          <w:lang w:eastAsia="en-GB"/>
        </w:rPr>
        <w:tab/>
      </w:r>
      <w:r>
        <w:rPr>
          <w:rFonts w:hint="eastAsia"/>
          <w:lang w:eastAsia="en-GB"/>
        </w:rPr>
        <w:t>Repeat step 4 and 5 until the SS collect enough NPRACH preambles (64 preambles). Measure the EVM in NPRACH channel using Global In-Channel Tx-Test (Annex E).</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6.4B.2.1.4.3</w:t>
      </w:r>
      <w:r>
        <w:tab/>
      </w:r>
      <w:r>
        <w:t>Message contents</w:t>
      </w:r>
    </w:p>
    <w:p>
      <w:r>
        <w:t>Message contents are according to TS 36.508 [12] subclause 8.1.6 with the following exceptions:</w:t>
      </w:r>
    </w:p>
    <w:p>
      <w:pPr>
        <w:pStyle w:val="113"/>
      </w:pPr>
      <w:r>
        <w:t>Table 6.4B.2.1.4.3-1: P0-NominalNPUSCH-r13 configuration for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TS 36.508 [12]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113"/>
      </w:pPr>
      <w:r>
        <w:t>Table 6.4B.2.1.4.3-2: NPDSCH-ConfigCommon-NB-DEFAULT configuration for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Derivation Path: TS 36.508 [12]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 xml:space="preserve">  nrs-Power-r13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21 (dBm)</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keepNext/>
              <w:keepLines/>
              <w:spacing w:after="0"/>
              <w:rPr>
                <w:rFonts w:ascii="Arial" w:hAnsi="Arial"/>
                <w:sz w:val="18"/>
              </w:rPr>
            </w:pPr>
          </w:p>
        </w:tc>
      </w:tr>
    </w:tbl>
    <w:p/>
    <w:p>
      <w:pPr>
        <w:pStyle w:val="113"/>
      </w:pPr>
      <w:r>
        <w:t>Table 6.4B.2.1.4.3-3: RACH-ConfigCommon-NB-DEFAULT NPRACH EVM Measurement</w:t>
      </w:r>
    </w:p>
    <w:tbl>
      <w:tblPr>
        <w:tblStyle w:val="89"/>
        <w:tblW w:w="9781"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 xml:space="preserve">Derivation Path: TS 36.508 [12] clause </w:t>
            </w:r>
            <w:r>
              <w:rPr>
                <w:rFonts w:eastAsia="PMingLiU"/>
                <w:lang w:eastAsia="zh-TW"/>
              </w:rPr>
              <w:t>8.1.6.3</w:t>
            </w:r>
            <w:r>
              <w:t>, Table 8.1.6.3-8 RACH-ConfigCommon-NB-DEFAULT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rPr>
                <w:rFonts w:eastAsia="PMingLiU"/>
                <w:lang w:eastAsia="zh-TW"/>
              </w:rPr>
            </w:pPr>
            <w:r>
              <w:t>RACH-ConfigCommon-NB-DEFAULT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powerRampingParameters-r13 SEQUENCE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powerRampingStep</w:t>
            </w:r>
          </w:p>
        </w:tc>
        <w:tc>
          <w:tcPr>
            <w:tcW w:w="2268" w:type="dxa"/>
            <w:shd w:val="clear" w:color="auto" w:fill="auto"/>
          </w:tcPr>
          <w:p>
            <w:pPr>
              <w:pStyle w:val="103"/>
              <w:rPr>
                <w:rFonts w:eastAsia="PMingLiU"/>
                <w:lang w:eastAsia="zh-TW"/>
              </w:rPr>
            </w:pPr>
            <w:r>
              <w:rPr>
                <w:rFonts w:eastAsia="PMingLiU"/>
                <w:lang w:eastAsia="zh-TW"/>
              </w:rPr>
              <w:t>dB0</w:t>
            </w:r>
          </w:p>
        </w:tc>
        <w:tc>
          <w:tcPr>
            <w:tcW w:w="1701" w:type="dxa"/>
            <w:shd w:val="clear" w:color="auto" w:fill="auto"/>
          </w:tcPr>
          <w:p>
            <w:pPr>
              <w:pStyle w:val="103"/>
            </w:pPr>
            <w:r>
              <w:t>0 dB</w:t>
            </w: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 xml:space="preserve">  }</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7" w:type="dxa"/>
            <w:shd w:val="clear" w:color="auto" w:fill="auto"/>
          </w:tcPr>
          <w:p>
            <w:pPr>
              <w:pStyle w:val="103"/>
            </w:pPr>
            <w:r>
              <w:t>)</w:t>
            </w:r>
          </w:p>
        </w:tc>
        <w:tc>
          <w:tcPr>
            <w:tcW w:w="2268" w:type="dxa"/>
            <w:shd w:val="clear" w:color="auto" w:fill="auto"/>
          </w:tcPr>
          <w:p>
            <w:pPr>
              <w:pStyle w:val="103"/>
            </w:pPr>
          </w:p>
        </w:tc>
        <w:tc>
          <w:tcPr>
            <w:tcW w:w="1701" w:type="dxa"/>
            <w:shd w:val="clear" w:color="auto" w:fill="auto"/>
          </w:tcPr>
          <w:p>
            <w:pPr>
              <w:pStyle w:val="103"/>
            </w:pPr>
          </w:p>
        </w:tc>
        <w:tc>
          <w:tcPr>
            <w:tcW w:w="1275" w:type="dxa"/>
            <w:shd w:val="clear" w:color="auto" w:fill="auto"/>
          </w:tcPr>
          <w:p>
            <w:pPr>
              <w:pStyle w:val="103"/>
            </w:pPr>
          </w:p>
        </w:tc>
      </w:tr>
    </w:tbl>
    <w:p/>
    <w:p>
      <w:pPr>
        <w:pStyle w:val="113"/>
      </w:pPr>
      <w:r>
        <w:t>Table 6.4B.2.1.4.3-4: NPRACH-ConfigSIB-NB-DEFAULT for NPRACH EVM Measurement</w:t>
      </w:r>
    </w:p>
    <w:tbl>
      <w:tblPr>
        <w:tblStyle w:val="89"/>
        <w:tblW w:w="9780" w:type="dxa"/>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6"/>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Borders>
              <w:top w:val="single" w:color="auto" w:sz="4" w:space="0"/>
              <w:left w:val="single" w:color="auto" w:sz="4" w:space="0"/>
              <w:bottom w:val="single" w:color="auto" w:sz="4" w:space="0"/>
              <w:right w:val="single" w:color="auto" w:sz="4" w:space="0"/>
            </w:tcBorders>
          </w:tcPr>
          <w:p>
            <w:pPr>
              <w:pStyle w:val="103"/>
            </w:pPr>
            <w:r>
              <w:t xml:space="preserve">Derivation Path: TS 36.508 [12] clause </w:t>
            </w:r>
            <w:r>
              <w:rPr>
                <w:rFonts w:eastAsia="PMingLiU"/>
                <w:lang w:eastAsia="zh-TW"/>
              </w:rPr>
              <w:t>8.1.6</w:t>
            </w:r>
            <w:r>
              <w:t>.3, Table 8.1.6.3-5 NPRACH-ConfigSIB-NB-DEFAULT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Information Element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Value/remark</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Comment</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NPRACH-ConfigSIB-NB-DEFAULT ::= SEQUENCE {</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nil"/>
              <w:right w:val="single" w:color="auto" w:sz="4" w:space="0"/>
            </w:tcBorders>
            <w:tcMar>
              <w:top w:w="0" w:type="dxa"/>
              <w:left w:w="108" w:type="dxa"/>
              <w:bottom w:w="0" w:type="dxa"/>
              <w:right w:w="108" w:type="dxa"/>
            </w:tcMar>
          </w:tcPr>
          <w:p>
            <w:pPr>
              <w:pStyle w:val="103"/>
            </w:pPr>
            <w:r>
              <w:t xml:space="preserve">  n</w:t>
            </w:r>
            <w:r>
              <w:rPr>
                <w:rFonts w:cs="Courier New"/>
                <w:szCs w:val="16"/>
              </w:rPr>
              <w:t>prach-CP-Length-r13</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us266dot7</w:t>
            </w: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r>
              <w:t>8192*Ts</w:t>
            </w: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4537"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rPr>
                <w:rFonts w:eastAsia="MS Mincho"/>
              </w:rPr>
            </w:pPr>
            <w:r>
              <w:t>}</w:t>
            </w:r>
          </w:p>
        </w:tc>
        <w:tc>
          <w:tcPr>
            <w:tcW w:w="2268"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701"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c>
          <w:tcPr>
            <w:tcW w:w="1275"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tcPr>
          <w:p>
            <w:pPr>
              <w:pStyle w:val="103"/>
            </w:pPr>
          </w:p>
        </w:tc>
      </w:tr>
    </w:tbl>
    <w:p/>
    <w:p>
      <w:pPr>
        <w:pStyle w:val="9"/>
      </w:pPr>
      <w:r>
        <w:t>6.4B.2.1.5</w:t>
      </w:r>
      <w:r>
        <w:tab/>
      </w:r>
      <w:r>
        <w:t>Test requirement</w:t>
      </w:r>
    </w:p>
    <w:p>
      <w:r>
        <w:t>The NPUSCH EVM derived in E.8.1 shall not exceed 17,5% for BPSK</w:t>
      </w:r>
      <w:r>
        <w:rPr>
          <w:rFonts w:cs="v5.0.0"/>
        </w:rPr>
        <w:t xml:space="preserve"> and QPSK</w:t>
      </w:r>
      <w:r>
        <w:t>.</w:t>
      </w:r>
    </w:p>
    <w:p>
      <w:r>
        <w:t>The NPUSCH</w:t>
      </w:r>
      <w:r>
        <w:rPr>
          <w:position w:val="-6"/>
        </w:rPr>
        <w:object>
          <v:shape id="_x0000_i1059" o:spt="75" type="#_x0000_t75" style="height:17.45pt;width:50.2pt;" o:ole="t" filled="f" o:preferrelative="t" stroked="f" coordsize="21600,21600">
            <v:path/>
            <v:fill on="f" focussize="0,0"/>
            <v:stroke on="f" joinstyle="miter"/>
            <v:imagedata r:id="rId36" o:title=""/>
            <o:lock v:ext="edit" aspectratio="t"/>
            <w10:wrap type="none"/>
            <w10:anchorlock/>
          </v:shape>
          <o:OLEObject Type="Embed" ProgID="Equation.3" ShapeID="_x0000_i1059" DrawAspect="Content" ObjectID="_1468075759" r:id="rId73">
            <o:LockedField>false</o:LockedField>
          </o:OLEObject>
        </w:object>
      </w:r>
      <w:r>
        <w:t xml:space="preserve"> derived in E.8.2 shall not exceed 17,5 % when embedded with data symbols of BPSK</w:t>
      </w:r>
      <w:r>
        <w:rPr>
          <w:rFonts w:cs="v5.0.0"/>
        </w:rPr>
        <w:t xml:space="preserve"> and QPSK</w:t>
      </w:r>
      <w:r>
        <w:t>.</w:t>
      </w:r>
    </w:p>
    <w:p>
      <w:r>
        <w:t>The NPRACH EVM derived in E.8.3 shall not exceed 17.5%.</w:t>
      </w:r>
    </w:p>
    <w:p>
      <w:pPr>
        <w:pStyle w:val="6"/>
        <w:rPr>
          <w:lang w:val="en-US"/>
        </w:rPr>
      </w:pPr>
      <w:bookmarkStart w:id="434" w:name="_Toc3324"/>
      <w:r>
        <w:t>6.4B.2.2</w:t>
      </w:r>
      <w:r>
        <w:tab/>
      </w:r>
      <w:r>
        <w:t>Carrier leakage for Category NB1 and NB2</w:t>
      </w:r>
      <w:bookmarkEnd w:id="434"/>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Pr>
        <w:pStyle w:val="9"/>
      </w:pPr>
      <w:r>
        <w:t>6.4B.2.</w:t>
      </w:r>
      <w:r>
        <w:rPr>
          <w:rFonts w:hint="eastAsia"/>
        </w:rPr>
        <w:t>2</w:t>
      </w:r>
      <w:r>
        <w:t>.1</w:t>
      </w:r>
      <w:r>
        <w:tab/>
      </w:r>
      <w:r>
        <w:t>Test purpose</w:t>
      </w:r>
    </w:p>
    <w:p>
      <w:r>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pPr>
        <w:rPr>
          <w:rFonts w:cs="v5.0.0"/>
        </w:rPr>
      </w:pPr>
      <w:r>
        <w:rPr>
          <w:rFonts w:cs="v5.0.0"/>
        </w:rPr>
        <w:t>The purpose of this test is to exercise the UE transmitter to verify its modulation quality in terms of carrier leakage.</w:t>
      </w:r>
    </w:p>
    <w:p>
      <w:pPr>
        <w:pStyle w:val="9"/>
      </w:pPr>
      <w:r>
        <w:t>6.4B.2.</w:t>
      </w:r>
      <w:r>
        <w:rPr>
          <w:rFonts w:hint="eastAsia"/>
        </w:rPr>
        <w:t>2</w:t>
      </w:r>
      <w:r>
        <w:t>.2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w:t>
      </w:r>
      <w:r>
        <w:rPr>
          <w:rFonts w:hint="eastAsia"/>
        </w:rPr>
        <w:t>2</w:t>
      </w:r>
      <w:r>
        <w:t>.3</w:t>
      </w:r>
      <w:r>
        <w:tab/>
      </w:r>
      <w:r>
        <w:t>Minimum conformance requirements</w:t>
      </w:r>
    </w:p>
    <w:p>
      <w:pPr>
        <w:rPr>
          <w:rFonts w:cs="v5.0.0"/>
        </w:rPr>
      </w:pPr>
      <w:r>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Pr>
          <w:rFonts w:cs="v5.0.0"/>
        </w:rPr>
        <w:t>.</w:t>
      </w:r>
    </w:p>
    <w:p>
      <w:pPr>
        <w:pStyle w:val="113"/>
      </w:pPr>
      <w:r>
        <w:t>Table 6.4B2.2.3-1: Minimum requirements for relative carrier leakage power</w:t>
      </w:r>
    </w:p>
    <w:tbl>
      <w:tblPr>
        <w:tblStyle w:val="89"/>
        <w:tblW w:w="49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8"/>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4"/>
              <w:rPr>
                <w:rFonts w:cs="Arial"/>
              </w:rPr>
            </w:pPr>
            <w:r>
              <w:rPr>
                <w:rFonts w:cs="Arial"/>
              </w:rPr>
              <w:t>Parameters</w:t>
            </w:r>
          </w:p>
        </w:tc>
        <w:tc>
          <w:tcPr>
            <w:tcW w:w="1843" w:type="dxa"/>
            <w:shd w:val="clear" w:color="auto" w:fill="auto"/>
          </w:tcPr>
          <w:p>
            <w:pPr>
              <w:pStyle w:val="104"/>
              <w:rPr>
                <w:rFonts w:cs="Arial"/>
              </w:rPr>
            </w:pPr>
            <w:r>
              <w:rPr>
                <w:rFonts w:cs="Arial"/>
              </w:rPr>
              <w:t>Relative limit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0 dBm ≤ Output power</w:t>
            </w:r>
          </w:p>
        </w:tc>
        <w:tc>
          <w:tcPr>
            <w:tcW w:w="1843" w:type="dxa"/>
            <w:shd w:val="clear" w:color="auto" w:fill="auto"/>
          </w:tcPr>
          <w:p>
            <w:pPr>
              <w:pStyle w:val="105"/>
              <w:rPr>
                <w:rFonts w:cs="Arial"/>
              </w:rPr>
            </w:pPr>
            <w:r>
              <w:rPr>
                <w:rFonts w:cs="Arial"/>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18" w:type="dxa"/>
          </w:tcPr>
          <w:p>
            <w:pPr>
              <w:pStyle w:val="105"/>
              <w:rPr>
                <w:rFonts w:cs="Arial"/>
              </w:rPr>
            </w:pPr>
            <w:r>
              <w:rPr>
                <w:rFonts w:cs="Arial"/>
              </w:rPr>
              <w:t>-30 dBm ≤ Output power ≤ 0 dBm</w:t>
            </w:r>
          </w:p>
        </w:tc>
        <w:tc>
          <w:tcPr>
            <w:tcW w:w="1843" w:type="dxa"/>
            <w:shd w:val="clear" w:color="auto" w:fill="auto"/>
          </w:tcPr>
          <w:p>
            <w:pPr>
              <w:pStyle w:val="105"/>
              <w:rPr>
                <w:rFonts w:cs="Arial"/>
              </w:rPr>
            </w:pPr>
            <w:r>
              <w:rPr>
                <w:rFonts w:cs="Aria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8" w:type="dxa"/>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843" w:type="dxa"/>
            <w:shd w:val="clear" w:color="auto" w:fill="auto"/>
          </w:tcPr>
          <w:p>
            <w:pPr>
              <w:pStyle w:val="105"/>
              <w:rPr>
                <w:rFonts w:cs="Arial"/>
              </w:rPr>
            </w:pPr>
            <w:r>
              <w:rPr>
                <w:rFonts w:cs="Arial"/>
              </w:rPr>
              <w:t>-10</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w:t>
      </w:r>
      <w:r>
        <w:rPr>
          <w:rFonts w:hint="eastAsia"/>
        </w:rPr>
        <w:t>2</w:t>
      </w:r>
      <w:r>
        <w:t>.4</w:t>
      </w:r>
      <w:r>
        <w:tab/>
      </w:r>
      <w:r>
        <w:t>Test description</w:t>
      </w:r>
    </w:p>
    <w:p>
      <w:pPr>
        <w:pStyle w:val="9"/>
      </w:pPr>
      <w:r>
        <w:t>6.4B.2.</w:t>
      </w:r>
      <w:r>
        <w:rPr>
          <w:rFonts w:hint="eastAsia"/>
        </w:rPr>
        <w:t>2</w:t>
      </w:r>
      <w:r>
        <w:t>.4.1</w:t>
      </w:r>
      <w:r>
        <w:tab/>
      </w:r>
      <w:r>
        <w:t>Initial conditions</w:t>
      </w:r>
    </w:p>
    <w:p>
      <w:r>
        <w:t>Initial conditions are a set of test configurations the UE needs to be tested in and the steps for the SS to take with the UE to reach the correct measurement state.</w:t>
      </w:r>
    </w:p>
    <w:p>
      <w:pPr>
        <w:rPr>
          <w:rFonts w:cs="v5.0.0"/>
        </w:rPr>
      </w:pPr>
      <w: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w:t>
      </w:r>
      <w:r>
        <w:rPr>
          <w:rFonts w:hint="eastAsia"/>
        </w:rPr>
        <w:t>2</w:t>
      </w:r>
      <w:r>
        <w:t xml:space="preserve">.4.1-1. The details of the uplink reference measurement channels (RMCs) are specified in Annex A.2.4. </w:t>
      </w:r>
      <w:r>
        <w:rPr>
          <w:rFonts w:cs="v5.0.0"/>
        </w:rPr>
        <w:t>Configurations of NPDSCH and NPDCCH before measurement are specified in Annex TBD.</w:t>
      </w:r>
    </w:p>
    <w:p/>
    <w:p>
      <w:pPr>
        <w:pStyle w:val="113"/>
      </w:pPr>
      <w:r>
        <w:t xml:space="preserve">Table 6.4B.2.2.4.1-1: Test Configuration Table for FDD </w:t>
      </w:r>
    </w:p>
    <w:tbl>
      <w:tblPr>
        <w:tblStyle w:val="89"/>
        <w:tblW w:w="900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2"/>
        <w:gridCol w:w="2410"/>
        <w:gridCol w:w="1275"/>
        <w:gridCol w:w="1843"/>
        <w:gridCol w:w="23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Environment as specified in</w:t>
            </w:r>
          </w:p>
          <w:p>
            <w:pPr>
              <w:pStyle w:val="103"/>
            </w:pPr>
            <w:r>
              <w:rPr>
                <w:rFonts w:eastAsia="微软雅黑" w:cs="Arial"/>
              </w:rPr>
              <w:t>TS 36.508[12] subclause 8.1.1</w:t>
            </w:r>
          </w:p>
        </w:tc>
        <w:tc>
          <w:tcPr>
            <w:tcW w:w="5494"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12" w:type="dxa"/>
            <w:gridSpan w:val="2"/>
          </w:tcPr>
          <w:p>
            <w:pPr>
              <w:keepNext/>
              <w:spacing w:after="0" w:line="163" w:lineRule="atLeast"/>
              <w:rPr>
                <w:rFonts w:ascii="Arial" w:hAnsi="Arial" w:eastAsia="微软雅黑" w:cs="Arial"/>
                <w:sz w:val="18"/>
                <w:szCs w:val="18"/>
              </w:rPr>
            </w:pPr>
            <w:r>
              <w:rPr>
                <w:rFonts w:ascii="Arial" w:hAnsi="Arial" w:eastAsia="微软雅黑" w:cs="Arial"/>
                <w:sz w:val="18"/>
                <w:szCs w:val="18"/>
              </w:rPr>
              <w:t>Test Frequencies as specified in</w:t>
            </w:r>
          </w:p>
          <w:p>
            <w:pPr>
              <w:pStyle w:val="103"/>
            </w:pPr>
            <w:r>
              <w:rPr>
                <w:rFonts w:eastAsia="微软雅黑" w:cs="Arial"/>
              </w:rPr>
              <w:t>TS 36.508 [12] subclause 8.1.3.1</w:t>
            </w:r>
          </w:p>
        </w:tc>
        <w:tc>
          <w:tcPr>
            <w:tcW w:w="5494" w:type="dxa"/>
            <w:gridSpan w:val="3"/>
          </w:tcPr>
          <w:p>
            <w:pPr>
              <w:pStyle w:val="103"/>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006" w:type="dxa"/>
            <w:gridSpan w:val="5"/>
          </w:tcPr>
          <w:p>
            <w:pPr>
              <w:pStyle w:val="103"/>
              <w:jc w:val="center"/>
              <w:rPr>
                <w:b/>
              </w:rPr>
            </w:pPr>
            <w:r>
              <w:rPr>
                <w:b/>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rPr>
                <w:b/>
              </w:rPr>
            </w:pPr>
            <w:r>
              <w:rPr>
                <w:rFonts w:eastAsia="微软雅黑" w:cs="Arial"/>
                <w:b/>
                <w:bCs/>
              </w:rPr>
              <w:t>Configuration ID</w:t>
            </w:r>
          </w:p>
        </w:tc>
        <w:tc>
          <w:tcPr>
            <w:tcW w:w="2410" w:type="dxa"/>
          </w:tcPr>
          <w:p>
            <w:pPr>
              <w:pStyle w:val="103"/>
              <w:jc w:val="center"/>
              <w:rPr>
                <w:b/>
              </w:rPr>
            </w:pPr>
            <w:r>
              <w:rPr>
                <w:b/>
              </w:rPr>
              <w:t>Downlink Configuration</w:t>
            </w:r>
          </w:p>
        </w:tc>
        <w:tc>
          <w:tcPr>
            <w:tcW w:w="5494" w:type="dxa"/>
            <w:gridSpan w:val="3"/>
          </w:tcPr>
          <w:p>
            <w:pPr>
              <w:pStyle w:val="103"/>
              <w:jc w:val="center"/>
              <w:rPr>
                <w:b/>
              </w:rPr>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p>
        </w:tc>
        <w:tc>
          <w:tcPr>
            <w:tcW w:w="2410" w:type="dxa"/>
            <w:vMerge w:val="restart"/>
          </w:tcPr>
          <w:p>
            <w:pPr>
              <w:pStyle w:val="103"/>
              <w:jc w:val="center"/>
            </w:pPr>
            <w:r>
              <w:t>N/A</w:t>
            </w:r>
          </w:p>
        </w:tc>
        <w:tc>
          <w:tcPr>
            <w:tcW w:w="1275" w:type="dxa"/>
          </w:tcPr>
          <w:p>
            <w:pPr>
              <w:pStyle w:val="103"/>
              <w:jc w:val="center"/>
            </w:pPr>
            <w:r>
              <w:rPr>
                <w:rFonts w:eastAsia="微软雅黑" w:cs="Arial"/>
              </w:rPr>
              <w:t>Modulation</w:t>
            </w:r>
          </w:p>
        </w:tc>
        <w:tc>
          <w:tcPr>
            <w:tcW w:w="1843" w:type="dxa"/>
          </w:tcPr>
          <w:p>
            <w:pPr>
              <w:pStyle w:val="103"/>
              <w:jc w:val="center"/>
            </w:pPr>
            <w:r>
              <w:rPr>
                <w:rFonts w:eastAsia="微软雅黑" w:cs="Arial"/>
              </w:rPr>
              <w:t>N</w:t>
            </w:r>
            <w:r>
              <w:rPr>
                <w:rFonts w:eastAsia="微软雅黑" w:cs="Arial"/>
                <w:vertAlign w:val="subscript"/>
              </w:rPr>
              <w:t>tones</w:t>
            </w:r>
            <w:r>
              <w:rPr>
                <w:rFonts w:eastAsia="微软雅黑" w:cs="Arial"/>
              </w:rPr>
              <w:t>, start position</w:t>
            </w:r>
          </w:p>
        </w:tc>
        <w:tc>
          <w:tcPr>
            <w:tcW w:w="2376" w:type="dxa"/>
          </w:tcPr>
          <w:p>
            <w:pPr>
              <w:pStyle w:val="103"/>
              <w:jc w:val="center"/>
            </w:pPr>
            <w:r>
              <w:rPr>
                <w:rFonts w:eastAsia="微软雅黑" w:cs="Arial"/>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1</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2</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1@47</w:t>
            </w:r>
          </w:p>
        </w:tc>
        <w:tc>
          <w:tcPr>
            <w:tcW w:w="2376" w:type="dxa"/>
          </w:tcPr>
          <w:p>
            <w:pPr>
              <w:pStyle w:val="103"/>
              <w:jc w:val="center"/>
            </w:pPr>
            <w: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3</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eastAsia="微软雅黑" w:cs="Arial"/>
              </w:rPr>
              <w:t>1@0</w:t>
            </w:r>
          </w:p>
        </w:tc>
        <w:tc>
          <w:tcPr>
            <w:tcW w:w="2376" w:type="dxa"/>
          </w:tcPr>
          <w:p>
            <w:pPr>
              <w:pStyle w:val="103"/>
              <w:jc w:val="center"/>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02" w:type="dxa"/>
          </w:tcPr>
          <w:p>
            <w:pPr>
              <w:pStyle w:val="103"/>
              <w:jc w:val="center"/>
            </w:pPr>
            <w:r>
              <w:t>4</w:t>
            </w:r>
          </w:p>
        </w:tc>
        <w:tc>
          <w:tcPr>
            <w:tcW w:w="2410" w:type="dxa"/>
            <w:vMerge w:val="continue"/>
          </w:tcPr>
          <w:p>
            <w:pPr>
              <w:pStyle w:val="103"/>
              <w:jc w:val="center"/>
            </w:pPr>
          </w:p>
        </w:tc>
        <w:tc>
          <w:tcPr>
            <w:tcW w:w="1275" w:type="dxa"/>
          </w:tcPr>
          <w:p>
            <w:pPr>
              <w:pStyle w:val="103"/>
              <w:jc w:val="center"/>
            </w:pPr>
            <w:r>
              <w:t>QPSK</w:t>
            </w:r>
          </w:p>
        </w:tc>
        <w:tc>
          <w:tcPr>
            <w:tcW w:w="1843" w:type="dxa"/>
          </w:tcPr>
          <w:p>
            <w:pPr>
              <w:pStyle w:val="103"/>
              <w:jc w:val="center"/>
            </w:pPr>
            <w:r>
              <w:rPr>
                <w:rFonts w:ascii="Calibri" w:hAnsi="Calibri" w:cs="Calibri"/>
                <w:sz w:val="22"/>
                <w:szCs w:val="22"/>
              </w:rPr>
              <w:t>1@11</w:t>
            </w:r>
          </w:p>
        </w:tc>
        <w:tc>
          <w:tcPr>
            <w:tcW w:w="2376" w:type="dxa"/>
          </w:tcPr>
          <w:p>
            <w:pPr>
              <w:pStyle w:val="103"/>
              <w:jc w:val="center"/>
            </w:pPr>
            <w:r>
              <w:t>15</w:t>
            </w:r>
          </w:p>
        </w:tc>
      </w:tr>
    </w:tbl>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6.4B.2.2.4.1-1.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Ensure the UE is State 2A-NB with CP CIoT Optimisation to TS 36.508 [12] clause 8.1.5. Message contents are defined in clause 6.4B.2.2.4.3.</w:t>
      </w:r>
    </w:p>
    <w:p>
      <w:pPr>
        <w:pStyle w:val="9"/>
      </w:pPr>
      <w:r>
        <w:t>6.4B.2.</w:t>
      </w:r>
      <w:r>
        <w:rPr>
          <w:rFonts w:hint="eastAsia"/>
        </w:rPr>
        <w:t>2</w:t>
      </w:r>
      <w:r>
        <w:t>.4.2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SS sends uplink scheduling information for UL HARQ process via NPDCCH DCI format N0 for C_RNTI to schedule the UL RMC according to Table 6.4B.2.2.4.1-1. Since the UE has no payload and no loopback data to send the UE sends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Configure UE to transmit at P</w:t>
      </w:r>
      <w:r>
        <w:rPr>
          <w:rFonts w:hint="eastAsia"/>
          <w:vertAlign w:val="baseline"/>
          <w:lang w:eastAsia="en-GB"/>
        </w:rPr>
        <w:t>UMAX</w:t>
      </w:r>
      <w:r>
        <w:rPr>
          <w:rFonts w:hint="eastAsia"/>
          <w:lang w:eastAsia="en-GB"/>
        </w:rPr>
        <w:t xml:space="preserve"> level</w:t>
      </w:r>
      <w:r>
        <w:rPr>
          <w:rFonts w:hint="eastAsia" w:cs="Times New Roman"/>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 xml:space="preserve">Measure carrier leakage using Global In-Channel Tx-Test (Annex E). </w:t>
      </w:r>
    </w:p>
    <w:p>
      <w:pPr>
        <w:pStyle w:val="111"/>
        <w:overflowPunct w:val="0"/>
        <w:autoSpaceDE w:val="0"/>
        <w:autoSpaceDN w:val="0"/>
        <w:adjustRightInd w:val="0"/>
        <w:ind w:left="568"/>
        <w:textAlignment w:val="baseline"/>
        <w:rPr>
          <w:rFonts w:hint="eastAsia"/>
          <w:lang w:eastAsia="en-GB"/>
        </w:rPr>
      </w:pPr>
      <w:r>
        <w:rPr>
          <w:rFonts w:hint="eastAsia"/>
          <w:lang w:eastAsia="en-GB"/>
        </w:rPr>
        <w:t>4. Release the connection through State 3A-NB.</w:t>
      </w:r>
    </w:p>
    <w:p>
      <w:pPr>
        <w:pStyle w:val="111"/>
        <w:overflowPunct w:val="0"/>
        <w:autoSpaceDE w:val="0"/>
        <w:autoSpaceDN w:val="0"/>
        <w:adjustRightInd w:val="0"/>
        <w:ind w:left="568"/>
        <w:textAlignment w:val="baseline"/>
        <w:rPr>
          <w:rFonts w:hint="eastAsia"/>
          <w:lang w:eastAsia="en-GB"/>
        </w:rPr>
      </w:pPr>
      <w:r>
        <w:rPr>
          <w:rFonts w:hint="eastAsia"/>
          <w:lang w:eastAsia="en-GB"/>
        </w:rPr>
        <w:t>5. Modify system information elements according to Table 6.4B.2.2.4.3-1 and Table 6.4B.2.2.4.3-2 and notify the UE via paging message with SystemInformationModification included (test point 2).</w:t>
      </w:r>
    </w:p>
    <w:p>
      <w:pPr>
        <w:pStyle w:val="111"/>
        <w:overflowPunct w:val="0"/>
        <w:autoSpaceDE w:val="0"/>
        <w:autoSpaceDN w:val="0"/>
        <w:adjustRightInd w:val="0"/>
        <w:ind w:left="568"/>
        <w:textAlignment w:val="baseline"/>
        <w:rPr>
          <w:rFonts w:hint="eastAsia"/>
          <w:lang w:eastAsia="en-GB"/>
        </w:rPr>
      </w:pPr>
      <w:r>
        <w:rPr>
          <w:rFonts w:hint="eastAsia"/>
          <w:lang w:eastAsia="en-GB"/>
        </w:rPr>
        <w:t>6. 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8.</w:t>
      </w:r>
      <w:r>
        <w:rPr>
          <w:rFonts w:hint="eastAsia"/>
          <w:lang w:eastAsia="en-GB"/>
        </w:rPr>
        <w:tab/>
      </w:r>
      <w:r>
        <w:rPr>
          <w:rFonts w:hint="eastAsia"/>
          <w:lang w:eastAsia="en-GB"/>
        </w:rPr>
        <w:t xml:space="preserve">Measure carrier leakage using Global In-Channel Tx-Test (Annex E).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w:t>
      </w:r>
      <w:r>
        <w:rPr>
          <w:rFonts w:hint="eastAsia"/>
        </w:rPr>
        <w:t>2</w:t>
      </w:r>
      <w:r>
        <w:t>.4.3</w:t>
      </w:r>
      <w:r>
        <w:tab/>
      </w:r>
      <w:r>
        <w:t>Message contents</w:t>
      </w:r>
    </w:p>
    <w:p>
      <w:r>
        <w:t>Message contents are according to TS 36.508 [12] subclause 8.1.6 with the following exceptions:</w:t>
      </w:r>
    </w:p>
    <w:p>
      <w:pPr>
        <w:pStyle w:val="113"/>
      </w:pPr>
      <w:r>
        <w:t>Table 6.4B.2.2.4.3-1: P0-NominalNPUSCH-r13 configuration for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6.4B.2.2.4.3-2: NPDSCH-ConfigCommon-NB-DEFAULT configuration for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single" w:color="auto" w:sz="4" w:space="0"/>
            </w:tcBorders>
          </w:tcPr>
          <w:p>
            <w:pPr>
              <w:keepNext/>
              <w:keepLines/>
              <w:spacing w:after="0"/>
              <w:rPr>
                <w:rFonts w:ascii="Arial" w:hAnsi="Arial"/>
                <w:sz w:val="18"/>
              </w:rPr>
            </w:pPr>
            <w:r>
              <w:rPr>
                <w:rFonts w:ascii="Arial" w:hAnsi="Arial"/>
                <w:sz w:val="18"/>
              </w:rPr>
              <w:t xml:space="preserve">  nrs-Power-r13</w:t>
            </w:r>
          </w:p>
        </w:tc>
        <w:tc>
          <w:tcPr>
            <w:tcW w:w="2268" w:type="dxa"/>
          </w:tcPr>
          <w:p>
            <w:pPr>
              <w:keepNext/>
              <w:keepLines/>
              <w:spacing w:after="0"/>
              <w:rPr>
                <w:rFonts w:ascii="Arial" w:hAnsi="Arial"/>
                <w:sz w:val="18"/>
              </w:rPr>
            </w:pPr>
            <w:r>
              <w:rPr>
                <w:rFonts w:ascii="Arial" w:hAnsi="Arial"/>
                <w:sz w:val="18"/>
              </w:rPr>
              <w:t>21 (dBm)</w:t>
            </w: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rPr>
                <w:rFonts w:ascii="Arial" w:hAnsi="Arial"/>
                <w:sz w:val="18"/>
              </w:rPr>
            </w:pPr>
            <w:r>
              <w:rPr>
                <w:rFonts w:ascii="Arial" w:hAnsi="Arial"/>
                <w:sz w:val="18"/>
              </w:rPr>
              <w:t>}</w:t>
            </w:r>
          </w:p>
        </w:tc>
        <w:tc>
          <w:tcPr>
            <w:tcW w:w="2268" w:type="dxa"/>
          </w:tcPr>
          <w:p>
            <w:pPr>
              <w:keepNext/>
              <w:keepLines/>
              <w:spacing w:after="0"/>
              <w:rPr>
                <w:rFonts w:ascii="Arial" w:hAnsi="Arial"/>
                <w:sz w:val="18"/>
              </w:rPr>
            </w:pP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bl>
    <w:p/>
    <w:p>
      <w:pPr>
        <w:pStyle w:val="9"/>
      </w:pPr>
      <w:r>
        <w:t>6.4B.2.</w:t>
      </w:r>
      <w:r>
        <w:rPr>
          <w:rFonts w:hint="eastAsia"/>
        </w:rPr>
        <w:t>2</w:t>
      </w:r>
      <w:r>
        <w:t>.5</w:t>
      </w:r>
      <w:r>
        <w:tab/>
      </w:r>
      <w:r>
        <w:t>Test requirement</w:t>
      </w:r>
    </w:p>
    <w:p>
      <w:pPr>
        <w:tabs>
          <w:tab w:val="left" w:pos="3450"/>
        </w:tabs>
      </w:pPr>
      <w:r>
        <w:t>Each of the carrier leakage results, derived in Annex E.3.1, shall not exceed the values in table 6.4A.2.2.5-1</w:t>
      </w:r>
    </w:p>
    <w:p>
      <w:pPr>
        <w:pStyle w:val="113"/>
        <w:rPr>
          <w:rFonts w:eastAsia="Osaka"/>
        </w:rPr>
      </w:pPr>
      <w:r>
        <w:rPr>
          <w:rFonts w:eastAsia="Osaka"/>
        </w:rPr>
        <w:t>Table 6.4A.2.2</w:t>
      </w:r>
      <w:r>
        <w:t>.5-1</w:t>
      </w:r>
      <w:r>
        <w:rPr>
          <w:rFonts w:eastAsia="Osaka"/>
        </w:rPr>
        <w:t xml:space="preserve">: </w:t>
      </w:r>
      <w:r>
        <w:rPr>
          <w:rFonts w:cs="Arial"/>
        </w:rPr>
        <w:t xml:space="preserve">Test requirements for </w:t>
      </w:r>
      <w:r>
        <w:rPr>
          <w:rFonts w:eastAsia="Osaka"/>
        </w:rPr>
        <w:t>Relative Carrier Leakage Power</w:t>
      </w:r>
    </w:p>
    <w:tbl>
      <w:tblPr>
        <w:tblStyle w:val="89"/>
        <w:tblW w:w="6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2"/>
        <w:gridCol w:w="3195"/>
        <w:gridCol w:w="2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42" w:type="dxa"/>
            <w:vMerge w:val="restart"/>
            <w:shd w:val="clear" w:color="auto" w:fill="auto"/>
          </w:tcPr>
          <w:p>
            <w:pPr>
              <w:keepNext/>
              <w:keepLines/>
              <w:spacing w:after="0"/>
              <w:jc w:val="center"/>
              <w:rPr>
                <w:rFonts w:ascii="Arial" w:hAnsi="Arial"/>
                <w:b/>
                <w:sz w:val="18"/>
              </w:rPr>
            </w:pPr>
            <w:r>
              <w:rPr>
                <w:rFonts w:ascii="Arial" w:hAnsi="Arial"/>
                <w:b/>
                <w:sz w:val="18"/>
              </w:rPr>
              <w:t>LO Leakage</w:t>
            </w:r>
          </w:p>
        </w:tc>
        <w:tc>
          <w:tcPr>
            <w:tcW w:w="3195" w:type="dxa"/>
          </w:tcPr>
          <w:p>
            <w:pPr>
              <w:keepNext/>
              <w:keepLines/>
              <w:spacing w:after="0"/>
              <w:jc w:val="center"/>
              <w:rPr>
                <w:rFonts w:ascii="Arial" w:hAnsi="Arial"/>
                <w:b/>
                <w:sz w:val="18"/>
              </w:rPr>
            </w:pPr>
            <w:r>
              <w:rPr>
                <w:rFonts w:ascii="Arial" w:hAnsi="Arial"/>
                <w:b/>
                <w:sz w:val="18"/>
              </w:rPr>
              <w:t>Parameters</w:t>
            </w:r>
          </w:p>
        </w:tc>
        <w:tc>
          <w:tcPr>
            <w:tcW w:w="2002" w:type="dxa"/>
            <w:shd w:val="clear" w:color="auto" w:fill="auto"/>
          </w:tcPr>
          <w:p>
            <w:pPr>
              <w:keepNext/>
              <w:keepLines/>
              <w:spacing w:after="0"/>
              <w:jc w:val="center"/>
              <w:rPr>
                <w:rFonts w:ascii="Arial" w:hAnsi="Arial"/>
                <w:b/>
                <w:sz w:val="18"/>
              </w:rPr>
            </w:pPr>
            <w:r>
              <w:rPr>
                <w:rFonts w:ascii="Arial" w:hAnsi="Arial"/>
                <w:b/>
                <w:sz w:val="18"/>
              </w:rPr>
              <w:t>Relative Limit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42" w:type="dxa"/>
            <w:vMerge w:val="continue"/>
            <w:shd w:val="clear" w:color="auto" w:fill="auto"/>
          </w:tcPr>
          <w:p>
            <w:pPr>
              <w:jc w:val="center"/>
              <w:rPr>
                <w:rFonts w:ascii="Arial" w:hAnsi="Arial" w:cs="Arial"/>
                <w:sz w:val="18"/>
                <w:szCs w:val="18"/>
              </w:rPr>
            </w:pPr>
          </w:p>
        </w:tc>
        <w:tc>
          <w:tcPr>
            <w:tcW w:w="3195" w:type="dxa"/>
          </w:tcPr>
          <w:p>
            <w:pPr>
              <w:keepNext/>
              <w:keepLines/>
              <w:spacing w:after="0"/>
              <w:jc w:val="center"/>
              <w:rPr>
                <w:rFonts w:ascii="Arial" w:hAnsi="Arial"/>
                <w:sz w:val="18"/>
              </w:rPr>
            </w:pPr>
            <w:r>
              <w:rPr>
                <w:rFonts w:ascii="Arial" w:hAnsi="Arial"/>
                <w:sz w:val="18"/>
              </w:rPr>
              <w:t>Test point 1</w:t>
            </w:r>
          </w:p>
        </w:tc>
        <w:tc>
          <w:tcPr>
            <w:tcW w:w="2002" w:type="dxa"/>
            <w:shd w:val="clear" w:color="auto" w:fill="auto"/>
          </w:tcPr>
          <w:p>
            <w:pPr>
              <w:keepNext/>
              <w:keepLines/>
              <w:spacing w:after="0"/>
              <w:jc w:val="center"/>
              <w:rPr>
                <w:rFonts w:ascii="Arial" w:hAnsi="Arial"/>
                <w:sz w:val="18"/>
              </w:rPr>
            </w:pPr>
            <w:r>
              <w:rPr>
                <w:rFonts w:ascii="Arial" w:hAnsi="Arial"/>
                <w:sz w:val="18"/>
              </w:rPr>
              <w:t>-24.2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2" w:type="dxa"/>
            <w:vMerge w:val="continue"/>
            <w:shd w:val="clear" w:color="auto" w:fill="auto"/>
          </w:tcPr>
          <w:p>
            <w:pPr>
              <w:jc w:val="center"/>
              <w:rPr>
                <w:rFonts w:ascii="Arial" w:hAnsi="Arial" w:cs="Arial"/>
                <w:sz w:val="18"/>
                <w:szCs w:val="18"/>
              </w:rPr>
            </w:pPr>
          </w:p>
        </w:tc>
        <w:tc>
          <w:tcPr>
            <w:tcW w:w="3195" w:type="dxa"/>
          </w:tcPr>
          <w:p>
            <w:pPr>
              <w:keepNext/>
              <w:keepLines/>
              <w:spacing w:after="0"/>
              <w:jc w:val="center"/>
              <w:rPr>
                <w:rFonts w:ascii="Arial" w:hAnsi="Arial"/>
                <w:sz w:val="18"/>
              </w:rPr>
            </w:pPr>
            <w:r>
              <w:rPr>
                <w:rFonts w:ascii="Arial" w:hAnsi="Arial"/>
                <w:sz w:val="18"/>
              </w:rPr>
              <w:t>Test point 2</w:t>
            </w:r>
          </w:p>
        </w:tc>
        <w:tc>
          <w:tcPr>
            <w:tcW w:w="2002" w:type="dxa"/>
            <w:shd w:val="clear" w:color="auto" w:fill="auto"/>
          </w:tcPr>
          <w:p>
            <w:pPr>
              <w:keepNext/>
              <w:keepLines/>
              <w:spacing w:after="0"/>
              <w:jc w:val="center"/>
              <w:rPr>
                <w:rFonts w:ascii="Arial" w:hAnsi="Arial"/>
                <w:sz w:val="18"/>
              </w:rPr>
            </w:pPr>
            <w:r>
              <w:rPr>
                <w:rFonts w:ascii="Arial" w:hAnsi="Arial"/>
                <w:sz w:val="18"/>
              </w:rPr>
              <w:t>-19.2</w:t>
            </w:r>
          </w:p>
        </w:tc>
      </w:tr>
    </w:tbl>
    <w:p/>
    <w:p>
      <w:pPr>
        <w:pStyle w:val="6"/>
        <w:rPr>
          <w:lang w:val="en-GB"/>
        </w:rPr>
      </w:pPr>
      <w:bookmarkStart w:id="435" w:name="_Toc3810"/>
      <w:r>
        <w:t>6.4B.2.3</w:t>
      </w:r>
      <w:r>
        <w:tab/>
      </w:r>
      <w:r>
        <w:t>In-band emissions for Category NB1 and NB2</w:t>
      </w:r>
      <w:bookmarkEnd w:id="435"/>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Pr>
        <w:pStyle w:val="9"/>
      </w:pPr>
      <w:r>
        <w:t>6.4B.2.3.1</w:t>
      </w:r>
      <w:r>
        <w:tab/>
      </w:r>
      <w:r>
        <w:t>Test purpose</w:t>
      </w:r>
    </w:p>
    <w:p>
      <w:r>
        <w:t>The in-band emissions are a measure of the interference falling into the non-allocated tones.</w:t>
      </w:r>
    </w:p>
    <w:p>
      <w:r>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pPr>
        <w:pStyle w:val="9"/>
      </w:pPr>
      <w:r>
        <w:t>6.4B.2.3.2</w:t>
      </w:r>
      <w:r>
        <w:tab/>
      </w:r>
      <w:r>
        <w:t>Test applicability</w:t>
      </w:r>
    </w:p>
    <w:p>
      <w:r>
        <w:t>This test case applies to all types of NB-IoT FDD UE release 1</w:t>
      </w:r>
      <w:r>
        <w:rPr>
          <w:rFonts w:eastAsia="PMingLiU"/>
          <w:lang w:eastAsia="zh-TW"/>
        </w:rPr>
        <w:t>7</w:t>
      </w:r>
      <w:r>
        <w:t xml:space="preserve"> and forward of UE category NB1 and NB2 that support satellite access operation.</w:t>
      </w:r>
    </w:p>
    <w:p>
      <w:pPr>
        <w:pStyle w:val="9"/>
      </w:pPr>
      <w:r>
        <w:t>6.4B.2.3.3</w:t>
      </w:r>
      <w:r>
        <w:tab/>
      </w:r>
      <w:r>
        <w:t>Minimum conformance requirements</w:t>
      </w:r>
    </w:p>
    <w:p>
      <w:pPr>
        <w:rPr>
          <w:rFonts w:cs="v5.0.0"/>
        </w:rPr>
      </w:pPr>
      <w:r>
        <w:t>The category NB1 and NB2 UE relative in-band emission shall not exceed the values specified in Table 6.4B.2.3.3-1</w:t>
      </w:r>
      <w:r>
        <w:rPr>
          <w:rFonts w:cs="v5.0.0"/>
        </w:rPr>
        <w:t>.</w:t>
      </w:r>
    </w:p>
    <w:p>
      <w:pPr>
        <w:pStyle w:val="113"/>
      </w:pPr>
      <w:r>
        <w:t>Table 6.</w:t>
      </w:r>
      <w:r>
        <w:rPr>
          <w:rFonts w:hint="eastAsia"/>
        </w:rPr>
        <w:t>4</w:t>
      </w:r>
      <w:r>
        <w:t>B.2.3.3-1: Minimum requirements for in-band emissions</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1828"/>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4"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1828"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96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414" w:type="dxa"/>
            <w:tcBorders>
              <w:top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General</w:t>
            </w:r>
          </w:p>
        </w:tc>
        <w:tc>
          <w:tcPr>
            <w:tcW w:w="1828"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60" o:spt="75" type="#_x0000_t75" style="height:47.45pt;width:161.45pt;" o:ole="t" filled="f" o:preferrelative="t" stroked="f" coordsize="21600,21600">
                  <v:path/>
                  <v:fill on="f" focussize="0,0"/>
                  <v:stroke on="f" joinstyle="miter"/>
                  <v:imagedata r:id="rId75" o:title=""/>
                  <o:lock v:ext="edit" aspectratio="t"/>
                  <w10:wrap type="none"/>
                  <w10:anchorlock/>
                </v:shape>
                <o:OLEObject Type="Embed" ProgID="Equation.3" ShapeID="_x0000_i1060" DrawAspect="Content" ObjectID="_1468075760" r:id="rId74">
                  <o:LockedField>false</o:LockedField>
                </o:OLEObject>
              </w:object>
            </w:r>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14" w:type="dxa"/>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1828" w:type="dxa"/>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1964" w:type="dxa"/>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414"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1828"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-25</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0 dBm ≤ Output power</w:t>
            </w:r>
          </w:p>
        </w:tc>
        <w:tc>
          <w:tcPr>
            <w:tcW w:w="196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1828"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-20</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-30 dBm ≤ Output power ≤ 0 dBm</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1828"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-10</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 xml:space="preserve">-40 dBm </w:t>
            </w:r>
            <w:r>
              <w:rPr>
                <w:rFonts w:cs="Arial"/>
              </w:rPr>
              <w:sym w:font="Symbol" w:char="F0A3"/>
            </w:r>
            <w:r>
              <w:rPr>
                <w:rFonts w:cs="Arial"/>
              </w:rPr>
              <w:t xml:space="preserve"> Output power &lt; -30 dBm</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tone. For each such tone, the minimum requirement is calculated as the higher of </w:t>
            </w:r>
            <w:r>
              <w:rPr>
                <w:rFonts w:cs="Arial"/>
                <w:i/>
              </w:rPr>
              <w:t>P</w:t>
            </w:r>
            <w:r>
              <w:rPr>
                <w:rFonts w:cs="Arial"/>
                <w:i/>
                <w:vertAlign w:val="subscript"/>
              </w:rPr>
              <w:t xml:space="preserve">tone </w:t>
            </w:r>
            <w:r>
              <w:rPr>
                <w:rFonts w:cs="Arial"/>
              </w:rPr>
              <w:t xml:space="preserve">- 30 dB and the power sum of all limit values (General, IQ Image or Carrier leakage) that apply. </w:t>
            </w:r>
            <w:r>
              <w:rPr>
                <w:rFonts w:cs="Arial"/>
                <w:i/>
              </w:rPr>
              <w:t>P</w:t>
            </w:r>
            <w:r>
              <w:rPr>
                <w:rFonts w:cs="Arial"/>
                <w:i/>
                <w:vertAlign w:val="subscript"/>
              </w:rPr>
              <w:t>tone</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tone and the limit is expressed as a ratio of measured power in one non-allocated tone to the measured average power per allocated tone, where the averaging is done across all allocated tones.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tones.</w:t>
            </w:r>
          </w:p>
          <w:p>
            <w:pPr>
              <w:pStyle w:val="118"/>
              <w:rPr>
                <w:rFonts w:cs="Arial"/>
              </w:rPr>
            </w:pPr>
            <w:r>
              <w:rPr>
                <w:rFonts w:cs="Arial"/>
              </w:rPr>
              <w:t>NOTE 4:</w:t>
            </w:r>
            <w:r>
              <w:rPr>
                <w:rFonts w:cs="Arial"/>
              </w:rPr>
              <w:tab/>
            </w:r>
            <w:r>
              <w:rPr>
                <w:rFonts w:cs="Arial"/>
              </w:rPr>
              <w:t>The measurement bandwidth is 1 tone and the limit is expressed as a ratio of measured power in one non-allocated tone to the measured total power in all allocated tones.</w:t>
            </w:r>
          </w:p>
          <w:p>
            <w:pPr>
              <w:pStyle w:val="118"/>
              <w:rPr>
                <w:rFonts w:cs="Arial"/>
              </w:rPr>
            </w:pPr>
            <w:r>
              <w:rPr>
                <w:rFonts w:cs="Arial"/>
              </w:rPr>
              <w:t>NOTE 5:</w:t>
            </w:r>
            <w:r>
              <w:rPr>
                <w:rFonts w:cs="Arial"/>
              </w:rPr>
              <w:tab/>
            </w:r>
            <w:r>
              <w:rPr>
                <w:rFonts w:cs="Arial"/>
              </w:rPr>
              <w:t xml:space="preserve">The applicable frequencies for this limit are those that are enclosed in the tones containing the DC frequency if </w:t>
            </w:r>
            <w:r>
              <w:rPr>
                <w:rFonts w:cs="Arial"/>
                <w:position w:val="-12"/>
              </w:rPr>
              <w:object>
                <v:shape id="_x0000_i1061" o:spt="75" type="#_x0000_t75" style="height:19.65pt;width:24.55pt;" o:ole="t" filled="f" o:preferrelative="t" stroked="f" coordsize="21600,21600">
                  <v:path/>
                  <v:fill on="f" focussize="0,0"/>
                  <v:stroke on="f" joinstyle="miter"/>
                  <v:imagedata r:id="rId77" o:title=""/>
                  <o:lock v:ext="edit" aspectratio="t"/>
                  <w10:wrap type="none"/>
                  <w10:anchorlock/>
                </v:shape>
                <o:OLEObject Type="Embed" ProgID="Equation.3" ShapeID="_x0000_i1061" DrawAspect="Content" ObjectID="_1468075761" r:id="rId76">
                  <o:LockedField>false</o:LockedField>
                </o:OLEObject>
              </w:object>
            </w:r>
            <w:r>
              <w:rPr>
                <w:rFonts w:cs="Arial"/>
              </w:rPr>
              <w:t xml:space="preserve"> is odd, or in the two tones immediately adjacent to the DC frequency if </w:t>
            </w:r>
            <w:r>
              <w:rPr>
                <w:rFonts w:cs="Arial"/>
                <w:position w:val="-12"/>
              </w:rPr>
              <w:object>
                <v:shape id="_x0000_i1062" o:spt="75" type="#_x0000_t75" style="height:19.65pt;width:24.55pt;" o:ole="t" filled="f" o:preferrelative="t" stroked="f" coordsize="21600,21600">
                  <v:path/>
                  <v:fill on="f" focussize="0,0"/>
                  <v:stroke on="f" joinstyle="miter"/>
                  <v:imagedata r:id="rId79" o:title=""/>
                  <o:lock v:ext="edit" aspectratio="t"/>
                  <w10:wrap type="none"/>
                  <w10:anchorlock/>
                </v:shape>
                <o:OLEObject Type="Embed" ProgID="Equation.3" ShapeID="_x0000_i1062" DrawAspect="Content" ObjectID="_1468075762" r:id="rId78">
                  <o:LockedField>false</o:LockedField>
                </o:OLEObject>
              </w:object>
            </w:r>
            <w:r>
              <w:rPr>
                <w:rFonts w:cs="Arial"/>
              </w:rPr>
              <w:t xml:space="preserve"> is even, but excluding any allocated tone.</w:t>
            </w:r>
          </w:p>
          <w:p>
            <w:pPr>
              <w:pStyle w:val="118"/>
              <w:rPr>
                <w:rFonts w:cs="Arial"/>
              </w:rPr>
            </w:pPr>
            <w:r>
              <w:rPr>
                <w:rFonts w:cs="Arial"/>
              </w:rPr>
              <w:t>NOTE 6:</w:t>
            </w:r>
            <w:r>
              <w:rPr>
                <w:rFonts w:cs="Arial"/>
              </w:rPr>
              <w:tab/>
            </w:r>
            <w:r>
              <w:rPr>
                <w:rFonts w:cs="Arial"/>
                <w:position w:val="-12"/>
              </w:rPr>
              <w:object>
                <v:shape id="_x0000_i1063" o:spt="75" type="#_x0000_t75" style="height:19.65pt;width:27.25pt;" o:ole="t" filled="f" o:preferrelative="t" stroked="f" coordsize="21600,21600">
                  <v:path/>
                  <v:fill on="f" focussize="0,0"/>
                  <v:stroke on="f" joinstyle="miter"/>
                  <v:imagedata r:id="rId81" o:title=""/>
                  <o:lock v:ext="edit" aspectratio="t"/>
                  <w10:wrap type="none"/>
                  <w10:anchorlock/>
                </v:shape>
                <o:OLEObject Type="Embed" ProgID="Equation.3" ShapeID="_x0000_i1063" DrawAspect="Content" ObjectID="_1468075763" r:id="rId80">
                  <o:LockedField>false</o:LockedField>
                </o:OLEObject>
              </w:object>
            </w:r>
            <w:r>
              <w:rPr>
                <w:rFonts w:cs="Arial"/>
              </w:rPr>
              <w:t xml:space="preserve"> is the Transmission Bandwidth (tones).</w:t>
            </w:r>
          </w:p>
          <w:p>
            <w:pPr>
              <w:pStyle w:val="118"/>
              <w:rPr>
                <w:rFonts w:cs="Arial"/>
              </w:rPr>
            </w:pPr>
            <w:r>
              <w:rPr>
                <w:rFonts w:cs="Arial"/>
              </w:rPr>
              <w:t>NOTE 7:</w:t>
            </w:r>
            <w:r>
              <w:rPr>
                <w:rFonts w:cs="Arial"/>
              </w:rPr>
              <w:tab/>
            </w:r>
            <w:r>
              <w:rPr>
                <w:rFonts w:cs="Arial"/>
                <w:position w:val="-12"/>
              </w:rPr>
              <w:object>
                <v:shape id="_x0000_i1064" o:spt="75" type="#_x0000_t75" style="height:19.65pt;width:24.55pt;" o:ole="t" filled="f" o:preferrelative="t" stroked="f" coordsize="21600,21600">
                  <v:path/>
                  <v:fill on="f" focussize="0,0"/>
                  <v:stroke on="f" joinstyle="miter"/>
                  <v:imagedata r:id="rId83" o:title=""/>
                  <o:lock v:ext="edit" aspectratio="t"/>
                  <w10:wrap type="none"/>
                  <w10:anchorlock/>
                </v:shape>
                <o:OLEObject Type="Embed" ProgID="Equation.3" ShapeID="_x0000_i1064" DrawAspect="Content" ObjectID="_1468075764" r:id="rId82">
                  <o:LockedField>false</o:LockedField>
                </o:OLEObject>
              </w:object>
            </w:r>
            <w:r>
              <w:rPr>
                <w:rFonts w:cs="Arial"/>
              </w:rPr>
              <w:t xml:space="preserve"> is the Transmission Bandwidth Configuration (tones).</w:t>
            </w:r>
          </w:p>
          <w:p>
            <w:pPr>
              <w:pStyle w:val="118"/>
              <w:rPr>
                <w:rFonts w:cs="Arial"/>
              </w:rPr>
            </w:pPr>
            <w:r>
              <w:rPr>
                <w:rFonts w:cs="Arial"/>
              </w:rPr>
              <w:t>NOTE 8:</w:t>
            </w:r>
            <w:r>
              <w:rPr>
                <w:rFonts w:cs="Arial"/>
              </w:rPr>
              <w:tab/>
            </w:r>
            <w:r>
              <w:rPr>
                <w:rFonts w:cs="Arial"/>
                <w:position w:val="-12"/>
              </w:rPr>
              <w:object>
                <v:shape id="_x0000_i1065" o:spt="75" type="#_x0000_t75" style="height:19.65pt;width:24.55pt;" o:ole="t" filled="f" o:preferrelative="t" stroked="f" coordsize="21600,21600">
                  <v:path/>
                  <v:fill on="f" focussize="0,0"/>
                  <v:stroke on="f" joinstyle="miter"/>
                  <v:imagedata r:id="rId85" o:title=""/>
                  <o:lock v:ext="edit" aspectratio="t"/>
                  <w10:wrap type="none"/>
                  <w10:anchorlock/>
                </v:shape>
                <o:OLEObject Type="Embed" ProgID="Equation.3" ShapeID="_x0000_i1065" DrawAspect="Content" ObjectID="_1468075765" r:id="rId84">
                  <o:LockedField>false</o:LockedField>
                </o:OLEObject>
              </w:object>
            </w:r>
            <w:r>
              <w:rPr>
                <w:rFonts w:cs="Arial"/>
              </w:rPr>
              <w:t xml:space="preserve"> is the starting frequency offset between the allocated tone and the measured non-allocated tone. (e.g. </w:t>
            </w:r>
            <w:r>
              <w:rPr>
                <w:rFonts w:cs="Arial"/>
                <w:position w:val="-12"/>
              </w:rPr>
              <w:object>
                <v:shape id="_x0000_i1066" o:spt="75" type="#_x0000_t75" style="height:19.65pt;width:39.8pt;" o:ole="t" filled="f" o:preferrelative="t" stroked="f" coordsize="21600,21600">
                  <v:path/>
                  <v:fill on="f" focussize="0,0"/>
                  <v:stroke on="f" joinstyle="miter"/>
                  <v:imagedata r:id="rId87" o:title=""/>
                  <o:lock v:ext="edit" aspectratio="t"/>
                  <w10:wrap type="none"/>
                  <w10:anchorlock/>
                </v:shape>
                <o:OLEObject Type="Embed" ProgID="Equation.3" ShapeID="_x0000_i1066" DrawAspect="Content" ObjectID="_1468075766" r:id="rId86">
                  <o:LockedField>false</o:LockedField>
                </o:OLEObject>
              </w:object>
            </w:r>
            <w:r>
              <w:rPr>
                <w:rFonts w:cs="Arial"/>
              </w:rPr>
              <w:t xml:space="preserve"> or </w:t>
            </w:r>
            <w:r>
              <w:rPr>
                <w:rFonts w:cs="Arial"/>
                <w:position w:val="-12"/>
              </w:rPr>
              <w:object>
                <v:shape id="_x0000_i1067" o:spt="75" type="#_x0000_t75" style="height:19.65pt;width:47.45pt;" o:ole="t" filled="f" o:preferrelative="t" stroked="f" coordsize="21600,21600">
                  <v:path/>
                  <v:fill on="f" focussize="0,0"/>
                  <v:stroke on="f" joinstyle="miter"/>
                  <v:imagedata r:id="rId89" o:title=""/>
                  <o:lock v:ext="edit" aspectratio="t"/>
                  <w10:wrap type="none"/>
                  <w10:anchorlock/>
                </v:shape>
                <o:OLEObject Type="Embed" ProgID="Equation.3" ShapeID="_x0000_i1067" DrawAspect="Content" ObjectID="_1468075767" r:id="rId88">
                  <o:LockedField>false</o:LockedField>
                </o:OLEObject>
              </w:object>
            </w:r>
            <w:r>
              <w:rPr>
                <w:rFonts w:cs="Arial"/>
              </w:rPr>
              <w:t xml:space="preserve"> for the first adjacent tone outside of the allocated bandwidth.</w:t>
            </w:r>
          </w:p>
          <w:p>
            <w:pPr>
              <w:pStyle w:val="118"/>
              <w:rPr>
                <w:rFonts w:cs="Arial"/>
              </w:rPr>
            </w:pPr>
            <w:r>
              <w:rPr>
                <w:rFonts w:cs="Arial"/>
              </w:rPr>
              <w:t>NOTE 9:</w:t>
            </w:r>
            <w:r>
              <w:rPr>
                <w:rFonts w:cs="Arial"/>
              </w:rPr>
              <w:tab/>
            </w:r>
            <w:r>
              <w:rPr>
                <w:rFonts w:cs="Arial"/>
                <w:position w:val="-12"/>
              </w:rPr>
              <w:object>
                <v:shape id="_x0000_i1068" o:spt="75" type="#_x0000_t75" style="height:19.65pt;width:21.8pt;" o:ole="t" filled="f" o:preferrelative="t" stroked="f" coordsize="21600,21600">
                  <v:path/>
                  <v:fill on="f" focussize="0,0"/>
                  <v:stroke on="f" joinstyle="miter"/>
                  <v:imagedata r:id="rId91" o:title=""/>
                  <o:lock v:ext="edit" aspectratio="t"/>
                  <w10:wrap type="none"/>
                  <w10:anchorlock/>
                </v:shape>
                <o:OLEObject Type="Embed" ProgID="Equation.3" ShapeID="_x0000_i1068" DrawAspect="Content" ObjectID="_1468075768" r:id="rId90">
                  <o:LockedField>false</o:LockedField>
                </o:OLEObject>
              </w:object>
            </w:r>
            <w:r>
              <w:rPr>
                <w:rFonts w:cs="Arial"/>
              </w:rPr>
              <w:t xml:space="preserve"> is the transmitted power per 3.75 kHz or 15 kHz in allocated tones, measured in dBm.</w:t>
            </w:r>
          </w:p>
        </w:tc>
      </w:tr>
    </w:tbl>
    <w:p/>
    <w:p>
      <w:pPr>
        <w:rPr>
          <w:rFonts w:eastAsiaTheme="minorEastAsia"/>
        </w:rPr>
      </w:pPr>
      <w:r>
        <w:rPr>
          <w:rFonts w:eastAsiaTheme="minorEastAsia"/>
        </w:rPr>
        <w:t>The normative reference for this requirement is TS</w:t>
      </w:r>
      <w:r>
        <w:rPr>
          <w:rFonts w:eastAsia="等线"/>
        </w:rPr>
        <w:t xml:space="preserve"> </w:t>
      </w:r>
      <w:r>
        <w:rPr>
          <w:rFonts w:eastAsiaTheme="minorEastAsia"/>
        </w:rPr>
        <w:t>36.102 [11] clause 6.4B.2.</w:t>
      </w:r>
    </w:p>
    <w:p>
      <w:pPr>
        <w:pStyle w:val="9"/>
      </w:pPr>
      <w:r>
        <w:t>6.4B.2.3.4</w:t>
      </w:r>
      <w:r>
        <w:tab/>
      </w:r>
      <w:r>
        <w:t>Test description</w:t>
      </w:r>
    </w:p>
    <w:p>
      <w:pPr>
        <w:pStyle w:val="9"/>
      </w:pPr>
      <w:r>
        <w:t>6.4B.2.3.4.1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 bands specified in table 5.2B. All of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pPr>
        <w:rPr>
          <w:rFonts w:cs="v5.0.0"/>
        </w:rPr>
      </w:pPr>
    </w:p>
    <w:p>
      <w:pPr>
        <w:pStyle w:val="113"/>
      </w:pPr>
      <w:r>
        <w:t xml:space="preserve">Table 6.4B.2.3.4.1-1: Test Configuration Table for FDD </w:t>
      </w:r>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rPr>
                <w:highlight w:val="green"/>
              </w:rPr>
            </w:pPr>
            <w:r>
              <w:t>Initial Conditions</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pPr>
            <w:r>
              <w:t>Test Environment as specified in</w:t>
            </w:r>
          </w:p>
          <w:p>
            <w:pPr>
              <w:pStyle w:val="105"/>
            </w:pPr>
            <w:r>
              <w:t>TS 36.508[7] subclause 8.1.1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pPr>
            <w:r>
              <w:rPr>
                <w:bCs/>
              </w:rPr>
              <w:t>Normal</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pStyle w:val="105"/>
            </w:pPr>
            <w:r>
              <w:t>Test Frequencies as specified in</w:t>
            </w:r>
          </w:p>
          <w:p>
            <w:pPr>
              <w:pStyle w:val="105"/>
            </w:pPr>
            <w:r>
              <w:t>TS 36.508 [7] subclause 8.1.3.1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jc w:val="left"/>
            </w:pPr>
            <w:r>
              <w:rPr>
                <w:rFonts w:eastAsia="微软雅黑" w:cs="Arial"/>
              </w:rPr>
              <w:t>Frequency ranges defined in Annex K.1.1</w:t>
            </w:r>
            <w:r>
              <w:t xml:space="preserve"> </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pStyle w:val="104"/>
            </w:pPr>
            <w:r>
              <w:t>Test Parameters</w:t>
            </w:r>
          </w:p>
        </w:tc>
      </w:tr>
      <w:tr>
        <w:tblPrEx>
          <w:tblCellMar>
            <w:top w:w="0" w:type="dxa"/>
            <w:left w:w="0" w:type="dxa"/>
            <w:bottom w:w="0" w:type="dxa"/>
            <w:right w:w="0" w:type="dxa"/>
          </w:tblCellMar>
        </w:tblPrEx>
        <w:trPr>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4"/>
            </w:pPr>
            <w:r>
              <w:t>Configuration ID</w:t>
            </w:r>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pPr>
            <w:r>
              <w:t>Downlink Configuration</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4"/>
            </w:pPr>
            <w:r>
              <w:t>Uplink Configuration</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pStyle w:val="105"/>
            </w:pPr>
            <w:r>
              <w:t>N/A</w:t>
            </w: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Modulation</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N</w:t>
            </w:r>
            <w:r>
              <w:rPr>
                <w:vertAlign w:val="subscript"/>
              </w:rPr>
              <w:t>tones</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Sub-carrier spacing (kHz)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r>
              <w:rPr>
                <w:rFonts w:cs="Arial"/>
              </w:rPr>
              <w:t>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pPr>
            <w:r>
              <w:rPr>
                <w:rFonts w:cs="Arial"/>
              </w:rPr>
              <w:t>2</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1@47</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rFonts w:cs="Arial"/>
              </w:rPr>
            </w:pPr>
            <w:r>
              <w:rPr>
                <w:rFonts w:cs="Arial"/>
              </w:rPr>
              <w:t>3</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pStyle w:val="105"/>
              <w:rPr>
                <w:rFonts w:cs="Arial"/>
              </w:rPr>
            </w:pPr>
            <w:r>
              <w:rPr>
                <w:rFonts w:cs="Arial"/>
              </w:rPr>
              <w:t>4</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1@11</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pStyle w:val="105"/>
            </w:pPr>
            <w:r>
              <w:t>15kHz</w:t>
            </w:r>
          </w:p>
        </w:tc>
      </w:tr>
    </w:tbl>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to the UE antenna connectors as shown in TS 36.508 [12]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36.508[12] subclause 8.1.4.3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Annex C, and uplink signals according to Annex H.1 and H.4.0.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channels are set according to in Table 6.4B.2.3.4.1-1.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Ensure the UE is State 2A-NB with CP CIoT Optimisation to TS 36.508 [12] clause 8.1.5. Message contents are defined in clause 6.4B.2.2.4.3.</w:t>
      </w:r>
    </w:p>
    <w:p>
      <w:pPr>
        <w:pStyle w:val="9"/>
      </w:pPr>
      <w:r>
        <w:t>6.4B.2.3.4.2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 xml:space="preserve">1. </w:t>
      </w:r>
      <w:r>
        <w:rPr>
          <w:rFonts w:hint="eastAsia"/>
          <w:lang w:eastAsia="en-GB"/>
        </w:rPr>
        <w:tab/>
      </w:r>
      <w:r>
        <w:rPr>
          <w:rFonts w:hint="eastAsia"/>
          <w:lang w:eastAsia="en-GB"/>
        </w:rPr>
        <w:t>SS sends uplink scheduling information via NPDCCH DCI format 0 for C_RNTI to schedule the UL RMC according to Table 6.4B.2.3.4.1-1.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 xml:space="preserve">Measure In-band emission using Global In-Channel Tx-Test (Annex E). </w:t>
      </w:r>
    </w:p>
    <w:p>
      <w:pPr>
        <w:pStyle w:val="111"/>
        <w:shd w:val="clear" w:color="auto" w:fill="FFFFFF"/>
        <w:overflowPunct w:val="0"/>
        <w:autoSpaceDE w:val="0"/>
        <w:autoSpaceDN w:val="0"/>
        <w:adjustRightInd w:val="0"/>
        <w:ind w:left="568"/>
        <w:contextualSpacing w:val="0"/>
        <w:textAlignment w:val="baseline"/>
        <w:rPr>
          <w:rFonts w:hint="eastAsia"/>
          <w:sz w:val="20"/>
          <w:szCs w:val="20"/>
          <w:lang w:eastAsia="en-GB"/>
        </w:rPr>
      </w:pPr>
      <w:r>
        <w:rPr>
          <w:rFonts w:hint="eastAsia"/>
          <w:lang w:eastAsia="en-GB"/>
        </w:rPr>
        <w:t>3.</w:t>
      </w:r>
      <w:r>
        <w:rPr>
          <w:rFonts w:hint="eastAsia"/>
          <w:lang w:eastAsia="en-GB"/>
        </w:rPr>
        <w:tab/>
      </w:r>
      <w:r>
        <w:rPr>
          <w:rFonts w:hint="eastAsia"/>
          <w:lang w:eastAsia="en-GB"/>
        </w:rPr>
        <w:t>Release the connection through State 3A-NB.</w:t>
      </w:r>
    </w:p>
    <w:p>
      <w:pPr>
        <w:pStyle w:val="111"/>
        <w:shd w:val="clear" w:color="auto" w:fill="FFFFFF"/>
        <w:overflowPunct w:val="0"/>
        <w:autoSpaceDE w:val="0"/>
        <w:autoSpaceDN w:val="0"/>
        <w:adjustRightInd w:val="0"/>
        <w:ind w:left="568"/>
        <w:contextualSpacing w:val="0"/>
        <w:textAlignment w:val="baseline"/>
        <w:rPr>
          <w:rFonts w:hint="eastAsia"/>
          <w:sz w:val="20"/>
          <w:szCs w:val="20"/>
          <w:lang w:eastAsia="en-GB"/>
        </w:rPr>
      </w:pPr>
      <w:r>
        <w:rPr>
          <w:rFonts w:hint="eastAsia"/>
          <w:lang w:eastAsia="en-GB"/>
        </w:rPr>
        <w:t>4.</w:t>
      </w:r>
      <w:r>
        <w:rPr>
          <w:rFonts w:hint="eastAsia"/>
          <w:lang w:eastAsia="en-GB"/>
        </w:rPr>
        <w:tab/>
      </w:r>
      <w:r>
        <w:rPr>
          <w:rFonts w:hint="eastAsia"/>
          <w:lang w:eastAsia="en-GB"/>
        </w:rPr>
        <w:t>Modify system information elements according to Table 6.4B.2.3.4.3-1 and Table 6.4B.2.3.4.3-2 and notify the UE via paging message with SystemInformationModification included.</w:t>
      </w:r>
    </w:p>
    <w:p>
      <w:pPr>
        <w:pStyle w:val="111"/>
        <w:shd w:val="clear" w:color="auto" w:fill="FFFFFF"/>
        <w:overflowPunct w:val="0"/>
        <w:autoSpaceDE w:val="0"/>
        <w:autoSpaceDN w:val="0"/>
        <w:adjustRightInd w:val="0"/>
        <w:ind w:left="568"/>
        <w:contextualSpacing w:val="0"/>
        <w:textAlignment w:val="baseline"/>
        <w:rPr>
          <w:rFonts w:hint="eastAsia"/>
          <w:sz w:val="20"/>
          <w:szCs w:val="20"/>
          <w:lang w:eastAsia="en-GB"/>
        </w:rPr>
      </w:pPr>
      <w:r>
        <w:rPr>
          <w:rFonts w:hint="eastAsia"/>
          <w:lang w:eastAsia="en-GB"/>
        </w:rPr>
        <w:t>5.</w:t>
      </w:r>
      <w:r>
        <w:rPr>
          <w:rFonts w:hint="eastAsia"/>
          <w:lang w:eastAsia="en-GB"/>
        </w:rPr>
        <w:tab/>
      </w:r>
      <w:r>
        <w:rPr>
          <w:rFonts w:hint="eastAsia"/>
          <w:lang w:eastAsia="en-GB"/>
        </w:rPr>
        <w:t>Ensure the UE is in State 2A-NB with CP CIoT Optimisation according to TS 36.508 [12] clause 8.1.5 using the new UL power control setting.</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lang w:eastAsia="en-GB"/>
        </w:rPr>
        <w:t>6.</w:t>
      </w:r>
      <w:r>
        <w:rPr>
          <w:rFonts w:hint="eastAsia"/>
          <w:lang w:eastAsia="en-GB"/>
        </w:rPr>
        <w:tab/>
      </w:r>
      <w:r>
        <w:rPr>
          <w:rFonts w:hint="eastAsia"/>
          <w:lang w:eastAsia="en-GB"/>
        </w:rPr>
        <w:t>SS sends uplink scheduling information for UL HARQ process via NPDCCH DCI format 0 for C_RNTI to schedule the UL RMC according to Table 6.4B.2.3.4.1-1.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w:t>
      </w:r>
      <w:r>
        <w:rPr>
          <w:rFonts w:hint="eastAsia"/>
          <w:lang w:eastAsia="en-GB"/>
        </w:rPr>
        <w:tab/>
      </w:r>
      <w:r>
        <w:rPr>
          <w:rFonts w:hint="eastAsia"/>
          <w:lang w:eastAsia="en-GB"/>
        </w:rPr>
        <w:t xml:space="preserve">Measure In-band emission using Global In-Channel Tx-Test (Annex E). </w:t>
      </w:r>
    </w:p>
    <w:p>
      <w:pPr>
        <w:pStyle w:val="100"/>
      </w:pPr>
      <w:r>
        <w:t>NOTE 1:</w:t>
      </w:r>
      <w:r>
        <w:tab/>
      </w:r>
      <w: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
      <w:pPr>
        <w:pStyle w:val="9"/>
      </w:pPr>
      <w:r>
        <w:t>6.4B.2.3.4.3</w:t>
      </w:r>
      <w:r>
        <w:tab/>
      </w:r>
      <w:r>
        <w:t>Message contents</w:t>
      </w:r>
    </w:p>
    <w:p>
      <w:r>
        <w:t>Message contents are according to TS 36.508 [12] subclause 8.1.6 with the following exceptions:</w:t>
      </w:r>
    </w:p>
    <w:p>
      <w:pPr>
        <w:pStyle w:val="113"/>
      </w:pPr>
      <w:r>
        <w:t>Table 6.4B.2.3.4.3-1: P0-NominalNPUSCH-r13 configuration for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keepNext/>
              <w:keepLines/>
              <w:spacing w:after="0"/>
              <w:rPr>
                <w:rFonts w:ascii="Arial" w:hAnsi="Arial"/>
                <w:sz w:val="18"/>
              </w:rPr>
            </w:pPr>
            <w:r>
              <w:rPr>
                <w:rFonts w:ascii="Arial" w:hAnsi="Arial"/>
                <w:sz w:val="18"/>
              </w:rPr>
              <w:t>Derivation Path: 36.508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UplinkPowerControlCommon-NB-DEFAULT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p0-NominalNPUSCH-r13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-117 (dBm)</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alpha-r13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al1 (1)</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 xml:space="preserve">  deltaPreambleMsg3-r13</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4</w:t>
            </w: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bl>
    <w:p/>
    <w:p>
      <w:pPr>
        <w:pStyle w:val="113"/>
      </w:pPr>
      <w:r>
        <w:t>Table 6.4B.2.3.4.3-2: NPDSCH-ConfigCommon-NB-DEFAULT configuration for test point 2</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keepNext/>
              <w:keepLines/>
              <w:spacing w:after="0"/>
              <w:rPr>
                <w:rFonts w:ascii="Arial" w:hAnsi="Arial"/>
                <w:sz w:val="18"/>
              </w:rPr>
            </w:pPr>
            <w:r>
              <w:rPr>
                <w:rFonts w:ascii="Arial" w:hAnsi="Arial"/>
                <w:sz w:val="18"/>
              </w:rPr>
              <w:t>Derivation Path: 36.508 clause 8.1.6.3 Table 8.1.6.3-4: NPDSCH-ConfigCommon-NB-DEFAULT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jc w:val="center"/>
              <w:rPr>
                <w:rFonts w:ascii="Arial" w:hAnsi="Arial"/>
                <w:b/>
                <w:sz w:val="18"/>
              </w:rPr>
            </w:pPr>
            <w:r>
              <w:rPr>
                <w:rFonts w:ascii="Arial" w:hAnsi="Arial"/>
                <w:b/>
                <w:sz w:val="18"/>
              </w:rPr>
              <w:t>Information Element</w:t>
            </w:r>
          </w:p>
        </w:tc>
        <w:tc>
          <w:tcPr>
            <w:tcW w:w="2268" w:type="dxa"/>
          </w:tcPr>
          <w:p>
            <w:pPr>
              <w:keepNext/>
              <w:keepLines/>
              <w:spacing w:after="0"/>
              <w:jc w:val="center"/>
              <w:rPr>
                <w:rFonts w:ascii="Arial" w:hAnsi="Arial"/>
                <w:b/>
                <w:sz w:val="18"/>
              </w:rPr>
            </w:pPr>
            <w:r>
              <w:rPr>
                <w:rFonts w:ascii="Arial" w:hAnsi="Arial"/>
                <w:b/>
                <w:sz w:val="18"/>
              </w:rPr>
              <w:t>Value/remark</w:t>
            </w:r>
          </w:p>
        </w:tc>
        <w:tc>
          <w:tcPr>
            <w:tcW w:w="1701" w:type="dxa"/>
          </w:tcPr>
          <w:p>
            <w:pPr>
              <w:keepNext/>
              <w:keepLines/>
              <w:spacing w:after="0"/>
              <w:jc w:val="center"/>
              <w:rPr>
                <w:rFonts w:ascii="Arial" w:hAnsi="Arial"/>
                <w:b/>
                <w:sz w:val="18"/>
              </w:rPr>
            </w:pPr>
            <w:r>
              <w:rPr>
                <w:rFonts w:ascii="Arial" w:hAnsi="Arial"/>
                <w:b/>
                <w:sz w:val="18"/>
              </w:rPr>
              <w:t>Comment</w:t>
            </w:r>
          </w:p>
        </w:tc>
        <w:tc>
          <w:tcPr>
            <w:tcW w:w="1275" w:type="dxa"/>
          </w:tcPr>
          <w:p>
            <w:pPr>
              <w:keepNext/>
              <w:keepLines/>
              <w:spacing w:after="0"/>
              <w:jc w:val="center"/>
              <w:rPr>
                <w:rFonts w:ascii="Arial" w:hAnsi="Arial"/>
                <w:b/>
                <w:sz w:val="18"/>
              </w:rPr>
            </w:pPr>
            <w:r>
              <w:rPr>
                <w:rFonts w:ascii="Arial" w:hAnsi="Arial"/>
                <w:b/>
                <w:sz w:val="18"/>
              </w:rP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NPDSCH-ConfigCommon-NB-DEFAULT ::= SEQUENCE {</w:t>
            </w:r>
          </w:p>
        </w:tc>
        <w:tc>
          <w:tcPr>
            <w:tcW w:w="2268"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701"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1275"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bottom w:val="single" w:color="auto" w:sz="4" w:space="0"/>
            </w:tcBorders>
          </w:tcPr>
          <w:p>
            <w:pPr>
              <w:keepNext/>
              <w:keepLines/>
              <w:spacing w:after="0"/>
              <w:rPr>
                <w:rFonts w:ascii="Arial" w:hAnsi="Arial"/>
                <w:sz w:val="18"/>
              </w:rPr>
            </w:pPr>
            <w:r>
              <w:rPr>
                <w:rFonts w:ascii="Arial" w:hAnsi="Arial"/>
                <w:sz w:val="18"/>
              </w:rPr>
              <w:t xml:space="preserve">  nrs-Power-r13</w:t>
            </w:r>
          </w:p>
        </w:tc>
        <w:tc>
          <w:tcPr>
            <w:tcW w:w="2268" w:type="dxa"/>
          </w:tcPr>
          <w:p>
            <w:pPr>
              <w:keepNext/>
              <w:keepLines/>
              <w:spacing w:after="0"/>
              <w:rPr>
                <w:rFonts w:ascii="Arial" w:hAnsi="Arial"/>
                <w:sz w:val="18"/>
              </w:rPr>
            </w:pPr>
            <w:r>
              <w:rPr>
                <w:rFonts w:ascii="Arial" w:hAnsi="Arial"/>
                <w:sz w:val="18"/>
              </w:rPr>
              <w:t>21 (dBm)</w:t>
            </w: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keepNext/>
              <w:keepLines/>
              <w:spacing w:after="0"/>
              <w:rPr>
                <w:rFonts w:ascii="Arial" w:hAnsi="Arial"/>
                <w:sz w:val="18"/>
              </w:rPr>
            </w:pPr>
            <w:r>
              <w:rPr>
                <w:rFonts w:ascii="Arial" w:hAnsi="Arial"/>
                <w:sz w:val="18"/>
              </w:rPr>
              <w:t>}</w:t>
            </w:r>
          </w:p>
        </w:tc>
        <w:tc>
          <w:tcPr>
            <w:tcW w:w="2268" w:type="dxa"/>
          </w:tcPr>
          <w:p>
            <w:pPr>
              <w:keepNext/>
              <w:keepLines/>
              <w:spacing w:after="0"/>
              <w:rPr>
                <w:rFonts w:ascii="Arial" w:hAnsi="Arial"/>
                <w:sz w:val="18"/>
              </w:rPr>
            </w:pPr>
          </w:p>
        </w:tc>
        <w:tc>
          <w:tcPr>
            <w:tcW w:w="1701" w:type="dxa"/>
          </w:tcPr>
          <w:p>
            <w:pPr>
              <w:keepNext/>
              <w:keepLines/>
              <w:spacing w:after="0"/>
              <w:rPr>
                <w:rFonts w:ascii="Arial" w:hAnsi="Arial"/>
                <w:sz w:val="18"/>
              </w:rPr>
            </w:pPr>
          </w:p>
        </w:tc>
        <w:tc>
          <w:tcPr>
            <w:tcW w:w="1275" w:type="dxa"/>
          </w:tcPr>
          <w:p>
            <w:pPr>
              <w:keepNext/>
              <w:keepLines/>
              <w:spacing w:after="0"/>
              <w:rPr>
                <w:rFonts w:ascii="Arial" w:hAnsi="Arial"/>
                <w:sz w:val="18"/>
              </w:rPr>
            </w:pPr>
          </w:p>
        </w:tc>
      </w:tr>
    </w:tbl>
    <w:p/>
    <w:p>
      <w:pPr>
        <w:pStyle w:val="9"/>
      </w:pPr>
      <w:r>
        <w:t>6.4B.2.3.5</w:t>
      </w:r>
      <w:r>
        <w:tab/>
      </w:r>
      <w:r>
        <w:t>Test requirement</w:t>
      </w:r>
    </w:p>
    <w:p>
      <w:r>
        <w:t>Each of the 20 In-band emissions results, derived in [Annex E.4.3] shall not exceed the corresponding values in Table 6.4B.2.3.5-1 based on supported UE release version.</w:t>
      </w:r>
    </w:p>
    <w:p>
      <w:pPr>
        <w:pStyle w:val="113"/>
      </w:pPr>
      <w:r>
        <w:rPr>
          <w:rFonts w:eastAsia="Osaka"/>
        </w:rPr>
        <w:t xml:space="preserve">Table 6.4B.2.3.5-1: Test requirements for in-band emissions for UE </w:t>
      </w:r>
      <w:r>
        <w:t>category NB1 and NB2</w:t>
      </w:r>
    </w:p>
    <w:tbl>
      <w:tblPr>
        <w:tblStyle w:val="89"/>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4"/>
        <w:gridCol w:w="914"/>
        <w:gridCol w:w="914"/>
        <w:gridCol w:w="1134"/>
        <w:gridCol w:w="3260"/>
        <w:gridCol w:w="1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14" w:type="dxa"/>
            <w:tcBorders>
              <w:bottom w:val="single" w:color="auto" w:sz="4" w:space="0"/>
              <w:right w:val="single" w:color="auto" w:sz="4" w:space="0"/>
            </w:tcBorders>
            <w:shd w:val="clear" w:color="auto" w:fill="auto"/>
            <w:vAlign w:val="center"/>
          </w:tcPr>
          <w:p>
            <w:pPr>
              <w:pStyle w:val="104"/>
              <w:rPr>
                <w:rFonts w:cs="Arial"/>
                <w:i/>
                <w:iCs/>
              </w:rPr>
            </w:pPr>
            <w:r>
              <w:rPr>
                <w:rFonts w:cs="Arial"/>
              </w:rPr>
              <w:t>Parameter description</w:t>
            </w:r>
          </w:p>
        </w:tc>
        <w:tc>
          <w:tcPr>
            <w:tcW w:w="91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Test point</w:t>
            </w:r>
          </w:p>
        </w:tc>
        <w:tc>
          <w:tcPr>
            <w:tcW w:w="91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Unit</w:t>
            </w:r>
          </w:p>
        </w:tc>
        <w:tc>
          <w:tcPr>
            <w:tcW w:w="4394" w:type="dxa"/>
            <w:gridSpan w:val="2"/>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Limit (NOTE 1)</w:t>
            </w:r>
          </w:p>
        </w:tc>
        <w:tc>
          <w:tcPr>
            <w:tcW w:w="1964" w:type="dxa"/>
            <w:tcBorders>
              <w:left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Applicable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1414" w:type="dxa"/>
            <w:tcBorders>
              <w:top w:val="single" w:color="auto" w:sz="4" w:space="0"/>
              <w:bottom w:val="single" w:color="auto" w:sz="4" w:space="0"/>
              <w:right w:val="single" w:color="auto" w:sz="4" w:space="0"/>
            </w:tcBorders>
            <w:shd w:val="clear" w:color="auto" w:fill="auto"/>
            <w:vAlign w:val="center"/>
          </w:tcPr>
          <w:p>
            <w:pPr>
              <w:pStyle w:val="104"/>
              <w:rPr>
                <w:rFonts w:cs="Arial"/>
              </w:rPr>
            </w:pPr>
            <w:r>
              <w:rPr>
                <w:rFonts w:cs="Arial"/>
              </w:rPr>
              <w:t>General</w:t>
            </w:r>
          </w:p>
        </w:tc>
        <w:tc>
          <w:tcPr>
            <w:tcW w:w="91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1, 2</w:t>
            </w:r>
          </w:p>
        </w:tc>
        <w:tc>
          <w:tcPr>
            <w:tcW w:w="91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position w:val="-50"/>
              </w:rPr>
              <w:object>
                <v:shape id="_x0000_i1069" o:spt="75" type="#_x0000_t75" style="height:47.45pt;width:161.45pt;" o:ole="t" filled="f" o:preferrelative="t" stroked="f" coordsize="21600,21600">
                  <v:path/>
                  <v:fill on="f" focussize="0,0"/>
                  <v:stroke on="f" joinstyle="miter"/>
                  <v:imagedata r:id="rId75" o:title=""/>
                  <o:lock v:ext="edit" aspectratio="t"/>
                  <w10:wrap type="none"/>
                  <w10:anchorlock/>
                </v:shape>
                <o:OLEObject Type="Embed" ProgID="Equation.3" ShapeID="_x0000_i1069" DrawAspect="Content" ObjectID="_1468075769" r:id="rId92">
                  <o:LockedField>false</o:LockedField>
                </o:OLEObject>
              </w:object>
            </w:r>
            <w:r>
              <w:rPr>
                <w:rFonts w:cs="Arial"/>
              </w:rPr>
              <w:t>+0.8</w:t>
            </w:r>
          </w:p>
        </w:tc>
        <w:tc>
          <w:tcPr>
            <w:tcW w:w="1964"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Any non-allocated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3" w:hRule="atLeast"/>
          <w:jc w:val="center"/>
        </w:trPr>
        <w:tc>
          <w:tcPr>
            <w:tcW w:w="1414" w:type="dxa"/>
            <w:tcBorders>
              <w:top w:val="single" w:color="auto" w:sz="4" w:space="0"/>
              <w:right w:val="single" w:color="auto" w:sz="4" w:space="0"/>
            </w:tcBorders>
            <w:shd w:val="clear" w:color="auto" w:fill="auto"/>
            <w:vAlign w:val="center"/>
          </w:tcPr>
          <w:p>
            <w:pPr>
              <w:pStyle w:val="104"/>
              <w:rPr>
                <w:rFonts w:cs="Arial"/>
              </w:rPr>
            </w:pPr>
            <w:r>
              <w:rPr>
                <w:rFonts w:cs="Arial"/>
              </w:rPr>
              <w:t>IQ Image</w:t>
            </w:r>
          </w:p>
        </w:tc>
        <w:tc>
          <w:tcPr>
            <w:tcW w:w="914" w:type="dxa"/>
            <w:vMerge w:val="continue"/>
            <w:tcBorders>
              <w:left w:val="single" w:color="auto" w:sz="4" w:space="0"/>
              <w:right w:val="single" w:color="auto" w:sz="4" w:space="0"/>
            </w:tcBorders>
            <w:vAlign w:val="center"/>
          </w:tcPr>
          <w:p>
            <w:pPr>
              <w:pStyle w:val="105"/>
              <w:rPr>
                <w:rFonts w:cs="Arial"/>
              </w:rPr>
            </w:pPr>
          </w:p>
        </w:tc>
        <w:tc>
          <w:tcPr>
            <w:tcW w:w="914" w:type="dxa"/>
            <w:tcBorders>
              <w:top w:val="single" w:color="auto" w:sz="4" w:space="0"/>
              <w:left w:val="single" w:color="auto" w:sz="4" w:space="0"/>
              <w:right w:val="single" w:color="auto" w:sz="4" w:space="0"/>
            </w:tcBorders>
            <w:vAlign w:val="center"/>
          </w:tcPr>
          <w:p>
            <w:pPr>
              <w:pStyle w:val="105"/>
              <w:rPr>
                <w:rFonts w:cs="Arial"/>
              </w:rPr>
            </w:pPr>
            <w:r>
              <w:rPr>
                <w:rFonts w:cs="Arial"/>
              </w:rPr>
              <w:t>dB</w:t>
            </w:r>
          </w:p>
        </w:tc>
        <w:tc>
          <w:tcPr>
            <w:tcW w:w="4394" w:type="dxa"/>
            <w:gridSpan w:val="2"/>
            <w:tcBorders>
              <w:top w:val="single" w:color="auto" w:sz="4" w:space="0"/>
              <w:left w:val="single" w:color="auto" w:sz="4" w:space="0"/>
              <w:right w:val="single" w:color="auto" w:sz="4" w:space="0"/>
            </w:tcBorders>
            <w:vAlign w:val="center"/>
          </w:tcPr>
          <w:p>
            <w:pPr>
              <w:pStyle w:val="105"/>
              <w:rPr>
                <w:rFonts w:cs="Arial"/>
              </w:rPr>
            </w:pPr>
            <w:r>
              <w:rPr>
                <w:rFonts w:cs="Arial"/>
              </w:rPr>
              <w:t>-24.2</w:t>
            </w:r>
          </w:p>
        </w:tc>
        <w:tc>
          <w:tcPr>
            <w:tcW w:w="1964" w:type="dxa"/>
            <w:tcBorders>
              <w:top w:val="single" w:color="auto" w:sz="4" w:space="0"/>
              <w:left w:val="single" w:color="auto" w:sz="4" w:space="0"/>
              <w:right w:val="single" w:color="auto" w:sz="4" w:space="0"/>
            </w:tcBorders>
            <w:vAlign w:val="center"/>
          </w:tcPr>
          <w:p>
            <w:pPr>
              <w:pStyle w:val="105"/>
              <w:rPr>
                <w:rFonts w:cs="Arial"/>
              </w:rPr>
            </w:pPr>
            <w:r>
              <w:rPr>
                <w:rFonts w:cs="Arial"/>
              </w:rPr>
              <w:t>Image frequencies (NOTES 2,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 w:hRule="atLeast"/>
          <w:jc w:val="center"/>
        </w:trPr>
        <w:tc>
          <w:tcPr>
            <w:tcW w:w="1414" w:type="dxa"/>
            <w:vMerge w:val="restart"/>
            <w:tcBorders>
              <w:top w:val="single" w:color="auto" w:sz="4" w:space="0"/>
              <w:right w:val="single" w:color="auto" w:sz="4" w:space="0"/>
            </w:tcBorders>
            <w:shd w:val="clear" w:color="auto" w:fill="auto"/>
            <w:vAlign w:val="center"/>
          </w:tcPr>
          <w:p>
            <w:pPr>
              <w:pStyle w:val="104"/>
              <w:rPr>
                <w:rFonts w:cs="Arial"/>
              </w:rPr>
            </w:pPr>
            <w:r>
              <w:rPr>
                <w:rFonts w:cs="Arial"/>
              </w:rPr>
              <w:t>Carrier leakage</w:t>
            </w:r>
          </w:p>
        </w:tc>
        <w:tc>
          <w:tcPr>
            <w:tcW w:w="914" w:type="dxa"/>
            <w:tcBorders>
              <w:top w:val="single" w:color="auto" w:sz="4" w:space="0"/>
              <w:left w:val="single" w:color="auto" w:sz="4" w:space="0"/>
              <w:right w:val="single" w:color="auto" w:sz="4" w:space="0"/>
            </w:tcBorders>
            <w:vAlign w:val="center"/>
          </w:tcPr>
          <w:p>
            <w:pPr>
              <w:pStyle w:val="105"/>
              <w:rPr>
                <w:rFonts w:cs="Arial"/>
              </w:rPr>
            </w:pPr>
            <w:r>
              <w:rPr>
                <w:rFonts w:cs="Arial"/>
              </w:rPr>
              <w:t>1</w:t>
            </w:r>
          </w:p>
        </w:tc>
        <w:tc>
          <w:tcPr>
            <w:tcW w:w="91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dBc</w:t>
            </w: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-24.2</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0 dBm ≤ Output power</w:t>
            </w:r>
          </w:p>
          <w:p>
            <w:pPr>
              <w:pStyle w:val="105"/>
              <w:rPr>
                <w:rFonts w:cs="Arial"/>
              </w:rPr>
            </w:pPr>
            <w:r>
              <w:t xml:space="preserve">f </w:t>
            </w:r>
            <w:r>
              <w:rPr>
                <w:rFonts w:cs="Arial"/>
              </w:rPr>
              <w:t>≤</w:t>
            </w:r>
            <w:r>
              <w:t xml:space="preserve"> 3.0GHz: 3.2dBm ±3.2dB</w:t>
            </w:r>
          </w:p>
        </w:tc>
        <w:tc>
          <w:tcPr>
            <w:tcW w:w="1964" w:type="dxa"/>
            <w:vMerge w:val="restart"/>
            <w:tcBorders>
              <w:top w:val="single" w:color="auto" w:sz="4" w:space="0"/>
              <w:left w:val="single" w:color="auto" w:sz="4" w:space="0"/>
              <w:right w:val="single" w:color="auto" w:sz="4" w:space="0"/>
            </w:tcBorders>
            <w:vAlign w:val="center"/>
          </w:tcPr>
          <w:p>
            <w:pPr>
              <w:pStyle w:val="105"/>
              <w:rPr>
                <w:rFonts w:cs="Arial"/>
              </w:rPr>
            </w:pPr>
            <w:r>
              <w:rPr>
                <w:rFonts w:cs="Arial"/>
              </w:rPr>
              <w:t>Carrier frequency (NOTES 4,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jc w:val="center"/>
        </w:trPr>
        <w:tc>
          <w:tcPr>
            <w:tcW w:w="1414" w:type="dxa"/>
            <w:vMerge w:val="continue"/>
            <w:tcBorders>
              <w:right w:val="single" w:color="auto" w:sz="4" w:space="0"/>
            </w:tcBorders>
            <w:shd w:val="clear" w:color="auto" w:fill="auto"/>
            <w:vAlign w:val="center"/>
          </w:tcPr>
          <w:p>
            <w:pPr>
              <w:pStyle w:val="104"/>
              <w:rPr>
                <w:rFonts w:cs="Arial"/>
              </w:rPr>
            </w:pPr>
          </w:p>
        </w:tc>
        <w:tc>
          <w:tcPr>
            <w:tcW w:w="914" w:type="dxa"/>
            <w:tcBorders>
              <w:left w:val="single" w:color="auto" w:sz="4" w:space="0"/>
              <w:right w:val="single" w:color="auto" w:sz="4" w:space="0"/>
            </w:tcBorders>
            <w:vAlign w:val="center"/>
          </w:tcPr>
          <w:p>
            <w:pPr>
              <w:pStyle w:val="105"/>
              <w:rPr>
                <w:rFonts w:cs="Arial"/>
              </w:rPr>
            </w:pPr>
            <w:r>
              <w:rPr>
                <w:rFonts w:cs="Arial"/>
              </w:rPr>
              <w:t>2</w:t>
            </w:r>
          </w:p>
        </w:tc>
        <w:tc>
          <w:tcPr>
            <w:tcW w:w="914" w:type="dxa"/>
            <w:vMerge w:val="continue"/>
            <w:tcBorders>
              <w:left w:val="single" w:color="auto" w:sz="4" w:space="0"/>
              <w:right w:val="single" w:color="auto" w:sz="4" w:space="0"/>
            </w:tcBorders>
            <w:vAlign w:val="center"/>
          </w:tcPr>
          <w:p>
            <w:pPr>
              <w:pStyle w:val="105"/>
              <w:rPr>
                <w:rFonts w:cs="Arial"/>
              </w:rPr>
            </w:pPr>
          </w:p>
        </w:tc>
        <w:tc>
          <w:tcPr>
            <w:tcW w:w="1134" w:type="dxa"/>
            <w:tcBorders>
              <w:top w:val="single" w:color="auto" w:sz="4" w:space="0"/>
              <w:left w:val="single" w:color="auto" w:sz="4" w:space="0"/>
              <w:right w:val="single" w:color="auto" w:sz="4" w:space="0"/>
            </w:tcBorders>
            <w:vAlign w:val="center"/>
          </w:tcPr>
          <w:p>
            <w:pPr>
              <w:pStyle w:val="105"/>
              <w:rPr>
                <w:rFonts w:cs="Arial"/>
              </w:rPr>
            </w:pPr>
            <w:r>
              <w:rPr>
                <w:rFonts w:cs="Arial"/>
              </w:rPr>
              <w:t>-19.2</w:t>
            </w:r>
          </w:p>
        </w:tc>
        <w:tc>
          <w:tcPr>
            <w:tcW w:w="3260" w:type="dxa"/>
            <w:tcBorders>
              <w:top w:val="single" w:color="auto" w:sz="4" w:space="0"/>
              <w:left w:val="single" w:color="auto" w:sz="4" w:space="0"/>
              <w:right w:val="single" w:color="auto" w:sz="4" w:space="0"/>
            </w:tcBorders>
            <w:vAlign w:val="center"/>
          </w:tcPr>
          <w:p>
            <w:pPr>
              <w:pStyle w:val="105"/>
              <w:rPr>
                <w:rFonts w:cs="Arial"/>
              </w:rPr>
            </w:pPr>
            <w:r>
              <w:rPr>
                <w:rFonts w:cs="Arial"/>
              </w:rPr>
              <w:t>-30 dBm ≤ Output power ≤ 0 dBm</w:t>
            </w:r>
          </w:p>
          <w:p>
            <w:pPr>
              <w:pStyle w:val="105"/>
              <w:rPr>
                <w:rFonts w:cs="Arial"/>
              </w:rPr>
            </w:pPr>
            <w:r>
              <w:rPr>
                <w:rFonts w:cs="v4.2.0"/>
              </w:rPr>
              <w:t xml:space="preserve">f </w:t>
            </w:r>
            <w:r>
              <w:rPr>
                <w:rFonts w:cs="Arial"/>
              </w:rPr>
              <w:t>≤</w:t>
            </w:r>
            <w:r>
              <w:rPr>
                <w:rFonts w:cs="v4.2.0"/>
              </w:rPr>
              <w:t xml:space="preserve"> 3.0GHz: </w:t>
            </w:r>
            <w:r>
              <w:t>-26.8 dBm ±3.</w:t>
            </w:r>
            <w:r>
              <w:rPr>
                <w:rFonts w:cs="v4.2.0"/>
              </w:rPr>
              <w:t>2dB</w:t>
            </w:r>
          </w:p>
        </w:tc>
        <w:tc>
          <w:tcPr>
            <w:tcW w:w="1964" w:type="dxa"/>
            <w:vMerge w:val="continue"/>
            <w:tcBorders>
              <w:left w:val="single" w:color="auto" w:sz="4" w:space="0"/>
              <w:right w:val="single" w:color="auto" w:sz="4" w:space="0"/>
            </w:tcBorders>
            <w:vAlign w:val="center"/>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6"/>
            <w:tcBorders>
              <w:right w:val="single" w:color="auto" w:sz="4" w:space="0"/>
            </w:tcBorders>
            <w:shd w:val="clear" w:color="auto" w:fill="auto"/>
            <w:vAlign w:val="center"/>
          </w:tcPr>
          <w:p>
            <w:pPr>
              <w:pStyle w:val="118"/>
              <w:rPr>
                <w:rFonts w:cs="Arial"/>
              </w:rPr>
            </w:pPr>
            <w:r>
              <w:rPr>
                <w:rFonts w:cs="Arial"/>
              </w:rPr>
              <w:t>NOTE 1:</w:t>
            </w:r>
            <w:r>
              <w:rPr>
                <w:rFonts w:cs="Arial"/>
              </w:rPr>
              <w:tab/>
            </w:r>
            <w:r>
              <w:rPr>
                <w:rFonts w:cs="Arial"/>
              </w:rPr>
              <w:t xml:space="preserve">An in-band emissions combined limit is evaluated in each non-allocated tone. For each such tone, the minimum requirement is calculated as the higher of </w:t>
            </w:r>
            <w:r>
              <w:rPr>
                <w:rFonts w:cs="Arial"/>
                <w:i/>
              </w:rPr>
              <w:t>P</w:t>
            </w:r>
            <w:r>
              <w:rPr>
                <w:rFonts w:cs="Arial"/>
                <w:i/>
                <w:vertAlign w:val="subscript"/>
              </w:rPr>
              <w:t xml:space="preserve">tone </w:t>
            </w:r>
            <w:r>
              <w:rPr>
                <w:rFonts w:cs="Arial"/>
              </w:rPr>
              <w:t xml:space="preserve">- 30 dB and the power sum of all limit values (General, IQ Image or Carrier leakage) that apply. </w:t>
            </w:r>
            <w:r>
              <w:rPr>
                <w:rFonts w:cs="Arial"/>
                <w:i/>
              </w:rPr>
              <w:t>P</w:t>
            </w:r>
            <w:r>
              <w:rPr>
                <w:rFonts w:cs="Arial"/>
                <w:i/>
                <w:vertAlign w:val="subscript"/>
              </w:rPr>
              <w:t>tone</w:t>
            </w:r>
            <w:r>
              <w:rPr>
                <w:rFonts w:cs="Arial"/>
                <w:i/>
              </w:rPr>
              <w:t xml:space="preserve"> </w:t>
            </w:r>
            <w:r>
              <w:rPr>
                <w:rFonts w:cs="Arial"/>
              </w:rPr>
              <w:t>is defined in NOTE 10.</w:t>
            </w:r>
          </w:p>
          <w:p>
            <w:pPr>
              <w:pStyle w:val="118"/>
              <w:rPr>
                <w:rFonts w:cs="Arial"/>
              </w:rPr>
            </w:pPr>
            <w:r>
              <w:rPr>
                <w:rFonts w:cs="Arial"/>
              </w:rPr>
              <w:t>NOTE 2:</w:t>
            </w:r>
            <w:r>
              <w:rPr>
                <w:rFonts w:cs="Arial"/>
              </w:rPr>
              <w:tab/>
            </w:r>
            <w:r>
              <w:rPr>
                <w:rFonts w:cs="Arial"/>
              </w:rPr>
              <w:t>The measurement bandwidth is 1 tone and the limit is expressed as a ratio of measured power in one non-allocated tone to the measured average power per allocated tone, where the averaging is done across all allocated tones.</w:t>
            </w:r>
          </w:p>
          <w:p>
            <w:pPr>
              <w:pStyle w:val="118"/>
              <w:rPr>
                <w:rFonts w:cs="Arial"/>
              </w:rPr>
            </w:pPr>
            <w:r>
              <w:rPr>
                <w:rFonts w:cs="Arial"/>
              </w:rPr>
              <w:t>NOTE 3:</w:t>
            </w:r>
            <w:r>
              <w:rPr>
                <w:rFonts w:cs="Arial"/>
              </w:rPr>
              <w:tab/>
            </w:r>
            <w:r>
              <w:rPr>
                <w:rFonts w:cs="Arial"/>
              </w:rPr>
              <w:t>The applicable frequencies for this limit are those that are enclosed in the reflection of the allocated bandwidth, based on symmetry with respect to the centre carrier frequency, but excluding any allocated tones.</w:t>
            </w:r>
          </w:p>
          <w:p>
            <w:pPr>
              <w:pStyle w:val="118"/>
              <w:rPr>
                <w:rFonts w:cs="Arial"/>
              </w:rPr>
            </w:pPr>
            <w:r>
              <w:rPr>
                <w:rFonts w:cs="Arial"/>
              </w:rPr>
              <w:t>NOTE 4:</w:t>
            </w:r>
            <w:r>
              <w:rPr>
                <w:rFonts w:cs="Arial"/>
              </w:rPr>
              <w:tab/>
            </w:r>
            <w:r>
              <w:rPr>
                <w:rFonts w:cs="Arial"/>
              </w:rPr>
              <w:t>The measurement bandwidth is 1 tone and the limit is expressed as a ratio of measured power in one non-allocated tone to the measured total power in all allocated tones.</w:t>
            </w:r>
          </w:p>
          <w:p>
            <w:pPr>
              <w:pStyle w:val="118"/>
              <w:rPr>
                <w:rFonts w:cs="Arial"/>
              </w:rPr>
            </w:pPr>
            <w:r>
              <w:rPr>
                <w:rFonts w:cs="Arial"/>
              </w:rPr>
              <w:t>NOTE 5:</w:t>
            </w:r>
            <w:r>
              <w:rPr>
                <w:rFonts w:cs="Arial"/>
              </w:rPr>
              <w:tab/>
            </w:r>
            <w:r>
              <w:rPr>
                <w:rFonts w:cs="Arial"/>
              </w:rPr>
              <w:t xml:space="preserve">The applicable frequencies for this limit are those that are enclosed in the tones containing the DC frequency if </w:t>
            </w:r>
            <w:r>
              <w:rPr>
                <w:rFonts w:cs="Arial"/>
                <w:position w:val="-12"/>
              </w:rPr>
              <w:object>
                <v:shape id="_x0000_i1070" o:spt="75" type="#_x0000_t75" style="height:19.65pt;width:24.55pt;" o:ole="t" filled="f" o:preferrelative="t" stroked="f" coordsize="21600,21600">
                  <v:path/>
                  <v:fill on="f" focussize="0,0"/>
                  <v:stroke on="f" joinstyle="miter"/>
                  <v:imagedata r:id="rId77" o:title=""/>
                  <o:lock v:ext="edit" aspectratio="t"/>
                  <w10:wrap type="none"/>
                  <w10:anchorlock/>
                </v:shape>
                <o:OLEObject Type="Embed" ProgID="Equation.3" ShapeID="_x0000_i1070" DrawAspect="Content" ObjectID="_1468075770" r:id="rId93">
                  <o:LockedField>false</o:LockedField>
                </o:OLEObject>
              </w:object>
            </w:r>
            <w:r>
              <w:rPr>
                <w:rFonts w:cs="Arial"/>
              </w:rPr>
              <w:t xml:space="preserve"> is odd, or in the two tones immediately adjacent to the DC frequency if </w:t>
            </w:r>
            <w:r>
              <w:rPr>
                <w:rFonts w:cs="Arial"/>
                <w:position w:val="-12"/>
              </w:rPr>
              <w:object>
                <v:shape id="_x0000_i1071" o:spt="75" type="#_x0000_t75" style="height:19.65pt;width:24.55pt;" o:ole="t" filled="f" o:preferrelative="t" stroked="f" coordsize="21600,21600">
                  <v:path/>
                  <v:fill on="f" focussize="0,0"/>
                  <v:stroke on="f" joinstyle="miter"/>
                  <v:imagedata r:id="rId79" o:title=""/>
                  <o:lock v:ext="edit" aspectratio="t"/>
                  <w10:wrap type="none"/>
                  <w10:anchorlock/>
                </v:shape>
                <o:OLEObject Type="Embed" ProgID="Equation.3" ShapeID="_x0000_i1071" DrawAspect="Content" ObjectID="_1468075771" r:id="rId94">
                  <o:LockedField>false</o:LockedField>
                </o:OLEObject>
              </w:object>
            </w:r>
            <w:r>
              <w:rPr>
                <w:rFonts w:cs="Arial"/>
              </w:rPr>
              <w:t xml:space="preserve"> is even, but excluding any allocated tone.</w:t>
            </w:r>
          </w:p>
          <w:p>
            <w:pPr>
              <w:pStyle w:val="118"/>
              <w:rPr>
                <w:rFonts w:cs="Arial"/>
              </w:rPr>
            </w:pPr>
            <w:r>
              <w:rPr>
                <w:rFonts w:cs="Arial"/>
              </w:rPr>
              <w:t>NOTE 6:</w:t>
            </w:r>
            <w:r>
              <w:rPr>
                <w:rFonts w:cs="Arial"/>
              </w:rPr>
              <w:tab/>
            </w:r>
            <w:r>
              <w:rPr>
                <w:rFonts w:cs="Arial"/>
                <w:position w:val="-12"/>
              </w:rPr>
              <w:object>
                <v:shape id="_x0000_i1072" o:spt="75" type="#_x0000_t75" style="height:19.65pt;width:27.25pt;" o:ole="t" filled="f" o:preferrelative="t" stroked="f" coordsize="21600,21600">
                  <v:path/>
                  <v:fill on="f" focussize="0,0"/>
                  <v:stroke on="f" joinstyle="miter"/>
                  <v:imagedata r:id="rId81" o:title=""/>
                  <o:lock v:ext="edit" aspectratio="t"/>
                  <w10:wrap type="none"/>
                  <w10:anchorlock/>
                </v:shape>
                <o:OLEObject Type="Embed" ProgID="Equation.3" ShapeID="_x0000_i1072" DrawAspect="Content" ObjectID="_1468075772" r:id="rId95">
                  <o:LockedField>false</o:LockedField>
                </o:OLEObject>
              </w:object>
            </w:r>
            <w:r>
              <w:rPr>
                <w:rFonts w:cs="Arial"/>
              </w:rPr>
              <w:t xml:space="preserve"> is the Transmission Bandwidth (tones).</w:t>
            </w:r>
          </w:p>
          <w:p>
            <w:pPr>
              <w:pStyle w:val="118"/>
              <w:rPr>
                <w:rFonts w:cs="Arial"/>
              </w:rPr>
            </w:pPr>
            <w:r>
              <w:rPr>
                <w:rFonts w:cs="Arial"/>
              </w:rPr>
              <w:t>NOTE 7:</w:t>
            </w:r>
            <w:r>
              <w:rPr>
                <w:rFonts w:cs="Arial"/>
              </w:rPr>
              <w:tab/>
            </w:r>
            <w:r>
              <w:rPr>
                <w:rFonts w:cs="Arial"/>
                <w:position w:val="-12"/>
              </w:rPr>
              <w:object>
                <v:shape id="_x0000_i1073" o:spt="75" type="#_x0000_t75" style="height:19.65pt;width:24.55pt;" o:ole="t" filled="f" o:preferrelative="t" stroked="f" coordsize="21600,21600">
                  <v:path/>
                  <v:fill on="f" focussize="0,0"/>
                  <v:stroke on="f" joinstyle="miter"/>
                  <v:imagedata r:id="rId83" o:title=""/>
                  <o:lock v:ext="edit" aspectratio="t"/>
                  <w10:wrap type="none"/>
                  <w10:anchorlock/>
                </v:shape>
                <o:OLEObject Type="Embed" ProgID="Equation.3" ShapeID="_x0000_i1073" DrawAspect="Content" ObjectID="_1468075773" r:id="rId96">
                  <o:LockedField>false</o:LockedField>
                </o:OLEObject>
              </w:object>
            </w:r>
            <w:r>
              <w:rPr>
                <w:rFonts w:cs="Arial"/>
              </w:rPr>
              <w:t xml:space="preserve"> is the Transmission Bandwidth Configuration (tones).</w:t>
            </w:r>
          </w:p>
          <w:p>
            <w:pPr>
              <w:pStyle w:val="118"/>
              <w:rPr>
                <w:rFonts w:cs="Arial"/>
              </w:rPr>
            </w:pPr>
            <w:r>
              <w:rPr>
                <w:rFonts w:cs="Arial"/>
              </w:rPr>
              <w:t>NOTE 8:</w:t>
            </w:r>
            <w:r>
              <w:rPr>
                <w:rFonts w:cs="Arial"/>
              </w:rPr>
              <w:tab/>
            </w:r>
            <w:r>
              <w:rPr>
                <w:rFonts w:cs="Arial"/>
                <w:position w:val="-12"/>
              </w:rPr>
              <w:object>
                <v:shape id="_x0000_i1074" o:spt="75" type="#_x0000_t75" style="height:19.65pt;width:24.55pt;" o:ole="t" filled="f" o:preferrelative="t" stroked="f" coordsize="21600,21600">
                  <v:path/>
                  <v:fill on="f" focussize="0,0"/>
                  <v:stroke on="f" joinstyle="miter"/>
                  <v:imagedata r:id="rId85" o:title=""/>
                  <o:lock v:ext="edit" aspectratio="t"/>
                  <w10:wrap type="none"/>
                  <w10:anchorlock/>
                </v:shape>
                <o:OLEObject Type="Embed" ProgID="Equation.3" ShapeID="_x0000_i1074" DrawAspect="Content" ObjectID="_1468075774" r:id="rId97">
                  <o:LockedField>false</o:LockedField>
                </o:OLEObject>
              </w:object>
            </w:r>
            <w:r>
              <w:rPr>
                <w:rFonts w:cs="Arial"/>
              </w:rPr>
              <w:t xml:space="preserve"> is the starting frequency offset between the allocated tone and the measured non-allocated tone. (e.g. </w:t>
            </w:r>
            <w:r>
              <w:rPr>
                <w:rFonts w:cs="Arial"/>
                <w:position w:val="-12"/>
              </w:rPr>
              <w:object>
                <v:shape id="_x0000_i1075" o:spt="75" type="#_x0000_t75" style="height:19.65pt;width:39.8pt;" o:ole="t" filled="f" o:preferrelative="t" stroked="f" coordsize="21600,21600">
                  <v:path/>
                  <v:fill on="f" focussize="0,0"/>
                  <v:stroke on="f" joinstyle="miter"/>
                  <v:imagedata r:id="rId87" o:title=""/>
                  <o:lock v:ext="edit" aspectratio="t"/>
                  <w10:wrap type="none"/>
                  <w10:anchorlock/>
                </v:shape>
                <o:OLEObject Type="Embed" ProgID="Equation.3" ShapeID="_x0000_i1075" DrawAspect="Content" ObjectID="_1468075775" r:id="rId98">
                  <o:LockedField>false</o:LockedField>
                </o:OLEObject>
              </w:object>
            </w:r>
            <w:r>
              <w:rPr>
                <w:rFonts w:cs="Arial"/>
              </w:rPr>
              <w:t xml:space="preserve"> or </w:t>
            </w:r>
            <w:r>
              <w:rPr>
                <w:rFonts w:cs="Arial"/>
                <w:position w:val="-12"/>
              </w:rPr>
              <w:object>
                <v:shape id="_x0000_i1076" o:spt="75" type="#_x0000_t75" style="height:19.65pt;width:47.45pt;" o:ole="t" filled="f" o:preferrelative="t" stroked="f" coordsize="21600,21600">
                  <v:path/>
                  <v:fill on="f" focussize="0,0"/>
                  <v:stroke on="f" joinstyle="miter"/>
                  <v:imagedata r:id="rId89" o:title=""/>
                  <o:lock v:ext="edit" aspectratio="t"/>
                  <w10:wrap type="none"/>
                  <w10:anchorlock/>
                </v:shape>
                <o:OLEObject Type="Embed" ProgID="Equation.3" ShapeID="_x0000_i1076" DrawAspect="Content" ObjectID="_1468075776" r:id="rId99">
                  <o:LockedField>false</o:LockedField>
                </o:OLEObject>
              </w:object>
            </w:r>
            <w:r>
              <w:rPr>
                <w:rFonts w:cs="Arial"/>
              </w:rPr>
              <w:t xml:space="preserve"> for the first adjacent tone outside of the allocated bandwidth.</w:t>
            </w:r>
          </w:p>
          <w:p>
            <w:pPr>
              <w:pStyle w:val="118"/>
              <w:rPr>
                <w:rFonts w:cs="Arial"/>
              </w:rPr>
            </w:pPr>
            <w:r>
              <w:rPr>
                <w:rFonts w:cs="Arial"/>
              </w:rPr>
              <w:t>NOTE 9:</w:t>
            </w:r>
            <w:r>
              <w:rPr>
                <w:rFonts w:cs="Arial"/>
              </w:rPr>
              <w:tab/>
            </w:r>
            <w:r>
              <w:rPr>
                <w:rFonts w:cs="Arial"/>
                <w:position w:val="-12"/>
              </w:rPr>
              <w:object>
                <v:shape id="_x0000_i1077" o:spt="75" type="#_x0000_t75" style="height:19.65pt;width:21.8pt;" o:ole="t" filled="f" o:preferrelative="t" stroked="f" coordsize="21600,21600">
                  <v:path/>
                  <v:fill on="f" focussize="0,0"/>
                  <v:stroke on="f" joinstyle="miter"/>
                  <v:imagedata r:id="rId91" o:title=""/>
                  <o:lock v:ext="edit" aspectratio="t"/>
                  <w10:wrap type="none"/>
                  <w10:anchorlock/>
                </v:shape>
                <o:OLEObject Type="Embed" ProgID="Equation.3" ShapeID="_x0000_i1077" DrawAspect="Content" ObjectID="_1468075777" r:id="rId100">
                  <o:LockedField>false</o:LockedField>
                </o:OLEObject>
              </w:object>
            </w:r>
            <w:r>
              <w:rPr>
                <w:rFonts w:cs="Arial"/>
              </w:rPr>
              <w:t xml:space="preserve"> is the transmitted power per 3.75 kHz or 15 kHz in allocated tones, measured in dBm.</w:t>
            </w:r>
          </w:p>
        </w:tc>
      </w:tr>
    </w:tbl>
    <w:p/>
    <w:p>
      <w:pPr>
        <w:pStyle w:val="4"/>
      </w:pPr>
      <w:bookmarkStart w:id="436" w:name="_Toc20766"/>
      <w:bookmarkStart w:id="437" w:name="_Toc111062056"/>
      <w:bookmarkStart w:id="438" w:name="_Toc15241"/>
      <w:bookmarkStart w:id="439" w:name="_Toc27731"/>
      <w:bookmarkStart w:id="440" w:name="_Toc121162844"/>
      <w:bookmarkStart w:id="441" w:name="_Toc368026297"/>
      <w:bookmarkStart w:id="442" w:name="_Toc120570052"/>
      <w:r>
        <w:t>6.5</w:t>
      </w:r>
      <w:r>
        <w:tab/>
      </w:r>
      <w:r>
        <w:t>Output RF spectrum emissions</w:t>
      </w:r>
      <w:bookmarkEnd w:id="436"/>
      <w:bookmarkEnd w:id="437"/>
      <w:bookmarkEnd w:id="438"/>
      <w:bookmarkEnd w:id="439"/>
      <w:bookmarkEnd w:id="440"/>
      <w:bookmarkEnd w:id="441"/>
      <w:bookmarkEnd w:id="442"/>
    </w:p>
    <w:p>
      <w:pPr>
        <w:rPr>
          <w:rFonts w:cs="v5.0.0"/>
        </w:rPr>
      </w:pPr>
      <w:bookmarkStart w:id="443" w:name="_Toc121162845"/>
      <w:bookmarkStart w:id="444" w:name="_Toc120570053"/>
      <w:r>
        <w:rPr>
          <w:rFonts w:cs="v5.0.0"/>
        </w:rPr>
        <w:t>The output UE transmitter spectrum consists of the three components; the emission within the occupied bandwidth (channel bandwidth), the Out Of Band (OOB) emissions and the far out spurious emission domain.</w:t>
      </w:r>
    </w:p>
    <w:p>
      <w:pPr>
        <w:pStyle w:val="113"/>
      </w:pPr>
      <w:r>
        <w:drawing>
          <wp:inline distT="0" distB="0" distL="0" distR="0">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pPr>
        <w:pStyle w:val="120"/>
      </w:pPr>
      <w:r>
        <w:t>Figure 6.5-1: Transmitter RF spectrum</w:t>
      </w:r>
    </w:p>
    <w:p>
      <w:pPr>
        <w:pStyle w:val="4"/>
      </w:pPr>
      <w:bookmarkStart w:id="445" w:name="_Toc5575"/>
      <w:bookmarkStart w:id="446" w:name="_Toc18588"/>
      <w:bookmarkStart w:id="447" w:name="_Toc15578"/>
      <w:r>
        <w:t>6.5A</w:t>
      </w:r>
      <w:r>
        <w:tab/>
      </w:r>
      <w:r>
        <w:t>Output RF spectrum emissions for category M1</w:t>
      </w:r>
      <w:bookmarkEnd w:id="443"/>
      <w:bookmarkEnd w:id="444"/>
      <w:bookmarkEnd w:id="445"/>
      <w:bookmarkEnd w:id="446"/>
      <w:bookmarkEnd w:id="447"/>
    </w:p>
    <w:p>
      <w:pPr>
        <w:pStyle w:val="5"/>
      </w:pPr>
      <w:bookmarkStart w:id="448" w:name="_Toc121162846"/>
      <w:bookmarkStart w:id="449" w:name="_Toc120570054"/>
      <w:bookmarkStart w:id="450" w:name="_Toc20171"/>
      <w:bookmarkStart w:id="451" w:name="_Toc2875"/>
      <w:bookmarkStart w:id="452" w:name="_Toc7704"/>
      <w:r>
        <w:t>6.5A.1</w:t>
      </w:r>
      <w:r>
        <w:tab/>
      </w:r>
      <w:r>
        <w:t>General</w:t>
      </w:r>
      <w:bookmarkEnd w:id="448"/>
      <w:bookmarkEnd w:id="449"/>
      <w:bookmarkEnd w:id="450"/>
      <w:bookmarkEnd w:id="451"/>
      <w:bookmarkEnd w:id="452"/>
    </w:p>
    <w:p>
      <w:pPr>
        <w:rPr>
          <w:lang w:val="en-US"/>
        </w:rPr>
      </w:pPr>
      <w:r>
        <w:t>The definitions in clause 6.5 shall apply</w:t>
      </w:r>
      <w:r>
        <w:rPr>
          <w:lang w:val="en-US"/>
        </w:rPr>
        <w:t>.</w:t>
      </w:r>
    </w:p>
    <w:p>
      <w:pPr>
        <w:pStyle w:val="5"/>
      </w:pPr>
      <w:bookmarkStart w:id="453" w:name="_Toc120570055"/>
      <w:bookmarkStart w:id="454" w:name="_Toc9469"/>
      <w:bookmarkStart w:id="455" w:name="_Toc26371"/>
      <w:bookmarkStart w:id="456" w:name="_Toc7038"/>
      <w:bookmarkStart w:id="457" w:name="_Toc121162847"/>
      <w:r>
        <w:t>6.5A.2</w:t>
      </w:r>
      <w:r>
        <w:tab/>
      </w:r>
      <w:r>
        <w:t>Occupied bandwidth for category M1</w:t>
      </w:r>
      <w:bookmarkEnd w:id="453"/>
      <w:bookmarkEnd w:id="454"/>
      <w:bookmarkEnd w:id="455"/>
      <w:bookmarkEnd w:id="456"/>
      <w:bookmarkEnd w:id="457"/>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Pr>
        <w:pStyle w:val="9"/>
        <w:rPr>
          <w:rFonts w:eastAsiaTheme="minorEastAsia"/>
        </w:rPr>
      </w:pPr>
      <w:r>
        <w:rPr>
          <w:rFonts w:hint="eastAsia" w:eastAsiaTheme="minorEastAsia"/>
        </w:rPr>
        <w:t>6</w:t>
      </w:r>
      <w:r>
        <w:rPr>
          <w:rFonts w:eastAsiaTheme="minorEastAsia"/>
        </w:rPr>
        <w:t>.5A.2.1</w:t>
      </w:r>
      <w:r>
        <w:rPr>
          <w:rFonts w:eastAsiaTheme="minorEastAsia"/>
        </w:rPr>
        <w:tab/>
      </w:r>
      <w:r>
        <w:rPr>
          <w:rFonts w:eastAsiaTheme="minorEastAsia"/>
        </w:rPr>
        <w:t>Test purpose</w:t>
      </w:r>
    </w:p>
    <w:p>
      <w:pPr>
        <w:rPr>
          <w:rFonts w:eastAsiaTheme="minorEastAsia"/>
        </w:rPr>
      </w:pPr>
      <w:r>
        <w:rPr>
          <w:rFonts w:eastAsiaTheme="minorEastAsia"/>
        </w:rPr>
        <w:t>To verify that the UE occupied bandwidth for all transmission bandwidth configurations supported by the UE are less than their specific limits.</w:t>
      </w:r>
    </w:p>
    <w:p>
      <w:pPr>
        <w:pStyle w:val="9"/>
        <w:rPr>
          <w:rFonts w:eastAsiaTheme="minorEastAsia"/>
        </w:rPr>
      </w:pPr>
      <w:r>
        <w:rPr>
          <w:rFonts w:hint="eastAsia" w:eastAsiaTheme="minorEastAsia"/>
        </w:rPr>
        <w:t>6</w:t>
      </w:r>
      <w:r>
        <w:rPr>
          <w:rFonts w:eastAsiaTheme="minorEastAsia"/>
        </w:rPr>
        <w:t>.5A.2.2</w:t>
      </w:r>
      <w:r>
        <w:rPr>
          <w:rFonts w:eastAsiaTheme="minorEastAsia"/>
        </w:rPr>
        <w:tab/>
      </w:r>
      <w:r>
        <w:rPr>
          <w:rFonts w:eastAsiaTheme="minorEastAsia"/>
        </w:rPr>
        <w:t>Test applicability</w:t>
      </w:r>
    </w:p>
    <w:p>
      <w:r>
        <w:t>This test case applies to all types of NB-IoT FDD UE release 1</w:t>
      </w:r>
      <w:r>
        <w:rPr>
          <w:rFonts w:eastAsia="PMingLiU"/>
          <w:lang w:eastAsia="zh-TW"/>
        </w:rPr>
        <w:t>7</w:t>
      </w:r>
      <w:r>
        <w:t xml:space="preserve"> and forward of UE category M1 that support satellite access operation.</w:t>
      </w:r>
    </w:p>
    <w:p>
      <w:pPr>
        <w:pStyle w:val="9"/>
        <w:rPr>
          <w:rFonts w:eastAsiaTheme="minorEastAsia"/>
        </w:rPr>
      </w:pPr>
      <w:r>
        <w:rPr>
          <w:rFonts w:hint="eastAsia" w:eastAsiaTheme="minorEastAsia"/>
        </w:rPr>
        <w:t>6</w:t>
      </w:r>
      <w:r>
        <w:rPr>
          <w:rFonts w:eastAsiaTheme="minorEastAsia"/>
        </w:rPr>
        <w:t>.5A.2.3</w:t>
      </w:r>
      <w:r>
        <w:rPr>
          <w:rFonts w:eastAsiaTheme="minorEastAsia"/>
        </w:rPr>
        <w:tab/>
      </w:r>
      <w:r>
        <w:rPr>
          <w:rFonts w:eastAsiaTheme="minorEastAsia"/>
        </w:rPr>
        <w:t>Minimum conformance requirements</w:t>
      </w:r>
    </w:p>
    <w:p>
      <w:pPr>
        <w:rPr>
          <w:lang w:eastAsia="en-GB"/>
        </w:rPr>
      </w:pPr>
      <w:r>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pPr>
        <w:keepNext/>
        <w:keepLines/>
        <w:spacing w:before="60"/>
        <w:jc w:val="center"/>
        <w:rPr>
          <w:rFonts w:ascii="Arial" w:hAnsi="Arial"/>
          <w:b/>
          <w:lang w:eastAsia="en-GB"/>
        </w:rPr>
      </w:pPr>
      <w:r>
        <w:rPr>
          <w:rFonts w:ascii="Arial" w:hAnsi="Arial"/>
          <w:b/>
          <w:lang w:eastAsia="en-GB"/>
        </w:rPr>
        <w:t>Table 6.5A.2.3-1: Occupied channel bandwidth</w:t>
      </w:r>
    </w:p>
    <w:tbl>
      <w:tblPr>
        <w:tblStyle w:val="89"/>
        <w:tblW w:w="5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3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restart"/>
            <w:vAlign w:val="center"/>
          </w:tcPr>
          <w:p>
            <w:pPr>
              <w:spacing w:after="0"/>
              <w:rPr>
                <w:rFonts w:ascii="Arial" w:hAnsi="Arial"/>
                <w:sz w:val="18"/>
                <w:lang w:eastAsia="en-GB"/>
              </w:rPr>
            </w:pPr>
          </w:p>
        </w:tc>
        <w:tc>
          <w:tcPr>
            <w:tcW w:w="3371" w:type="dxa"/>
          </w:tcPr>
          <w:p>
            <w:pPr>
              <w:keepNext/>
              <w:keepLines/>
              <w:spacing w:after="0"/>
              <w:jc w:val="center"/>
              <w:rPr>
                <w:rFonts w:ascii="Arial" w:hAnsi="Arial"/>
                <w:b/>
                <w:sz w:val="18"/>
              </w:rPr>
            </w:pPr>
            <w:r>
              <w:rPr>
                <w:rFonts w:ascii="Arial" w:hAnsi="Arial"/>
                <w:b/>
                <w:sz w:val="18"/>
              </w:rPr>
              <w:t>Occupied channel bandwidth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continue"/>
            <w:vAlign w:val="center"/>
          </w:tcPr>
          <w:p>
            <w:pPr>
              <w:spacing w:after="0"/>
              <w:rPr>
                <w:rFonts w:ascii="Arial" w:hAnsi="Arial"/>
                <w:sz w:val="18"/>
                <w:lang w:eastAsia="en-GB"/>
              </w:rPr>
            </w:pPr>
          </w:p>
        </w:tc>
        <w:tc>
          <w:tcPr>
            <w:tcW w:w="3371" w:type="dxa"/>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Align w:val="center"/>
          </w:tcPr>
          <w:p>
            <w:pPr>
              <w:keepNext/>
              <w:keepLines/>
              <w:spacing w:after="0"/>
              <w:jc w:val="center"/>
              <w:rPr>
                <w:rFonts w:ascii="Arial" w:hAnsi="Arial"/>
                <w:b/>
                <w:sz w:val="18"/>
              </w:rPr>
            </w:pPr>
            <w:r>
              <w:rPr>
                <w:rFonts w:ascii="Arial" w:hAnsi="Arial"/>
                <w:b/>
                <w:sz w:val="18"/>
              </w:rPr>
              <w:t>Channel bandwidth [MHz]</w:t>
            </w:r>
          </w:p>
        </w:tc>
        <w:tc>
          <w:tcPr>
            <w:tcW w:w="3371" w:type="dxa"/>
            <w:vAlign w:val="center"/>
          </w:tcPr>
          <w:p>
            <w:pPr>
              <w:keepNext/>
              <w:keepLines/>
              <w:spacing w:after="0"/>
              <w:jc w:val="center"/>
              <w:rPr>
                <w:rFonts w:ascii="Arial" w:hAnsi="Arial"/>
                <w:sz w:val="18"/>
              </w:rPr>
            </w:pPr>
            <w:r>
              <w:rPr>
                <w:rFonts w:ascii="Arial" w:hAnsi="Arial"/>
                <w:sz w:val="18"/>
              </w:rPr>
              <w:t>1.4</w:t>
            </w:r>
          </w:p>
        </w:tc>
      </w:tr>
    </w:tbl>
    <w:p>
      <w:pPr>
        <w:spacing w:after="0"/>
        <w:rPr>
          <w:lang w:eastAsia="en-GB"/>
        </w:rPr>
      </w:pPr>
    </w:p>
    <w:p>
      <w:pPr>
        <w:rPr>
          <w:lang w:eastAsia="en-GB"/>
        </w:rPr>
      </w:pPr>
      <w:r>
        <w:rPr>
          <w:lang w:eastAsia="en-GB"/>
        </w:rPr>
        <w:t>The normative reference for this requirement is TS 36.102 [11] clause 6.5A.2.</w:t>
      </w:r>
    </w:p>
    <w:p>
      <w:pPr>
        <w:pStyle w:val="9"/>
        <w:rPr>
          <w:rFonts w:eastAsiaTheme="minorEastAsia"/>
        </w:rPr>
      </w:pPr>
      <w:r>
        <w:rPr>
          <w:rFonts w:hint="eastAsia" w:eastAsiaTheme="minorEastAsia"/>
        </w:rPr>
        <w:t>6</w:t>
      </w:r>
      <w:r>
        <w:rPr>
          <w:rFonts w:eastAsiaTheme="minorEastAsia"/>
        </w:rPr>
        <w:t>.5A.2.4</w:t>
      </w:r>
      <w:r>
        <w:rPr>
          <w:rFonts w:eastAsiaTheme="minorEastAsia"/>
        </w:rPr>
        <w:tab/>
      </w:r>
      <w:r>
        <w:rPr>
          <w:rFonts w:eastAsiaTheme="minorEastAsia"/>
        </w:rPr>
        <w:t>Test description</w:t>
      </w:r>
    </w:p>
    <w:p>
      <w:pPr>
        <w:pStyle w:val="9"/>
        <w:rPr>
          <w:rFonts w:eastAsiaTheme="minorEastAsia"/>
        </w:rPr>
      </w:pPr>
      <w:r>
        <w:rPr>
          <w:rFonts w:hint="eastAsia" w:eastAsiaTheme="minorEastAsia"/>
        </w:rPr>
        <w:t>6</w:t>
      </w:r>
      <w:r>
        <w:rPr>
          <w:rFonts w:eastAsiaTheme="minorEastAsia"/>
        </w:rPr>
        <w:t>.5A.2.4.1</w:t>
      </w:r>
      <w:r>
        <w:rPr>
          <w:rFonts w:eastAsiaTheme="minorEastAsia"/>
        </w:rPr>
        <w:tab/>
      </w:r>
      <w:r>
        <w:rPr>
          <w:rFonts w:eastAsiaTheme="minorEastAsia"/>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pPr>
        <w:keepNext/>
        <w:keepLines/>
        <w:spacing w:before="60"/>
        <w:jc w:val="center"/>
        <w:rPr>
          <w:rFonts w:ascii="Arial" w:hAnsi="Arial"/>
          <w:b/>
          <w:lang w:eastAsia="en-GB"/>
        </w:rPr>
      </w:pPr>
      <w:r>
        <w:rPr>
          <w:rFonts w:ascii="Arial" w:hAnsi="Arial"/>
          <w:b/>
          <w:lang w:eastAsia="en-GB"/>
        </w:rPr>
        <w:t>Table 6.5A.2.4.1-1: Test Configuration Table</w:t>
      </w:r>
    </w:p>
    <w:tbl>
      <w:tblPr>
        <w:tblStyle w:val="89"/>
        <w:tblW w:w="821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30"/>
        <w:gridCol w:w="1165"/>
        <w:gridCol w:w="1165"/>
        <w:gridCol w:w="23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17" w:type="dxa"/>
            <w:gridSpan w:val="5"/>
          </w:tcPr>
          <w:p>
            <w:pPr>
              <w:keepNext/>
              <w:keepLines/>
              <w:spacing w:after="0"/>
              <w:jc w:val="center"/>
              <w:rPr>
                <w:rFonts w:ascii="Arial" w:hAnsi="Arial" w:cs="v5.0.0"/>
                <w:b/>
                <w:sz w:val="18"/>
              </w:rPr>
            </w:pPr>
            <w:r>
              <w:rPr>
                <w:rFonts w:ascii="Arial" w:hAnsi="Arial" w:cs="v5.0.0"/>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sz w:val="18"/>
              </w:rPr>
            </w:pPr>
            <w:r>
              <w:rPr>
                <w:rFonts w:ascii="Arial" w:hAnsi="Arial" w:cs="v5.0.0"/>
                <w:sz w:val="18"/>
              </w:rPr>
              <w:t>Test Environment as specified in</w:t>
            </w:r>
          </w:p>
          <w:p>
            <w:pPr>
              <w:keepNext/>
              <w:keepLines/>
              <w:spacing w:after="0"/>
              <w:jc w:val="center"/>
              <w:rPr>
                <w:rFonts w:ascii="Arial" w:hAnsi="Arial"/>
                <w:sz w:val="18"/>
              </w:rPr>
            </w:pPr>
            <w:r>
              <w:rPr>
                <w:rFonts w:ascii="Arial" w:hAnsi="Arial"/>
                <w:sz w:val="18"/>
              </w:rPr>
              <w:t>TS 36.508 [12] subclause 4.1</w:t>
            </w:r>
          </w:p>
        </w:tc>
        <w:tc>
          <w:tcPr>
            <w:tcW w:w="4721" w:type="dxa"/>
            <w:gridSpan w:val="3"/>
          </w:tcPr>
          <w:p>
            <w:pPr>
              <w:keepNext/>
              <w:keepLines/>
              <w:spacing w:after="0"/>
              <w:jc w:val="center"/>
              <w:rPr>
                <w:rFonts w:ascii="Arial" w:hAnsi="Arial" w:cs="v5.0.0"/>
                <w:sz w:val="18"/>
              </w:rPr>
            </w:pPr>
            <w:r>
              <w:rPr>
                <w:rFonts w:ascii="Arial" w:hAnsi="Arial" w:cs="v5.0.0"/>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b/>
                <w:sz w:val="18"/>
              </w:rPr>
            </w:pPr>
            <w:r>
              <w:rPr>
                <w:rFonts w:ascii="Arial" w:hAnsi="Arial" w:cs="v5.0.0"/>
                <w:sz w:val="18"/>
              </w:rPr>
              <w:t>Test Frequencies as specified in</w:t>
            </w:r>
          </w:p>
          <w:p>
            <w:pPr>
              <w:keepNext/>
              <w:keepLines/>
              <w:spacing w:after="0"/>
              <w:jc w:val="center"/>
              <w:rPr>
                <w:rFonts w:ascii="Arial" w:hAnsi="Arial"/>
                <w:sz w:val="18"/>
              </w:rPr>
            </w:pPr>
            <w:r>
              <w:rPr>
                <w:rFonts w:ascii="Arial" w:hAnsi="Arial"/>
                <w:sz w:val="18"/>
              </w:rPr>
              <w:t>TS36.508 [12] subclause 4.3.1</w:t>
            </w:r>
          </w:p>
        </w:tc>
        <w:tc>
          <w:tcPr>
            <w:tcW w:w="4721" w:type="dxa"/>
            <w:gridSpan w:val="3"/>
          </w:tcPr>
          <w:p>
            <w:pPr>
              <w:keepNext/>
              <w:keepLines/>
              <w:spacing w:after="0"/>
              <w:jc w:val="center"/>
              <w:rPr>
                <w:rFonts w:ascii="Arial" w:hAnsi="Arial" w:cs="v5.0.0"/>
                <w:sz w:val="18"/>
              </w:rPr>
            </w:pPr>
            <w:r>
              <w:rPr>
                <w:rFonts w:ascii="Arial" w:hAnsi="Arial" w:cs="v5.0.0"/>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2"/>
          </w:tcPr>
          <w:p>
            <w:pPr>
              <w:keepNext/>
              <w:keepLines/>
              <w:spacing w:after="0"/>
              <w:jc w:val="center"/>
              <w:rPr>
                <w:rFonts w:ascii="Arial" w:hAnsi="Arial"/>
                <w:b/>
                <w:sz w:val="18"/>
              </w:rPr>
            </w:pPr>
            <w:r>
              <w:rPr>
                <w:rFonts w:ascii="Arial" w:hAnsi="Arial" w:cs="v5.0.0"/>
                <w:sz w:val="18"/>
              </w:rPr>
              <w:t>Test Channel Bandwidths</w:t>
            </w:r>
            <w:r>
              <w:rPr>
                <w:rFonts w:ascii="Arial" w:hAnsi="Arial" w:cs="v5.0.0"/>
                <w:b/>
                <w:sz w:val="18"/>
              </w:rPr>
              <w:t xml:space="preserve"> </w:t>
            </w:r>
            <w:r>
              <w:rPr>
                <w:rFonts w:ascii="Arial" w:hAnsi="Arial" w:cs="v5.0.0"/>
                <w:sz w:val="18"/>
              </w:rPr>
              <w:t>as specified in</w:t>
            </w:r>
          </w:p>
          <w:p>
            <w:pPr>
              <w:keepNext/>
              <w:keepLines/>
              <w:spacing w:after="0"/>
              <w:jc w:val="center"/>
              <w:rPr>
                <w:rFonts w:ascii="Arial" w:hAnsi="Arial"/>
                <w:sz w:val="18"/>
              </w:rPr>
            </w:pPr>
            <w:r>
              <w:rPr>
                <w:rFonts w:ascii="Arial" w:hAnsi="Arial"/>
                <w:sz w:val="18"/>
              </w:rPr>
              <w:t>TS 36.508 [12] subclause 4.3.1</w:t>
            </w:r>
          </w:p>
        </w:tc>
        <w:tc>
          <w:tcPr>
            <w:tcW w:w="4721" w:type="dxa"/>
            <w:gridSpan w:val="3"/>
          </w:tcPr>
          <w:p>
            <w:pPr>
              <w:keepNext/>
              <w:keepLines/>
              <w:spacing w:after="0"/>
              <w:jc w:val="center"/>
              <w:rPr>
                <w:rFonts w:ascii="Arial" w:hAnsi="Arial" w:cs="v5.0.0"/>
                <w:sz w:val="18"/>
              </w:rPr>
            </w:pPr>
            <w:r>
              <w:rPr>
                <w:rFonts w:ascii="Arial" w:hAnsi="Arial" w:cs="v5.0.0"/>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17" w:type="dxa"/>
            <w:gridSpan w:val="5"/>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keepNext/>
              <w:keepLines/>
              <w:spacing w:after="0"/>
              <w:jc w:val="center"/>
              <w:rPr>
                <w:rFonts w:ascii="Arial" w:hAnsi="Arial"/>
                <w:sz w:val="18"/>
              </w:rPr>
            </w:pPr>
          </w:p>
        </w:tc>
        <w:tc>
          <w:tcPr>
            <w:tcW w:w="3495" w:type="dxa"/>
            <w:gridSpan w:val="2"/>
          </w:tcPr>
          <w:p>
            <w:pPr>
              <w:keepNext/>
              <w:keepLines/>
              <w:spacing w:after="0"/>
              <w:jc w:val="center"/>
              <w:rPr>
                <w:rFonts w:ascii="Arial" w:hAnsi="Arial"/>
                <w:b/>
                <w:sz w:val="18"/>
              </w:rPr>
            </w:pPr>
            <w:r>
              <w:rPr>
                <w:rFonts w:ascii="Arial" w:hAnsi="Arial"/>
                <w:b/>
                <w:sz w:val="18"/>
              </w:rPr>
              <w:t>Downlink Configuration</w:t>
            </w:r>
          </w:p>
        </w:tc>
        <w:tc>
          <w:tcPr>
            <w:tcW w:w="3556" w:type="dxa"/>
            <w:gridSpan w:val="2"/>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r>
              <w:rPr>
                <w:rFonts w:ascii="Arial" w:hAnsi="Arial" w:cs="v5.0.0"/>
                <w:sz w:val="18"/>
              </w:rPr>
              <w:t>Ch BW</w:t>
            </w:r>
          </w:p>
        </w:tc>
        <w:tc>
          <w:tcPr>
            <w:tcW w:w="3495" w:type="dxa"/>
            <w:gridSpan w:val="2"/>
            <w:vMerge w:val="restart"/>
          </w:tcPr>
          <w:p>
            <w:pPr>
              <w:keepNext/>
              <w:keepLines/>
              <w:spacing w:after="0"/>
              <w:jc w:val="center"/>
              <w:rPr>
                <w:rFonts w:ascii="Arial" w:hAnsi="Arial"/>
                <w:sz w:val="18"/>
              </w:rPr>
            </w:pPr>
            <w:r>
              <w:rPr>
                <w:rFonts w:ascii="Arial" w:hAnsi="Arial" w:cs="Arial"/>
                <w:sz w:val="18"/>
              </w:rPr>
              <w:t xml:space="preserve">N/A for </w:t>
            </w:r>
            <w:r>
              <w:rPr>
                <w:rFonts w:ascii="Arial" w:hAnsi="Arial"/>
                <w:sz w:val="18"/>
              </w:rPr>
              <w:t>Occupied bandwidth</w:t>
            </w:r>
          </w:p>
        </w:tc>
        <w:tc>
          <w:tcPr>
            <w:tcW w:w="1165" w:type="dxa"/>
          </w:tcPr>
          <w:p>
            <w:pPr>
              <w:keepNext/>
              <w:keepLines/>
              <w:spacing w:after="0"/>
              <w:jc w:val="center"/>
              <w:rPr>
                <w:rFonts w:ascii="Arial" w:hAnsi="Arial"/>
                <w:sz w:val="18"/>
              </w:rPr>
            </w:pPr>
            <w:r>
              <w:rPr>
                <w:rFonts w:ascii="Arial" w:hAnsi="Arial" w:cs="v5.0.0"/>
                <w:sz w:val="18"/>
              </w:rPr>
              <w:t>Mod'n</w:t>
            </w:r>
          </w:p>
        </w:tc>
        <w:tc>
          <w:tcPr>
            <w:tcW w:w="2391" w:type="dxa"/>
          </w:tcPr>
          <w:p>
            <w:pPr>
              <w:keepNext/>
              <w:keepLines/>
              <w:spacing w:after="0"/>
              <w:jc w:val="center"/>
              <w:rPr>
                <w:rFonts w:ascii="Arial" w:hAnsi="Arial" w:cs="v5.0.0"/>
                <w:sz w:val="18"/>
              </w:rPr>
            </w:pPr>
            <w:r>
              <w:rPr>
                <w:rFonts w:ascii="Arial" w:hAnsi="Arial" w:cs="v5.0.0"/>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p>
        </w:tc>
        <w:tc>
          <w:tcPr>
            <w:tcW w:w="3495" w:type="dxa"/>
            <w:gridSpan w:val="2"/>
            <w:vMerge w:val="continue"/>
          </w:tcPr>
          <w:p>
            <w:pPr>
              <w:rPr>
                <w:lang w:eastAsia="en-GB"/>
              </w:rPr>
            </w:pPr>
          </w:p>
        </w:tc>
        <w:tc>
          <w:tcPr>
            <w:tcW w:w="1165" w:type="dxa"/>
          </w:tcPr>
          <w:p>
            <w:pPr>
              <w:keepNext/>
              <w:keepLines/>
              <w:spacing w:after="0"/>
              <w:jc w:val="center"/>
              <w:rPr>
                <w:rFonts w:ascii="Arial" w:hAnsi="Arial"/>
                <w:sz w:val="18"/>
              </w:rPr>
            </w:pPr>
          </w:p>
        </w:tc>
        <w:tc>
          <w:tcPr>
            <w:tcW w:w="2391" w:type="dxa"/>
          </w:tcPr>
          <w:p>
            <w:pPr>
              <w:keepNext/>
              <w:keepLines/>
              <w:spacing w:after="0"/>
              <w:jc w:val="center"/>
              <w:rPr>
                <w:rFonts w:ascii="Arial" w:hAnsi="Arial"/>
                <w:sz w:val="18"/>
              </w:rPr>
            </w:pPr>
            <w:r>
              <w:rPr>
                <w:rFonts w:ascii="Arial" w:hAnsi="Arial" w:cs="v5.0.0"/>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keepNext/>
              <w:keepLines/>
              <w:spacing w:after="0"/>
              <w:jc w:val="center"/>
              <w:rPr>
                <w:rFonts w:ascii="Arial" w:hAnsi="Arial"/>
                <w:sz w:val="18"/>
              </w:rPr>
            </w:pPr>
            <w:r>
              <w:rPr>
                <w:rFonts w:ascii="Arial" w:hAnsi="Arial"/>
                <w:sz w:val="18"/>
              </w:rPr>
              <w:t>1.4MHz</w:t>
            </w:r>
          </w:p>
        </w:tc>
        <w:tc>
          <w:tcPr>
            <w:tcW w:w="3495" w:type="dxa"/>
            <w:gridSpan w:val="2"/>
            <w:vMerge w:val="continue"/>
          </w:tcPr>
          <w:p>
            <w:pPr>
              <w:rPr>
                <w:rFonts w:cs="v5.0.0"/>
                <w:lang w:eastAsia="en-GB"/>
              </w:rPr>
            </w:pPr>
          </w:p>
        </w:tc>
        <w:tc>
          <w:tcPr>
            <w:tcW w:w="1165" w:type="dxa"/>
          </w:tcPr>
          <w:p>
            <w:pPr>
              <w:keepNext/>
              <w:keepLines/>
              <w:spacing w:after="0"/>
              <w:jc w:val="center"/>
              <w:rPr>
                <w:rFonts w:ascii="Arial" w:hAnsi="Arial"/>
                <w:sz w:val="18"/>
              </w:rPr>
            </w:pPr>
            <w:r>
              <w:rPr>
                <w:rFonts w:ascii="Arial" w:hAnsi="Arial"/>
                <w:sz w:val="18"/>
              </w:rPr>
              <w:t>QPSK</w:t>
            </w:r>
          </w:p>
        </w:tc>
        <w:tc>
          <w:tcPr>
            <w:tcW w:w="2391" w:type="dxa"/>
          </w:tcPr>
          <w:p>
            <w:pPr>
              <w:keepNext/>
              <w:keepLines/>
              <w:spacing w:after="0"/>
              <w:jc w:val="center"/>
              <w:rPr>
                <w:rFonts w:ascii="Arial" w:hAnsi="Arial" w:cs="v5.0.0"/>
                <w:sz w:val="18"/>
              </w:rPr>
            </w:pPr>
            <w:r>
              <w:rPr>
                <w:rFonts w:ascii="Arial" w:hAnsi="Arial" w:cs="v5.0.0"/>
                <w:sz w:val="18"/>
              </w:rPr>
              <w:t>6</w:t>
            </w:r>
          </w:p>
        </w:tc>
      </w:tr>
    </w:tbl>
    <w:p>
      <w:pPr>
        <w:rPr>
          <w:lang w:eastAsia="en-GB"/>
        </w:rPr>
      </w:pPr>
    </w:p>
    <w:p>
      <w:pPr>
        <w:ind w:left="568" w:hanging="284"/>
        <w:rPr>
          <w:lang w:eastAsia="en-GB"/>
        </w:rPr>
      </w:pPr>
      <w:r>
        <w:rPr>
          <w:lang w:eastAsia="en-GB"/>
        </w:rPr>
        <w:t>1.</w:t>
      </w:r>
      <w:r>
        <w:rPr>
          <w:lang w:eastAsia="en-GB"/>
        </w:rPr>
        <w:tab/>
      </w:r>
      <w:r>
        <w:rPr>
          <w:lang w:eastAsia="en-GB"/>
        </w:rPr>
        <w:t>Connect the SS to the UE antenna connectors as shown in TS 36.508 [12] Annex A Figure A.3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The UL Reference Measurement channels are set according to Table 6.5A.2.4.1-1.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lang w:eastAsia="en-GB"/>
        </w:rPr>
        <w:t>Ensure the UE is in State 3A-RF-CE according to TS 36.508 [12] clause 5.2A.2AA. Message contents are defined in clause 6.5A.2.4.3.</w:t>
      </w:r>
    </w:p>
    <w:p>
      <w:pPr>
        <w:pStyle w:val="9"/>
        <w:rPr>
          <w:rFonts w:eastAsiaTheme="minorEastAsia"/>
        </w:rPr>
      </w:pPr>
      <w:r>
        <w:rPr>
          <w:rFonts w:hint="eastAsia" w:eastAsiaTheme="minorEastAsia"/>
        </w:rPr>
        <w:t>6</w:t>
      </w:r>
      <w:r>
        <w:rPr>
          <w:rFonts w:eastAsiaTheme="minorEastAsia"/>
        </w:rPr>
        <w:t>.5A.2.4.2</w:t>
      </w:r>
      <w:r>
        <w:rPr>
          <w:rFonts w:eastAsiaTheme="minorEastAsia"/>
        </w:rPr>
        <w:tab/>
      </w:r>
      <w:r>
        <w:rPr>
          <w:rFonts w:eastAsiaTheme="minorEastAsia"/>
        </w:rPr>
        <w:t>Test procedure</w:t>
      </w:r>
    </w:p>
    <w:p>
      <w:pPr>
        <w:ind w:left="568" w:hanging="284"/>
        <w:rPr>
          <w:lang w:eastAsia="en-GB"/>
        </w:rPr>
      </w:pPr>
      <w:r>
        <w:rPr>
          <w:lang w:eastAsia="en-GB"/>
        </w:rPr>
        <w:t>1.</w:t>
      </w:r>
      <w:r>
        <w:rPr>
          <w:lang w:eastAsia="en-GB"/>
        </w:rPr>
        <w:tab/>
      </w:r>
      <w:r>
        <w:rPr>
          <w:lang w:eastAsia="en-GB"/>
        </w:rPr>
        <w:t xml:space="preserve">The SS sends uplink scheduling information </w:t>
      </w:r>
      <w:r>
        <w:rPr>
          <w:rFonts w:eastAsia="MS Mincho"/>
          <w:lang w:eastAsia="en-GB"/>
        </w:rPr>
        <w:t>for each UL HARQ process</w:t>
      </w:r>
      <w:r>
        <w:rPr>
          <w:lang w:eastAsia="en-GB"/>
        </w:rPr>
        <w:t xml:space="preserve"> via MPDCCH DCI format 6-0A for C_RNTI to schedule the UL RMC according to Table 6.5A.2.4.1-1. Since the UE has no payload and no loopback data to send the UE sends uplink MAC padding bits on the UL RMC</w:t>
      </w:r>
      <w:r>
        <w:rPr>
          <w:rFonts w:eastAsia="MS Mincho"/>
          <w:lang w:eastAsia="en-GB"/>
        </w:rPr>
        <w:t>.</w:t>
      </w:r>
    </w:p>
    <w:p>
      <w:pPr>
        <w:ind w:left="568" w:hanging="284"/>
        <w:rPr>
          <w:lang w:eastAsia="en-GB"/>
        </w:rPr>
      </w:pPr>
      <w:r>
        <w:rPr>
          <w:lang w:eastAsia="en-GB"/>
        </w:rPr>
        <w:t>2.</w:t>
      </w:r>
      <w:r>
        <w:rPr>
          <w:lang w:eastAsia="en-GB"/>
        </w:rPr>
        <w:tab/>
      </w:r>
      <w:r>
        <w:rPr>
          <w:lang w:eastAsia="en-GB"/>
        </w:rPr>
        <w:t xml:space="preserve">Send continuously power control "up" commands to the UE until the UE transmits at </w:t>
      </w:r>
      <w:r>
        <w:rPr>
          <w:shd w:val="clear" w:color="auto" w:fill="FFFFFF"/>
          <w:lang w:eastAsia="en-GB"/>
        </w:rPr>
        <w:t>P</w:t>
      </w:r>
      <w:r>
        <w:rPr>
          <w:shd w:val="clear" w:color="auto" w:fill="FFFFFF"/>
          <w:vertAlign w:val="subscript"/>
          <w:lang w:eastAsia="en-GB"/>
        </w:rPr>
        <w:t>UMAX</w:t>
      </w:r>
      <w:r>
        <w:rPr>
          <w:shd w:val="clear" w:color="auto" w:fill="FFFFFF"/>
          <w:lang w:eastAsia="en-GB"/>
        </w:rPr>
        <w:t xml:space="preserve"> level</w:t>
      </w:r>
      <w:r>
        <w:rPr>
          <w:rFonts w:eastAsia="MS Mincho"/>
          <w:shd w:val="clear" w:color="auto" w:fill="FFFFFF"/>
          <w:lang w:eastAsia="en-GB"/>
        </w:rPr>
        <w:t>.</w:t>
      </w:r>
    </w:p>
    <w:p>
      <w:pPr>
        <w:ind w:left="568" w:hanging="284"/>
        <w:rPr>
          <w:lang w:eastAsia="en-GB"/>
        </w:rPr>
      </w:pPr>
      <w:r>
        <w:rPr>
          <w:lang w:eastAsia="en-GB"/>
        </w:rPr>
        <w:t>3.</w:t>
      </w:r>
      <w:r>
        <w:rPr>
          <w:lang w:eastAsia="en-GB"/>
        </w:rPr>
        <w:tab/>
      </w:r>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measuring duration is one active uplink subframe. for HD-FDD slots with transient periods and Half-duplex guard subframe are not under test.</w:t>
      </w:r>
    </w:p>
    <w:p>
      <w:pPr>
        <w:ind w:left="568" w:hanging="284"/>
        <w:rPr>
          <w:lang w:eastAsia="en-GB"/>
        </w:rPr>
      </w:pPr>
      <w:r>
        <w:rPr>
          <w:lang w:eastAsia="en-GB"/>
        </w:rPr>
        <w:t>4.</w:t>
      </w:r>
      <w:r>
        <w:rPr>
          <w:lang w:eastAsia="en-GB"/>
        </w:rPr>
        <w:tab/>
      </w:r>
      <w:r>
        <w:rPr>
          <w:lang w:eastAsia="en-GB"/>
        </w:rPr>
        <w:t>Calculate the total power within the range of all frequencies measured in '3)' and save this value as "Total Power".</w:t>
      </w:r>
    </w:p>
    <w:p>
      <w:pPr>
        <w:ind w:left="568" w:hanging="284"/>
        <w:rPr>
          <w:lang w:eastAsia="en-GB"/>
        </w:rPr>
      </w:pPr>
      <w:r>
        <w:rPr>
          <w:lang w:eastAsia="en-GB"/>
        </w:rPr>
        <w:t>5.</w:t>
      </w:r>
      <w:r>
        <w:rPr>
          <w:lang w:eastAsia="en-GB"/>
        </w:rPr>
        <w:tab/>
      </w:r>
      <w:r>
        <w:rPr>
          <w:lang w:eastAsia="en-GB"/>
        </w:rPr>
        <w:t>Sum up the power upward from the lower boundary of the measured frequency range in '3)' and seek the limit frequency point by which this sum becomes 0,5 % of "Total Power" and save this point as "Lower Frequency".</w:t>
      </w:r>
    </w:p>
    <w:p>
      <w:pPr>
        <w:ind w:left="568" w:hanging="284"/>
        <w:rPr>
          <w:lang w:eastAsia="en-GB"/>
        </w:rPr>
      </w:pPr>
      <w:r>
        <w:rPr>
          <w:lang w:eastAsia="en-GB"/>
        </w:rPr>
        <w:t>6.</w:t>
      </w:r>
      <w:r>
        <w:rPr>
          <w:lang w:eastAsia="en-GB"/>
        </w:rPr>
        <w:tab/>
      </w:r>
      <w:r>
        <w:rPr>
          <w:lang w:eastAsia="en-GB"/>
        </w:rPr>
        <w:t>Sum up the power downward from the upper boundary of the measured frequency range in '3)' and seek the limit frequency point by which this sum becomes 0,5 % of "Total Power" and save this point as "Upper Frequency".</w:t>
      </w:r>
    </w:p>
    <w:p>
      <w:pPr>
        <w:ind w:left="568" w:hanging="284"/>
        <w:rPr>
          <w:lang w:eastAsia="en-GB"/>
        </w:rPr>
      </w:pPr>
      <w:r>
        <w:rPr>
          <w:lang w:eastAsia="en-GB"/>
        </w:rPr>
        <w:t>7.</w:t>
      </w:r>
      <w:r>
        <w:rPr>
          <w:lang w:eastAsia="en-GB"/>
        </w:rPr>
        <w:tab/>
      </w:r>
      <w:r>
        <w:rPr>
          <w:lang w:eastAsia="en-GB"/>
        </w:rPr>
        <w:t xml:space="preserve">Calculate the difference ("Upper Frequency" </w:t>
      </w:r>
      <w:r>
        <w:rPr>
          <w:lang w:eastAsia="en-GB"/>
        </w:rPr>
        <w:fldChar w:fldCharType="begin"/>
      </w:r>
      <w:r>
        <w:rPr>
          <w:lang w:eastAsia="en-GB"/>
        </w:rPr>
        <w:instrText xml:space="preserve">symbol 45 \f "Symbol" \s 10</w:instrText>
      </w:r>
      <w:r>
        <w:rPr>
          <w:lang w:eastAsia="en-GB"/>
        </w:rPr>
        <w:fldChar w:fldCharType="end"/>
      </w:r>
      <w:r>
        <w:rPr>
          <w:lang w:eastAsia="en-GB"/>
        </w:rPr>
        <w:t xml:space="preserve"> "Lower Frequency" = "Occupied Bandwidth") between two limit frequencies obtained in '5)' and '6)'.</w:t>
      </w:r>
    </w:p>
    <w:p>
      <w:pPr>
        <w:rPr>
          <w:rFonts w:eastAsiaTheme="minorEastAsia"/>
        </w:rPr>
      </w:pPr>
    </w:p>
    <w:p>
      <w:pPr>
        <w:pStyle w:val="9"/>
        <w:rPr>
          <w:rFonts w:eastAsiaTheme="minorEastAsia"/>
        </w:rPr>
      </w:pPr>
      <w:r>
        <w:rPr>
          <w:rFonts w:hint="eastAsia" w:eastAsiaTheme="minorEastAsia"/>
        </w:rPr>
        <w:t>6</w:t>
      </w:r>
      <w:r>
        <w:rPr>
          <w:rFonts w:eastAsiaTheme="minorEastAsia"/>
        </w:rPr>
        <w:t>.5A.2.4.3</w:t>
      </w:r>
      <w:r>
        <w:rPr>
          <w:rFonts w:eastAsiaTheme="minorEastAsia"/>
        </w:rPr>
        <w:tab/>
      </w:r>
      <w:r>
        <w:rPr>
          <w:rFonts w:eastAsiaTheme="minorEastAsia"/>
        </w:rPr>
        <w:t>Message contents</w:t>
      </w:r>
    </w:p>
    <w:p>
      <w:pPr>
        <w:rPr>
          <w:lang w:eastAsia="en-GB"/>
        </w:rPr>
      </w:pPr>
      <w:r>
        <w:rPr>
          <w:lang w:eastAsia="en-GB"/>
        </w:rPr>
        <w:t>Message contents are according to TS 36.508 [12] subclause 4.6 with the condition CEModeA.</w:t>
      </w:r>
      <w:r>
        <w:rPr>
          <w:rFonts w:hint="eastAsia" w:eastAsiaTheme="minorEastAsia"/>
        </w:rPr>
        <w:t xml:space="preserve"> </w:t>
      </w:r>
    </w:p>
    <w:p>
      <w:pPr>
        <w:pStyle w:val="9"/>
        <w:rPr>
          <w:rFonts w:eastAsiaTheme="minorEastAsia"/>
        </w:rPr>
      </w:pPr>
      <w:r>
        <w:rPr>
          <w:rFonts w:hint="eastAsia" w:eastAsiaTheme="minorEastAsia"/>
        </w:rPr>
        <w:t>6</w:t>
      </w:r>
      <w:r>
        <w:rPr>
          <w:rFonts w:eastAsiaTheme="minorEastAsia"/>
        </w:rPr>
        <w:t>.5A.2.5</w:t>
      </w:r>
      <w:r>
        <w:rPr>
          <w:rFonts w:eastAsiaTheme="minorEastAsia"/>
        </w:rPr>
        <w:tab/>
      </w:r>
      <w:r>
        <w:rPr>
          <w:rFonts w:eastAsiaTheme="minorEastAsia"/>
        </w:rPr>
        <w:t>Test requirement</w:t>
      </w:r>
    </w:p>
    <w:p>
      <w:pPr>
        <w:rPr>
          <w:lang w:eastAsia="en-GB"/>
        </w:rPr>
      </w:pPr>
      <w:r>
        <w:rPr>
          <w:lang w:eastAsia="en-GB"/>
        </w:rPr>
        <w:t>The measured Occupied Bandwidth shall not exceed values in Table 6.5A.2.5-1.</w:t>
      </w:r>
    </w:p>
    <w:p>
      <w:pPr>
        <w:keepNext/>
        <w:keepLines/>
        <w:spacing w:before="60"/>
        <w:jc w:val="center"/>
        <w:rPr>
          <w:rFonts w:ascii="Arial" w:hAnsi="Arial"/>
          <w:b/>
          <w:lang w:eastAsia="en-GB"/>
        </w:rPr>
      </w:pPr>
      <w:r>
        <w:rPr>
          <w:rFonts w:ascii="Arial" w:hAnsi="Arial"/>
          <w:b/>
          <w:lang w:eastAsia="en-GB"/>
        </w:rPr>
        <w:t>Table 6.5A.2.5-1: Occupied channel bandwidth</w:t>
      </w:r>
    </w:p>
    <w:tbl>
      <w:tblPr>
        <w:tblStyle w:val="89"/>
        <w:tblW w:w="49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9"/>
        <w:gridCol w:w="30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restart"/>
            <w:vAlign w:val="center"/>
          </w:tcPr>
          <w:p>
            <w:pPr>
              <w:spacing w:after="0"/>
              <w:rPr>
                <w:rFonts w:ascii="Arial" w:hAnsi="Arial"/>
                <w:sz w:val="18"/>
                <w:lang w:eastAsia="en-GB"/>
              </w:rPr>
            </w:pPr>
          </w:p>
        </w:tc>
        <w:tc>
          <w:tcPr>
            <w:tcW w:w="3088" w:type="dxa"/>
          </w:tcPr>
          <w:p>
            <w:pPr>
              <w:keepNext/>
              <w:keepLines/>
              <w:spacing w:after="0"/>
              <w:jc w:val="center"/>
              <w:rPr>
                <w:rFonts w:ascii="Arial" w:hAnsi="Arial"/>
                <w:b/>
                <w:sz w:val="18"/>
              </w:rPr>
            </w:pPr>
            <w:r>
              <w:rPr>
                <w:rFonts w:ascii="Arial" w:hAnsi="Arial"/>
                <w:b/>
                <w:sz w:val="18"/>
              </w:rPr>
              <w:t>Occupied channel bandwidth /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Merge w:val="continue"/>
            <w:vAlign w:val="center"/>
          </w:tcPr>
          <w:p>
            <w:pPr>
              <w:spacing w:after="0"/>
              <w:rPr>
                <w:rFonts w:ascii="Arial" w:hAnsi="Arial"/>
                <w:sz w:val="18"/>
                <w:lang w:eastAsia="en-GB"/>
              </w:rPr>
            </w:pPr>
          </w:p>
        </w:tc>
        <w:tc>
          <w:tcPr>
            <w:tcW w:w="3088" w:type="dxa"/>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9" w:type="dxa"/>
            <w:vAlign w:val="center"/>
          </w:tcPr>
          <w:p>
            <w:pPr>
              <w:keepNext/>
              <w:keepLines/>
              <w:spacing w:after="0"/>
              <w:jc w:val="center"/>
              <w:rPr>
                <w:rFonts w:ascii="Arial" w:hAnsi="Arial"/>
                <w:b/>
                <w:sz w:val="18"/>
              </w:rPr>
            </w:pPr>
            <w:r>
              <w:rPr>
                <w:rFonts w:ascii="Arial" w:hAnsi="Arial"/>
                <w:b/>
                <w:sz w:val="18"/>
              </w:rPr>
              <w:t>Channel bandwidth [MHz]</w:t>
            </w:r>
          </w:p>
        </w:tc>
        <w:tc>
          <w:tcPr>
            <w:tcW w:w="3088" w:type="dxa"/>
            <w:vAlign w:val="center"/>
          </w:tcPr>
          <w:p>
            <w:pPr>
              <w:keepNext/>
              <w:keepLines/>
              <w:spacing w:after="0"/>
              <w:jc w:val="center"/>
              <w:rPr>
                <w:rFonts w:ascii="Arial" w:hAnsi="Arial"/>
                <w:sz w:val="18"/>
              </w:rPr>
            </w:pPr>
            <w:r>
              <w:rPr>
                <w:rFonts w:ascii="Arial" w:hAnsi="Arial"/>
                <w:sz w:val="18"/>
              </w:rPr>
              <w:t>N/A</w:t>
            </w:r>
          </w:p>
        </w:tc>
      </w:tr>
    </w:tbl>
    <w:p>
      <w:pPr>
        <w:rPr>
          <w:rFonts w:eastAsiaTheme="minorEastAsia"/>
        </w:rPr>
      </w:pPr>
    </w:p>
    <w:p>
      <w:pPr>
        <w:pStyle w:val="5"/>
      </w:pPr>
      <w:bookmarkStart w:id="458" w:name="_Toc16868"/>
      <w:bookmarkStart w:id="459" w:name="_Toc121162848"/>
      <w:bookmarkStart w:id="460" w:name="_Toc19442"/>
      <w:bookmarkStart w:id="461" w:name="_Toc14097"/>
      <w:bookmarkStart w:id="462" w:name="_Toc120570056"/>
      <w:bookmarkStart w:id="463" w:name="_Toc111062058"/>
      <w:r>
        <w:t>6.5A.3</w:t>
      </w:r>
      <w:r>
        <w:tab/>
      </w:r>
      <w:r>
        <w:t>Out of band emission</w:t>
      </w:r>
      <w:r>
        <w:rPr>
          <w:rFonts w:hint="eastAsia"/>
        </w:rPr>
        <w:t xml:space="preserve"> for </w:t>
      </w:r>
      <w:r>
        <w:t>category M1</w:t>
      </w:r>
      <w:bookmarkEnd w:id="458"/>
      <w:bookmarkEnd w:id="459"/>
      <w:bookmarkEnd w:id="460"/>
      <w:bookmarkEnd w:id="461"/>
      <w:bookmarkEnd w:id="462"/>
    </w:p>
    <w:p>
      <w:pPr>
        <w:pStyle w:val="6"/>
      </w:pPr>
      <w:bookmarkStart w:id="464" w:name="_Toc16643"/>
      <w:bookmarkStart w:id="465" w:name="_Toc537"/>
      <w:bookmarkStart w:id="466" w:name="_Toc121162849"/>
      <w:bookmarkStart w:id="467" w:name="_Toc28227"/>
      <w:bookmarkStart w:id="468" w:name="_Toc120570057"/>
      <w:r>
        <w:t>6.5A.3.1</w:t>
      </w:r>
      <w:r>
        <w:tab/>
      </w:r>
      <w:r>
        <w:t>General</w:t>
      </w:r>
      <w:bookmarkEnd w:id="464"/>
      <w:bookmarkEnd w:id="465"/>
      <w:bookmarkEnd w:id="466"/>
      <w:bookmarkEnd w:id="467"/>
      <w:bookmarkEnd w:id="468"/>
    </w:p>
    <w:p>
      <w:pPr>
        <w:rPr>
          <w:rFonts w:cs="v5.0.0"/>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pPr>
      <w:bookmarkStart w:id="469" w:name="_Toc9764"/>
      <w:bookmarkStart w:id="470" w:name="_Toc120570058"/>
      <w:bookmarkStart w:id="471" w:name="_Toc111062060"/>
      <w:bookmarkStart w:id="472" w:name="_Toc10272"/>
      <w:bookmarkStart w:id="473" w:name="_Toc121162850"/>
      <w:bookmarkStart w:id="474" w:name="_Toc14764"/>
      <w:r>
        <w:t>6.5A.3.2</w:t>
      </w:r>
      <w:r>
        <w:tab/>
      </w:r>
      <w:r>
        <w:t>Spectrum emission mask</w:t>
      </w:r>
      <w:bookmarkEnd w:id="469"/>
      <w:bookmarkEnd w:id="470"/>
      <w:bookmarkEnd w:id="471"/>
      <w:bookmarkEnd w:id="472"/>
      <w:bookmarkEnd w:id="473"/>
      <w:bookmarkEnd w:id="474"/>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rFonts w:eastAsia="PMingLiU"/>
          <w:i/>
          <w:lang w:eastAsia="zh-TW"/>
        </w:rPr>
      </w:pPr>
      <w:r>
        <w:rPr>
          <w:i/>
        </w:rPr>
        <w:t>- Annex F MU/TT is TBD</w:t>
      </w:r>
    </w:p>
    <w:p>
      <w:pPr>
        <w:keepNext/>
        <w:keepLines/>
        <w:spacing w:before="120"/>
        <w:ind w:left="1985" w:hanging="1985"/>
        <w:rPr>
          <w:rFonts w:ascii="Arial" w:hAnsi="Arial" w:eastAsia="等线" w:cs="Arial"/>
        </w:rPr>
      </w:pPr>
      <w:r>
        <w:rPr>
          <w:rFonts w:ascii="Arial" w:hAnsi="Arial" w:eastAsia="等线" w:cs="Arial"/>
        </w:rPr>
        <w:t>6.5A.3.2.1</w:t>
      </w:r>
      <w:r>
        <w:rPr>
          <w:rFonts w:ascii="Arial" w:hAnsi="Arial" w:eastAsia="等线" w:cs="Arial"/>
        </w:rPr>
        <w:tab/>
      </w:r>
      <w:r>
        <w:rPr>
          <w:rFonts w:ascii="Arial" w:hAnsi="Arial" w:eastAsia="等线" w:cs="Arial"/>
        </w:rPr>
        <w:t>Test purpose</w:t>
      </w:r>
    </w:p>
    <w:p>
      <w:pPr>
        <w:rPr>
          <w:lang w:eastAsia="en-GB"/>
        </w:rPr>
      </w:pPr>
      <w:r>
        <w:rPr>
          <w:lang w:eastAsia="en-GB"/>
        </w:rPr>
        <w:t>To verify that the power of any UE emission shall not exceed specified lever for the specified channel bandwidth.</w:t>
      </w:r>
    </w:p>
    <w:p>
      <w:pPr>
        <w:keepNext/>
        <w:keepLines/>
        <w:spacing w:before="120"/>
        <w:ind w:left="1985" w:hanging="1985"/>
        <w:rPr>
          <w:rFonts w:ascii="Arial" w:hAnsi="Arial" w:eastAsia="等线" w:cs="Arial"/>
        </w:rPr>
      </w:pPr>
      <w:r>
        <w:rPr>
          <w:rFonts w:ascii="Arial" w:hAnsi="Arial" w:eastAsia="等线" w:cs="Arial"/>
        </w:rPr>
        <w:t>6.5A.3.2.2</w:t>
      </w:r>
      <w:r>
        <w:rPr>
          <w:rFonts w:ascii="Arial" w:hAnsi="Arial" w:eastAsia="等线" w:cs="Arial"/>
        </w:rPr>
        <w:tab/>
      </w:r>
      <w:r>
        <w:rPr>
          <w:rFonts w:ascii="Arial" w:hAnsi="Arial" w:eastAsia="等线" w:cs="Arial"/>
        </w:rPr>
        <w:t>Test applicability</w:t>
      </w:r>
    </w:p>
    <w:p>
      <w:pPr>
        <w:rPr>
          <w:lang w:eastAsia="en-GB"/>
        </w:rPr>
      </w:pPr>
      <w:r>
        <w:rPr>
          <w:lang w:eastAsia="en-GB"/>
        </w:rPr>
        <w:t>This test case applies to all types of E-UTRA UE release 13 and forward of UE category M1 that support satellite access operation.</w:t>
      </w:r>
    </w:p>
    <w:p>
      <w:pPr>
        <w:keepNext/>
        <w:keepLines/>
        <w:spacing w:before="120"/>
        <w:ind w:left="1985" w:hanging="1985"/>
        <w:rPr>
          <w:rFonts w:ascii="Arial" w:hAnsi="Arial" w:eastAsia="等线" w:cs="Arial"/>
        </w:rPr>
      </w:pPr>
      <w:r>
        <w:rPr>
          <w:rFonts w:ascii="Arial" w:hAnsi="Arial" w:eastAsia="等线" w:cs="Arial"/>
        </w:rPr>
        <w:t>6.5A.3.2.3</w:t>
      </w:r>
      <w:r>
        <w:rPr>
          <w:rFonts w:ascii="Arial" w:hAnsi="Arial" w:eastAsia="等线" w:cs="Arial"/>
        </w:rPr>
        <w:tab/>
      </w:r>
      <w:r>
        <w:rPr>
          <w:rFonts w:ascii="Arial" w:hAnsi="Arial" w:eastAsia="等线" w:cs="Arial"/>
        </w:rPr>
        <w:t>Minimum conformance requirements</w:t>
      </w:r>
    </w:p>
    <w:p>
      <w:pPr>
        <w:rPr>
          <w:rFonts w:cs="v5.0.0"/>
          <w:lang w:eastAsia="en-GB"/>
        </w:rPr>
      </w:pPr>
      <w:r>
        <w:rPr>
          <w:rFonts w:cs="v5.0.0"/>
          <w:lang w:eastAsia="en-GB"/>
        </w:rPr>
        <w:t>The spectrum emission mask of the UE applies to frequencies (</w:t>
      </w:r>
      <w:r>
        <w:rPr>
          <w:rFonts w:ascii="Arial" w:hAnsi="Arial"/>
          <w:sz w:val="18"/>
          <w:lang w:eastAsia="en-GB"/>
        </w:rPr>
        <w:t>Δf</w:t>
      </w:r>
      <w:r>
        <w:rPr>
          <w:rFonts w:ascii="Arial" w:hAnsi="Arial"/>
          <w:sz w:val="18"/>
          <w:vertAlign w:val="subscript"/>
          <w:lang w:eastAsia="en-GB"/>
        </w:rPr>
        <w:t>OOB</w:t>
      </w:r>
      <w:r>
        <w:rPr>
          <w:rFonts w:cs="v5.0.0"/>
          <w:snapToGrid w:val="0"/>
          <w:lang w:eastAsia="en-GB"/>
        </w:rPr>
        <w:t>)</w:t>
      </w:r>
      <w:r>
        <w:rPr>
          <w:rFonts w:ascii="Arial" w:hAnsi="Arial" w:cs="Arial"/>
          <w:sz w:val="18"/>
          <w:szCs w:val="18"/>
          <w:lang w:eastAsia="en-GB"/>
        </w:rPr>
        <w:t xml:space="preserve"> </w:t>
      </w:r>
      <w:r>
        <w:rPr>
          <w:sz w:val="18"/>
          <w:szCs w:val="18"/>
          <w:lang w:eastAsia="en-GB"/>
        </w:rPr>
        <w:t>starting</w:t>
      </w:r>
      <w:r>
        <w:rPr>
          <w:rFonts w:ascii="Arial" w:hAnsi="Arial" w:cs="Arial"/>
          <w:sz w:val="18"/>
          <w:szCs w:val="18"/>
          <w:lang w:eastAsia="en-GB"/>
        </w:rPr>
        <w:t xml:space="preserve"> </w:t>
      </w:r>
      <w:r>
        <w:rPr>
          <w:rFonts w:cs="v5.0.0"/>
          <w:lang w:eastAsia="en-GB"/>
        </w:rPr>
        <w:t xml:space="preserve">from the edge of the assigned E-UTRA channel bandwidth. </w:t>
      </w:r>
      <w:r>
        <w:rPr>
          <w:lang w:eastAsia="en-GB"/>
        </w:rPr>
        <w:t>For frequencies greater than (</w:t>
      </w:r>
      <w:r>
        <w:rPr>
          <w:sz w:val="18"/>
          <w:lang w:eastAsia="en-GB"/>
        </w:rPr>
        <w:t>Δf</w:t>
      </w:r>
      <w:r>
        <w:rPr>
          <w:sz w:val="18"/>
          <w:vertAlign w:val="subscript"/>
          <w:lang w:eastAsia="en-GB"/>
        </w:rPr>
        <w:t>OOB</w:t>
      </w:r>
      <w:r>
        <w:rPr>
          <w:snapToGrid w:val="0"/>
          <w:lang w:eastAsia="en-GB"/>
        </w:rPr>
        <w:t>) as specified in Table 6.5A.3.2.3-1 the spurious requirements in clause 6.5A.4 are applicable.</w:t>
      </w:r>
    </w:p>
    <w:p>
      <w:pPr>
        <w:rPr>
          <w:lang w:eastAsia="en-GB"/>
        </w:rPr>
      </w:pPr>
      <w:r>
        <w:rPr>
          <w:lang w:eastAsia="en-GB"/>
        </w:rPr>
        <w:t xml:space="preserve">The power of any UE emission shall not exceed the levels specified in Table </w:t>
      </w:r>
      <w:r>
        <w:rPr>
          <w:snapToGrid w:val="0"/>
          <w:lang w:eastAsia="en-GB"/>
        </w:rPr>
        <w:t>6.5A.3.2.3-1</w:t>
      </w:r>
      <w:r>
        <w:rPr>
          <w:lang w:eastAsia="en-GB"/>
        </w:rPr>
        <w:t xml:space="preserve"> for the specified channel bandwidth.</w:t>
      </w:r>
    </w:p>
    <w:p>
      <w:pPr>
        <w:pStyle w:val="113"/>
        <w:keepNext/>
        <w:keepLines/>
        <w:spacing w:before="60"/>
        <w:jc w:val="center"/>
        <w:rPr>
          <w:lang w:eastAsia="en-GB"/>
        </w:rPr>
      </w:pPr>
      <w:r>
        <w:rPr>
          <w:lang w:eastAsia="en-GB"/>
        </w:rPr>
        <w:t>Table 6.5A.3.2.3-1: General E-UTRA spectrum emission mask</w:t>
      </w:r>
    </w:p>
    <w:tbl>
      <w:tblPr>
        <w:tblStyle w:val="89"/>
        <w:tblW w:w="58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11"/>
        <w:gridCol w:w="1133"/>
        <w:gridCol w:w="26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5840" w:type="dxa"/>
            <w:gridSpan w:val="3"/>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Spectrum emission limit (dBm)/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p>
          <w:p>
            <w:pPr>
              <w:keepNext/>
              <w:keepLines/>
              <w:spacing w:after="0"/>
              <w:jc w:val="center"/>
              <w:rPr>
                <w:rFonts w:ascii="Arial" w:hAnsi="Arial"/>
                <w:b/>
                <w:sz w:val="18"/>
              </w:rPr>
            </w:pPr>
            <w:r>
              <w:rPr>
                <w:rFonts w:ascii="Arial" w:hAnsi="Arial"/>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1.4</w:t>
            </w:r>
          </w:p>
          <w:p>
            <w:pPr>
              <w:keepNext/>
              <w:keepLines/>
              <w:spacing w:after="0"/>
              <w:jc w:val="center"/>
              <w:rPr>
                <w:rFonts w:ascii="Arial" w:hAnsi="Arial"/>
                <w:b/>
                <w:sz w:val="18"/>
              </w:rPr>
            </w:pPr>
            <w:r>
              <w:rPr>
                <w:rFonts w:ascii="Arial" w:hAnsi="Arial"/>
                <w:b/>
                <w:sz w:val="18"/>
              </w:rPr>
              <w:t>MHz</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0-1</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-10</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1-2.5</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-10</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1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sym w:font="Symbol" w:char="F0B1"/>
            </w:r>
            <w:r>
              <w:rPr>
                <w:rFonts w:ascii="Arial" w:hAnsi="Arial"/>
                <w:sz w:val="18"/>
              </w:rPr>
              <w:t xml:space="preserve"> 2.5-2.8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-25</w:t>
            </w:r>
          </w:p>
        </w:tc>
        <w:tc>
          <w:tcPr>
            <w:tcW w:w="2693"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1 MHz</w:t>
            </w:r>
          </w:p>
        </w:tc>
      </w:tr>
    </w:tbl>
    <w:p>
      <w:pPr>
        <w:rPr>
          <w:lang w:eastAsia="en-GB"/>
        </w:rPr>
      </w:pPr>
    </w:p>
    <w:p>
      <w:pPr>
        <w:keepLines/>
        <w:ind w:left="1135" w:hanging="851"/>
        <w:rPr>
          <w:lang w:eastAsia="en-GB"/>
        </w:rPr>
      </w:pPr>
      <w:r>
        <w:rPr>
          <w:lang w:eastAsia="en-GB"/>
        </w:rPr>
        <w:t>NOTE:</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rPr>
          <w:lang w:eastAsia="en-GB"/>
        </w:rPr>
      </w:pPr>
      <w:r>
        <w:rPr>
          <w:lang w:eastAsia="en-GB"/>
        </w:rPr>
        <w:t>The normative reference for this requirement is TS 36.102 [11] clause 6.5A.3.2.</w:t>
      </w:r>
    </w:p>
    <w:p>
      <w:pPr>
        <w:keepNext/>
        <w:keepLines/>
        <w:spacing w:before="120"/>
        <w:ind w:left="1985" w:hanging="1985"/>
        <w:rPr>
          <w:rFonts w:ascii="Arial" w:hAnsi="Arial" w:eastAsia="等线" w:cs="Arial"/>
        </w:rPr>
      </w:pPr>
      <w:r>
        <w:rPr>
          <w:rFonts w:ascii="Arial" w:hAnsi="Arial" w:eastAsia="等线" w:cs="Arial"/>
        </w:rPr>
        <w:t>6.5A.3.2.4</w:t>
      </w:r>
      <w:r>
        <w:rPr>
          <w:rFonts w:ascii="Arial" w:hAnsi="Arial" w:eastAsia="等线" w:cs="Arial"/>
        </w:rPr>
        <w:tab/>
      </w:r>
      <w:r>
        <w:rPr>
          <w:rFonts w:ascii="Arial" w:hAnsi="Arial" w:eastAsia="等线" w:cs="Arial"/>
        </w:rPr>
        <w:t>Test description</w:t>
      </w:r>
    </w:p>
    <w:p>
      <w:pPr>
        <w:keepNext/>
        <w:keepLines/>
        <w:spacing w:before="120"/>
        <w:ind w:left="1985" w:hanging="1985"/>
        <w:rPr>
          <w:rFonts w:ascii="Arial" w:hAnsi="Arial" w:eastAsia="等线" w:cs="Arial"/>
        </w:rPr>
      </w:pPr>
      <w:r>
        <w:rPr>
          <w:rFonts w:ascii="Arial" w:hAnsi="Arial" w:eastAsia="等线" w:cs="Arial"/>
        </w:rPr>
        <w:t>6.5A.3.2.4.1</w:t>
      </w:r>
      <w:r>
        <w:rPr>
          <w:rFonts w:ascii="Arial" w:hAnsi="Arial" w:eastAsia="等线" w:cs="Arial"/>
        </w:rPr>
        <w:tab/>
      </w:r>
      <w:r>
        <w:rPr>
          <w:rFonts w:ascii="Arial" w:hAnsi="Arial" w:eastAsia="等线" w:cs="Arial"/>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rFonts w:cs="v5.0.0"/>
          <w:lang w:eastAsia="en-GB"/>
        </w:rPr>
      </w:pPr>
      <w:r>
        <w:rPr>
          <w:lang w:eastAsia="en-GB"/>
        </w:rPr>
        <w:t xml:space="preserve">The initial test configurations consist of environmental conditions, test frequencies, and channel bandwidths based on E-UTRA bands specified in sub-clause 5.2A. All of these configurations shall be tested with applicable test parameters for each channel bandwidth and are shown in table 6.5A.3.2.4.1-1. The details of the uplink reference measurement channels (RMCs) are specified in Annexes A.2 respectively. </w:t>
      </w:r>
      <w:r>
        <w:rPr>
          <w:rFonts w:cs="v5.0.0"/>
          <w:lang w:eastAsia="en-GB"/>
        </w:rPr>
        <w:t>Configurations of PDSCH and MPDCCH before measurement are specified in Annex C.2.</w:t>
      </w:r>
    </w:p>
    <w:p>
      <w:pPr>
        <w:pStyle w:val="113"/>
        <w:keepNext/>
        <w:keepLines/>
        <w:spacing w:before="60"/>
        <w:jc w:val="center"/>
        <w:rPr>
          <w:lang w:eastAsia="en-GB"/>
        </w:rPr>
      </w:pPr>
      <w:r>
        <w:rPr>
          <w:lang w:eastAsia="en-GB"/>
        </w:rPr>
        <w:t>Table 6.5A.3.2.4.1-1: Test Configuration mask</w:t>
      </w:r>
    </w:p>
    <w:tbl>
      <w:tblPr>
        <w:tblStyle w:val="89"/>
        <w:tblW w:w="82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7"/>
        <w:gridCol w:w="2322"/>
        <w:gridCol w:w="597"/>
        <w:gridCol w:w="1725"/>
        <w:gridCol w:w="2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Test Environment as specified in</w:t>
            </w:r>
          </w:p>
          <w:p>
            <w:pPr>
              <w:keepNext/>
              <w:keepLines/>
              <w:spacing w:after="0"/>
              <w:jc w:val="center"/>
              <w:rPr>
                <w:rFonts w:ascii="Arial" w:hAnsi="Arial"/>
                <w:sz w:val="18"/>
              </w:rPr>
            </w:pPr>
            <w:r>
              <w:rPr>
                <w:rFonts w:ascii="Arial" w:hAnsi="Arial"/>
                <w:sz w:val="18"/>
              </w:rPr>
              <w:t>TS 36.508[12] subclause 4.1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bCs/>
                <w:sz w:val="18"/>
              </w:rPr>
              <w:t>Test Frequencies as specified in</w:t>
            </w:r>
          </w:p>
          <w:p>
            <w:pPr>
              <w:keepNext/>
              <w:keepLines/>
              <w:spacing w:after="0"/>
              <w:jc w:val="center"/>
              <w:rPr>
                <w:rFonts w:ascii="Arial" w:hAnsi="Arial"/>
                <w:sz w:val="18"/>
              </w:rPr>
            </w:pPr>
            <w:r>
              <w:rPr>
                <w:rFonts w:ascii="Arial" w:hAnsi="Arial"/>
                <w:sz w:val="18"/>
              </w:rPr>
              <w:t>TS 36.508 [12] subclause 4.3.1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bCs/>
                <w:sz w:val="18"/>
              </w:rPr>
              <w:t>Test Channel Bandwidths</w:t>
            </w:r>
            <w:r>
              <w:rPr>
                <w:rFonts w:ascii="Arial" w:hAnsi="Arial"/>
                <w:sz w:val="18"/>
              </w:rPr>
              <w:t xml:space="preserve"> </w:t>
            </w:r>
            <w:r>
              <w:rPr>
                <w:rFonts w:ascii="Arial" w:hAnsi="Arial"/>
                <w:bCs/>
                <w:sz w:val="18"/>
              </w:rPr>
              <w:t>as specified in</w:t>
            </w:r>
          </w:p>
          <w:p>
            <w:pPr>
              <w:keepNext/>
              <w:keepLines/>
              <w:spacing w:after="0"/>
              <w:jc w:val="center"/>
              <w:rPr>
                <w:rFonts w:ascii="Arial" w:hAnsi="Arial"/>
                <w:sz w:val="18"/>
              </w:rPr>
            </w:pPr>
            <w:r>
              <w:rPr>
                <w:rFonts w:ascii="Arial" w:hAnsi="Arial"/>
                <w:sz w:val="18"/>
              </w:rPr>
              <w:t>TS 36.508 [12] subclause 4.3.1</w:t>
            </w:r>
          </w:p>
        </w:tc>
        <w:tc>
          <w:tcPr>
            <w:tcW w:w="4731"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Cs/>
                <w:sz w:val="18"/>
              </w:rPr>
            </w:pPr>
            <w:r>
              <w:rPr>
                <w:rFonts w:ascii="Arial" w:hAnsi="Arial"/>
                <w:bCs/>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13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4" w:hRule="atLeast"/>
          <w:jc w:val="center"/>
        </w:trPr>
        <w:tc>
          <w:tcPr>
            <w:tcW w:w="1167"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Ch BW</w:t>
            </w:r>
          </w:p>
        </w:tc>
        <w:tc>
          <w:tcPr>
            <w:tcW w:w="2919"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72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Mod'n</w:t>
            </w:r>
          </w:p>
        </w:tc>
        <w:tc>
          <w:tcPr>
            <w:tcW w:w="2409" w:type="dxa"/>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16QAM</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9" w:type="dxa"/>
            <w:gridSpan w:val="2"/>
            <w:tcBorders>
              <w:top w:val="single" w:color="auto" w:sz="4" w:space="0"/>
              <w:left w:val="single" w:color="auto" w:sz="4" w:space="0"/>
              <w:bottom w:val="single" w:color="auto" w:sz="4" w:space="0"/>
              <w:right w:val="single" w:color="auto" w:sz="4" w:space="0"/>
            </w:tcBorders>
            <w:vAlign w:val="center"/>
          </w:tcPr>
          <w:p>
            <w:pPr>
              <w:spacing w:after="0"/>
              <w:jc w:val="center"/>
              <w:rPr>
                <w:rFonts w:ascii="Arial" w:hAnsi="Arial"/>
                <w:sz w:val="18"/>
                <w:lang w:eastAsia="en-GB"/>
              </w:rPr>
            </w:pPr>
          </w:p>
        </w:tc>
        <w:tc>
          <w:tcPr>
            <w:tcW w:w="172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16QAM</w:t>
            </w:r>
          </w:p>
        </w:tc>
        <w:tc>
          <w:tcPr>
            <w:tcW w:w="240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22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lang w:eastAsia="en-GB"/>
              </w:rPr>
              <w:t>Note 1:</w:t>
            </w:r>
            <w:r>
              <w:rPr>
                <w:rFonts w:ascii="Arial" w:hAnsi="Arial"/>
                <w:sz w:val="18"/>
                <w:lang w:eastAsia="en-GB"/>
              </w:rPr>
              <w:tab/>
            </w:r>
            <w:r>
              <w:rPr>
                <w:rFonts w:ascii="Arial" w:hAnsi="Arial"/>
                <w:sz w:val="18"/>
              </w:rPr>
              <w:t>The RB</w:t>
            </w:r>
            <w:r>
              <w:rPr>
                <w:rFonts w:ascii="Arial" w:hAnsi="Arial"/>
                <w:sz w:val="18"/>
                <w:vertAlign w:val="subscript"/>
              </w:rPr>
              <w:t>start</w:t>
            </w:r>
            <w:r>
              <w:rPr>
                <w:rFonts w:ascii="Arial" w:hAnsi="Arial"/>
                <w:sz w:val="18"/>
              </w:rPr>
              <w:t xml:space="preserve"> of partial RB allocation shall be RB#0 and RB# (6 - RB allocation) of the narrowband.</w:t>
            </w:r>
          </w:p>
        </w:tc>
      </w:tr>
    </w:tbl>
    <w:p>
      <w:pPr>
        <w:jc w:val="center"/>
        <w:rPr>
          <w:lang w:eastAsia="en-GB"/>
        </w:rPr>
      </w:pPr>
    </w:p>
    <w:p>
      <w:pPr>
        <w:numPr>
          <w:ilvl w:val="0"/>
          <w:numId w:val="12"/>
        </w:numPr>
        <w:tabs>
          <w:tab w:val="left" w:pos="643"/>
        </w:tabs>
        <w:ind w:left="568" w:hanging="284"/>
        <w:rPr>
          <w:lang w:eastAsia="en-GB"/>
        </w:rPr>
      </w:pPr>
      <w:r>
        <w:rPr>
          <w:lang w:eastAsia="en-GB"/>
        </w:rPr>
        <w:t>Connect the SS to the UE antenna connectors as shown in Figure TS 36.508 [12] Annex A, Figure A.3 using only main UE Tx/Rx antenna.</w:t>
      </w:r>
    </w:p>
    <w:p>
      <w:pPr>
        <w:numPr>
          <w:ilvl w:val="0"/>
          <w:numId w:val="12"/>
        </w:numPr>
        <w:tabs>
          <w:tab w:val="left" w:pos="643"/>
        </w:tabs>
        <w:ind w:left="568" w:hanging="284"/>
        <w:rPr>
          <w:lang w:eastAsia="en-GB"/>
        </w:rPr>
      </w:pPr>
      <w:r>
        <w:rPr>
          <w:lang w:eastAsia="en-GB"/>
        </w:rPr>
        <w:t>The parameter settings for the cell are set up according to TS 36.508 [12] subclause 4.4.3.</w:t>
      </w:r>
    </w:p>
    <w:p>
      <w:pPr>
        <w:numPr>
          <w:ilvl w:val="0"/>
          <w:numId w:val="12"/>
        </w:numPr>
        <w:tabs>
          <w:tab w:val="left" w:pos="643"/>
        </w:tabs>
        <w:ind w:left="568" w:hanging="284"/>
        <w:rPr>
          <w:lang w:eastAsia="en-GB"/>
        </w:rPr>
      </w:pP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numPr>
          <w:ilvl w:val="0"/>
          <w:numId w:val="12"/>
        </w:numPr>
        <w:tabs>
          <w:tab w:val="left" w:pos="643"/>
        </w:tabs>
        <w:ind w:left="568" w:hanging="284"/>
        <w:rPr>
          <w:lang w:eastAsia="en-GB"/>
        </w:rPr>
      </w:pPr>
      <w:r>
        <w:rPr>
          <w:lang w:eastAsia="en-GB"/>
        </w:rPr>
        <w:t>The UL Reference Measurement channels are set according to Table 6.5A.3.2.4.1-1.</w:t>
      </w:r>
    </w:p>
    <w:p>
      <w:pPr>
        <w:numPr>
          <w:ilvl w:val="0"/>
          <w:numId w:val="12"/>
        </w:numPr>
        <w:tabs>
          <w:tab w:val="left" w:pos="643"/>
        </w:tabs>
        <w:ind w:left="568" w:hanging="284"/>
        <w:rPr>
          <w:lang w:eastAsia="en-GB"/>
        </w:rPr>
      </w:pPr>
      <w:r>
        <w:rPr>
          <w:lang w:eastAsia="en-GB"/>
        </w:rPr>
        <w:t>Propagation conditions are set according to Annex B.0.</w:t>
      </w:r>
    </w:p>
    <w:p>
      <w:pPr>
        <w:numPr>
          <w:ilvl w:val="0"/>
          <w:numId w:val="12"/>
        </w:numPr>
        <w:tabs>
          <w:tab w:val="left" w:pos="643"/>
        </w:tabs>
        <w:ind w:left="568" w:hanging="284"/>
        <w:rPr>
          <w:lang w:eastAsia="en-GB"/>
        </w:rPr>
      </w:pPr>
      <w:r>
        <w:rPr>
          <w:lang w:eastAsia="en-GB"/>
        </w:rPr>
        <w:t>Ensure the UE is in State 3A-RF-CE according to TS 36.508[12] clause 5.2A.2AA. Message contents are defined in clause 6.5A.3.2.4.3.</w:t>
      </w:r>
    </w:p>
    <w:p>
      <w:pPr>
        <w:keepNext/>
        <w:keepLines/>
        <w:spacing w:before="120"/>
        <w:ind w:left="1985" w:hanging="1985"/>
        <w:rPr>
          <w:rFonts w:ascii="Arial" w:hAnsi="Arial" w:eastAsia="等线" w:cs="Arial"/>
        </w:rPr>
      </w:pPr>
      <w:r>
        <w:rPr>
          <w:rFonts w:ascii="Arial" w:hAnsi="Arial" w:eastAsia="等线" w:cs="Arial"/>
        </w:rPr>
        <w:t>6.5A.3.2.4.2</w:t>
      </w:r>
      <w:r>
        <w:rPr>
          <w:rFonts w:ascii="Arial" w:hAnsi="Arial" w:eastAsia="等线" w:cs="Arial"/>
        </w:rPr>
        <w:tab/>
      </w:r>
      <w:r>
        <w:rPr>
          <w:rFonts w:ascii="Arial" w:hAnsi="Arial" w:eastAsia="等线" w:cs="Arial"/>
        </w:rPr>
        <w:t>Test procedure</w:t>
      </w:r>
    </w:p>
    <w:p>
      <w:pPr>
        <w:ind w:left="568" w:hanging="284"/>
        <w:rPr>
          <w:lang w:eastAsia="en-GB"/>
        </w:rPr>
      </w:pPr>
      <w:r>
        <w:rPr>
          <w:lang w:eastAsia="en-GB"/>
        </w:rPr>
        <w:t>1.</w:t>
      </w:r>
      <w:r>
        <w:rPr>
          <w:lang w:eastAsia="en-GB"/>
        </w:rPr>
        <w:tab/>
      </w:r>
      <w:r>
        <w:rPr>
          <w:lang w:eastAsia="en-GB"/>
        </w:rPr>
        <w:t>SS sends uplink scheduling information via PDCCH DCI format 6-0A for C_RNTI to schedule the UL RMC according to Table 6.5A.3.2.4.1-1. Since the UE has no payload data</w:t>
      </w:r>
      <w:r>
        <w:rPr>
          <w:color w:val="FFFF00"/>
          <w:lang w:eastAsia="en-GB"/>
        </w:rPr>
        <w:t xml:space="preserve"> </w:t>
      </w:r>
      <w:r>
        <w:rPr>
          <w:lang w:eastAsia="en-GB"/>
        </w:rPr>
        <w:t>to send, the UE transmits uplink MAC padding bits on the UL RMC.</w:t>
      </w:r>
    </w:p>
    <w:p>
      <w:pPr>
        <w:ind w:left="568" w:hanging="284"/>
        <w:rPr>
          <w:lang w:eastAsia="en-GB"/>
        </w:rPr>
      </w:pPr>
      <w:r>
        <w:rPr>
          <w:lang w:eastAsia="en-GB"/>
        </w:rPr>
        <w:t>2.</w:t>
      </w:r>
      <w:r>
        <w:rPr>
          <w:lang w:eastAsia="en-GB"/>
        </w:rPr>
        <w:tab/>
      </w:r>
      <w:r>
        <w:rPr>
          <w:lang w:eastAsia="en-GB"/>
        </w:rPr>
        <w:t>Send continuously uplink power control "up" commands in the uplink scheduling information to the UE until the UE transmits at P</w:t>
      </w:r>
      <w:r>
        <w:rPr>
          <w:vertAlign w:val="subscript"/>
          <w:lang w:eastAsia="en-GB"/>
        </w:rPr>
        <w:t xml:space="preserve">UMAX </w:t>
      </w:r>
      <w:r>
        <w:rPr>
          <w:lang w:eastAsia="en-GB"/>
        </w:rPr>
        <w:t>level.</w:t>
      </w:r>
    </w:p>
    <w:p>
      <w:pPr>
        <w:ind w:left="568" w:hanging="284"/>
        <w:rPr>
          <w:lang w:eastAsia="en-GB"/>
        </w:rPr>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pPr>
        <w:ind w:left="568" w:hanging="284"/>
        <w:rPr>
          <w:lang w:eastAsia="en-GB"/>
        </w:rPr>
      </w:pPr>
      <w:r>
        <w:rPr>
          <w:lang w:eastAsia="en-GB"/>
        </w:rPr>
        <w:t>4.</w:t>
      </w:r>
      <w:r>
        <w:rPr>
          <w:lang w:eastAsia="en-GB"/>
        </w:rPr>
        <w:tab/>
      </w:r>
      <w:r>
        <w:rPr>
          <w:lang w:eastAsia="en-GB"/>
        </w:rPr>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pPr>
        <w:keepNext/>
        <w:keepLines/>
        <w:spacing w:before="120"/>
        <w:ind w:left="1985" w:hanging="1985"/>
        <w:rPr>
          <w:rFonts w:ascii="Arial" w:hAnsi="Arial" w:eastAsia="等线" w:cs="Arial"/>
        </w:rPr>
      </w:pPr>
      <w:r>
        <w:rPr>
          <w:rFonts w:ascii="Arial" w:hAnsi="Arial" w:eastAsia="等线" w:cs="Arial"/>
        </w:rPr>
        <w:t>6.5A.3.2.4.3</w:t>
      </w:r>
      <w:r>
        <w:rPr>
          <w:rFonts w:ascii="Arial" w:hAnsi="Arial" w:eastAsia="等线" w:cs="Arial"/>
        </w:rPr>
        <w:tab/>
      </w:r>
      <w:r>
        <w:rPr>
          <w:rFonts w:ascii="Arial" w:hAnsi="Arial" w:eastAsia="等线" w:cs="Arial"/>
        </w:rPr>
        <w:t>Message contents</w:t>
      </w:r>
    </w:p>
    <w:p>
      <w:pPr>
        <w:rPr>
          <w:lang w:eastAsia="en-GB"/>
        </w:rPr>
      </w:pPr>
      <w:r>
        <w:rPr>
          <w:lang w:eastAsia="en-GB"/>
        </w:rPr>
        <w:t>Message contents are according to TS 36.508 [12] subclause 4.6 with the condition CEModeA.</w:t>
      </w:r>
    </w:p>
    <w:p>
      <w:pPr>
        <w:keepNext/>
        <w:keepLines/>
        <w:spacing w:before="120"/>
        <w:ind w:left="1985" w:hanging="1985"/>
        <w:rPr>
          <w:rFonts w:ascii="Arial" w:hAnsi="Arial" w:eastAsia="等线" w:cs="Arial"/>
        </w:rPr>
      </w:pPr>
      <w:r>
        <w:rPr>
          <w:rFonts w:ascii="Arial" w:hAnsi="Arial" w:eastAsia="等线" w:cs="Arial"/>
        </w:rPr>
        <w:t>6.5A.3.2.5</w:t>
      </w:r>
      <w:r>
        <w:rPr>
          <w:rFonts w:ascii="Arial" w:hAnsi="Arial" w:eastAsia="等线" w:cs="Arial"/>
        </w:rPr>
        <w:tab/>
      </w:r>
      <w:r>
        <w:rPr>
          <w:rFonts w:ascii="Arial" w:hAnsi="Arial" w:eastAsia="等线" w:cs="Arial"/>
        </w:rPr>
        <w:t>Test requirements</w:t>
      </w:r>
    </w:p>
    <w:p>
      <w:pPr>
        <w:ind w:right="334"/>
        <w:rPr>
          <w:lang w:eastAsia="en-GB"/>
        </w:rPr>
      </w:pPr>
      <w:r>
        <w:rPr>
          <w:lang w:eastAsia="en-GB"/>
        </w:rPr>
        <w:t>The measured UE mean power in the channel bandwidth, derived in step 3, shall fulfil requirements in Tables 6.2A.2.4.4-1 to 6.2A.2.4.4-1a as appropriate, and the power of any UE emission shall fulfil requirements in Table.6.5A.3.2.5-1, as applicable.</w:t>
      </w:r>
    </w:p>
    <w:p>
      <w:pPr>
        <w:pStyle w:val="113"/>
        <w:keepNext/>
        <w:keepLines/>
        <w:spacing w:before="60"/>
        <w:jc w:val="center"/>
        <w:rPr>
          <w:lang w:eastAsia="en-GB"/>
        </w:rPr>
      </w:pPr>
      <w:r>
        <w:rPr>
          <w:lang w:eastAsia="en-GB"/>
        </w:rPr>
        <w:t>Table 6.5A.3.2.5-1: General E-UTRA spectrum emission mask</w:t>
      </w:r>
    </w:p>
    <w:tbl>
      <w:tblPr>
        <w:tblStyle w:val="89"/>
        <w:tblW w:w="68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8"/>
        <w:gridCol w:w="2265"/>
        <w:gridCol w:w="2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spacing w:after="0"/>
              <w:rPr>
                <w:rFonts w:ascii="Arial" w:hAnsi="Arial" w:cs="Arial"/>
                <w:b/>
                <w:sz w:val="18"/>
                <w:szCs w:val="18"/>
                <w:lang w:eastAsia="en-GB"/>
              </w:rPr>
            </w:pPr>
          </w:p>
        </w:tc>
        <w:tc>
          <w:tcPr>
            <w:tcW w:w="467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Spectrum emission limit (dBm)/ 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p>
          <w:p>
            <w:pPr>
              <w:keepNext/>
              <w:keepLines/>
              <w:spacing w:after="0"/>
              <w:jc w:val="center"/>
              <w:rPr>
                <w:rFonts w:ascii="Arial" w:hAnsi="Arial"/>
                <w:b/>
                <w:sz w:val="18"/>
              </w:rPr>
            </w:pPr>
            <w:r>
              <w:rPr>
                <w:rFonts w:ascii="Arial" w:hAnsi="Arial"/>
                <w:b/>
                <w:sz w:val="18"/>
              </w:rPr>
              <w:t>(MHz)</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1.4</w:t>
            </w:r>
          </w:p>
          <w:p>
            <w:pPr>
              <w:keepNext/>
              <w:keepLines/>
              <w:spacing w:after="0"/>
              <w:jc w:val="center"/>
              <w:rPr>
                <w:rFonts w:ascii="Arial" w:hAnsi="Arial"/>
                <w:b/>
                <w:sz w:val="18"/>
              </w:rPr>
            </w:pPr>
            <w:r>
              <w:rPr>
                <w:rFonts w:ascii="Arial" w:hAnsi="Arial"/>
                <w:b/>
                <w:sz w:val="18"/>
              </w:rPr>
              <w:t>MHz</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 xml:space="preserve">Measurement </w:t>
            </w:r>
          </w:p>
          <w:p>
            <w:pPr>
              <w:keepNext/>
              <w:keepLines/>
              <w:spacing w:after="0"/>
              <w:jc w:val="center"/>
              <w:rPr>
                <w:rFonts w:ascii="Arial" w:hAnsi="Arial"/>
                <w:b/>
                <w:sz w:val="18"/>
              </w:rPr>
            </w:pPr>
            <w:r>
              <w:rPr>
                <w:rFonts w:ascii="Arial" w:hAnsi="Arial"/>
                <w:b/>
                <w:sz w:val="18"/>
              </w:rPr>
              <w:t>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0-1</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-8.5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1-2.5</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-8.5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2.5-2.8</w:t>
            </w:r>
          </w:p>
        </w:tc>
        <w:tc>
          <w:tcPr>
            <w:tcW w:w="22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-23.5</w:t>
            </w:r>
          </w:p>
        </w:tc>
        <w:tc>
          <w:tcPr>
            <w:tcW w:w="241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805" w:type="dxa"/>
            <w:gridSpan w:val="3"/>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The first and last measurement position with a 30 kHz filter is at Δf</w:t>
            </w:r>
            <w:r>
              <w:rPr>
                <w:rFonts w:ascii="Arial" w:hAnsi="Arial"/>
                <w:sz w:val="18"/>
                <w:vertAlign w:val="subscript"/>
              </w:rPr>
              <w:t>OOB</w:t>
            </w:r>
            <w:r>
              <w:rPr>
                <w:rFonts w:ascii="Arial" w:hAnsi="Arial" w:cs="v5.0.0"/>
                <w:sz w:val="18"/>
              </w:rPr>
              <w:t xml:space="preserve"> equals to 0.015 MHz and 0.985 MHz.</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At the boundary of spectrum emission limit, the first and last measurement position with a 1 MHz filter is the inside of +0.5MHz and -0.5MHz, respectively.</w:t>
            </w:r>
          </w:p>
          <w:p>
            <w:pPr>
              <w:keepNext/>
              <w:keepLines/>
              <w:spacing w:after="0"/>
              <w:ind w:left="851" w:hanging="851"/>
              <w:rPr>
                <w:rFonts w:ascii="Arial" w:hAnsi="Arial"/>
                <w:sz w:val="18"/>
              </w:rPr>
            </w:pPr>
            <w:r>
              <w:rPr>
                <w:rFonts w:ascii="Arial" w:hAnsi="Arial"/>
                <w:sz w:val="18"/>
              </w:rPr>
              <w:t>Note 3:</w:t>
            </w:r>
            <w:r>
              <w:rPr>
                <w:rFonts w:ascii="Arial" w:hAnsi="Arial"/>
                <w:sz w:val="18"/>
              </w:rPr>
              <w:tab/>
            </w:r>
            <w:r>
              <w:rPr>
                <w:rFonts w:ascii="Arial" w:hAnsi="Arial"/>
                <w:sz w:val="18"/>
              </w:rPr>
              <w:t>The measurements are to be performed above the upper edge of the channel and below the lower edge of the channel</w:t>
            </w:r>
          </w:p>
          <w:p>
            <w:pPr>
              <w:keepNext/>
              <w:keepLines/>
              <w:spacing w:after="0"/>
              <w:ind w:left="851" w:hanging="851"/>
              <w:rPr>
                <w:rFonts w:ascii="Arial" w:hAnsi="Arial"/>
                <w:sz w:val="18"/>
              </w:rPr>
            </w:pPr>
            <w:r>
              <w:rPr>
                <w:rFonts w:ascii="Arial" w:hAnsi="Arial"/>
                <w:sz w:val="18"/>
              </w:rPr>
              <w:t>Note 4:</w:t>
            </w:r>
            <w:r>
              <w:rPr>
                <w:rFonts w:ascii="Arial" w:hAnsi="Arial"/>
                <w:sz w:val="18"/>
              </w:rPr>
              <w:tab/>
            </w:r>
            <w:r>
              <w:rPr>
                <w:rFonts w:ascii="Arial" w:hAnsi="Arial"/>
                <w:sz w:val="18"/>
              </w:rPr>
              <w:t>For the 2.5-2.8 MHz offset range with 1.4 MHz channel bandwidth, the measurement position is at Δf</w:t>
            </w:r>
            <w:r>
              <w:rPr>
                <w:rFonts w:ascii="Arial" w:hAnsi="Arial"/>
                <w:sz w:val="18"/>
                <w:vertAlign w:val="subscript"/>
              </w:rPr>
              <w:t>OOB</w:t>
            </w:r>
            <w:r>
              <w:rPr>
                <w:rFonts w:ascii="Arial" w:hAnsi="Arial"/>
                <w:sz w:val="18"/>
              </w:rPr>
              <w:t xml:space="preserve"> equals to 3 MHz.</w:t>
            </w:r>
          </w:p>
        </w:tc>
      </w:tr>
    </w:tbl>
    <w:p>
      <w:pPr>
        <w:rPr>
          <w:lang w:eastAsia="en-GB"/>
        </w:rPr>
      </w:pPr>
    </w:p>
    <w:p>
      <w:pPr>
        <w:keepLines/>
        <w:ind w:left="1135" w:hanging="851"/>
        <w:rPr>
          <w:lang w:eastAsia="en-GB"/>
        </w:rPr>
      </w:pPr>
      <w:r>
        <w:rPr>
          <w:lang w:eastAsia="en-GB"/>
        </w:rPr>
        <w:t>NOTE:</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pStyle w:val="6"/>
        <w:rPr>
          <w:snapToGrid w:val="0"/>
        </w:rPr>
      </w:pPr>
      <w:bookmarkStart w:id="475" w:name="_Toc111062061"/>
      <w:bookmarkStart w:id="476" w:name="_Toc21282"/>
      <w:bookmarkStart w:id="477" w:name="_Toc121162851"/>
      <w:bookmarkStart w:id="478" w:name="_Toc13200"/>
      <w:bookmarkStart w:id="479" w:name="_Toc11127"/>
      <w:bookmarkStart w:id="480" w:name="_Toc120570059"/>
      <w:r>
        <w:t>6.5A.3.3</w:t>
      </w:r>
      <w:r>
        <w:tab/>
      </w:r>
      <w:r>
        <w:rPr>
          <w:snapToGrid w:val="0"/>
        </w:rPr>
        <w:t>Additional Spectrum Emission Mask</w:t>
      </w:r>
      <w:bookmarkEnd w:id="475"/>
      <w:r>
        <w:rPr>
          <w:snapToGrid w:val="0"/>
        </w:rPr>
        <w:t xml:space="preserve"> for category M1</w:t>
      </w:r>
      <w:bookmarkEnd w:id="476"/>
      <w:bookmarkEnd w:id="477"/>
      <w:bookmarkEnd w:id="478"/>
      <w:bookmarkEnd w:id="479"/>
      <w:bookmarkEnd w:id="480"/>
    </w:p>
    <w:p>
      <w:r>
        <w:t>The additional spectrum emission mask is not applicable.</w:t>
      </w:r>
    </w:p>
    <w:p>
      <w:pPr>
        <w:pStyle w:val="6"/>
      </w:pPr>
      <w:bookmarkStart w:id="481" w:name="_Toc111062062"/>
      <w:bookmarkStart w:id="482" w:name="_Toc120570060"/>
      <w:bookmarkStart w:id="483" w:name="_Toc2169"/>
      <w:bookmarkStart w:id="484" w:name="_Toc14413"/>
      <w:bookmarkStart w:id="485" w:name="_Toc121162852"/>
      <w:bookmarkStart w:id="486" w:name="_Toc9086"/>
      <w:r>
        <w:t>6.5A.3.4</w:t>
      </w:r>
      <w:r>
        <w:tab/>
      </w:r>
      <w:r>
        <w:rPr>
          <w:snapToGrid w:val="0"/>
        </w:rPr>
        <w:t>Adjacent Channel Leakage Ratio</w:t>
      </w:r>
      <w:bookmarkEnd w:id="481"/>
      <w:r>
        <w:rPr>
          <w:snapToGrid w:val="0"/>
        </w:rPr>
        <w:t xml:space="preserve"> for category M1</w:t>
      </w:r>
      <w:bookmarkEnd w:id="482"/>
      <w:bookmarkEnd w:id="483"/>
      <w:bookmarkEnd w:id="484"/>
      <w:bookmarkEnd w:id="485"/>
      <w:bookmarkEnd w:id="486"/>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
      <w:pPr>
        <w:pStyle w:val="9"/>
      </w:pPr>
      <w:r>
        <w:rPr>
          <w:rFonts w:hint="eastAsia"/>
        </w:rPr>
        <w:t>6</w:t>
      </w:r>
      <w:r>
        <w:t>.5A.3.4.1</w:t>
      </w:r>
      <w:r>
        <w:tab/>
      </w:r>
      <w:r>
        <w:t>Test purpose</w:t>
      </w:r>
    </w:p>
    <w:p>
      <w:r>
        <w:t>To verify that UE transmitter does not cause unacceptable interference to adjacent channels in terms of Adjacent Channel Leakage power Ratio (ACLR).</w:t>
      </w:r>
    </w:p>
    <w:p>
      <w:pPr>
        <w:pStyle w:val="9"/>
      </w:pPr>
      <w:r>
        <w:rPr>
          <w:rFonts w:hint="eastAsia"/>
        </w:rPr>
        <w:t>6</w:t>
      </w:r>
      <w:r>
        <w:t>.5A.3.4.2</w:t>
      </w:r>
      <w:r>
        <w:tab/>
      </w:r>
      <w:r>
        <w:t>Test applicability</w:t>
      </w:r>
    </w:p>
    <w:p>
      <w:r>
        <w:t>This test case applies to all types of E-UTRA UE release 13 and forward of UE category M1 that supports satellite access operation.</w:t>
      </w:r>
    </w:p>
    <w:p>
      <w:pPr>
        <w:pStyle w:val="9"/>
      </w:pPr>
      <w:r>
        <w:rPr>
          <w:rFonts w:hint="eastAsia"/>
        </w:rPr>
        <w:t>6</w:t>
      </w:r>
      <w:r>
        <w:t>.5A.3.4.3</w:t>
      </w:r>
      <w:r>
        <w:tab/>
      </w:r>
      <w:r>
        <w:t>Minimum conformance requirements</w:t>
      </w:r>
    </w:p>
    <w:p>
      <w:pPr>
        <w:rPr>
          <w:bCs/>
        </w:rPr>
      </w:pPr>
      <w:r>
        <w:t>ACLR requirements are specified for two scenarios for an adjacent E -UTRA</w:t>
      </w:r>
      <w:r>
        <w:rPr>
          <w:vertAlign w:val="subscript"/>
        </w:rPr>
        <w:t xml:space="preserve">ACLR </w:t>
      </w:r>
      <w:r>
        <w:t>and UTRA</w:t>
      </w:r>
      <w:r>
        <w:rPr>
          <w:vertAlign w:val="subscript"/>
        </w:rPr>
        <w:t xml:space="preserve">ACLR1/2 </w:t>
      </w:r>
      <w:r>
        <w:t xml:space="preserve">as shown in </w:t>
      </w:r>
      <w:r>
        <w:rPr>
          <w:bCs/>
        </w:rPr>
        <w:t>Figure 6.5A.3.4.3-1.</w:t>
      </w:r>
    </w:p>
    <w:p>
      <w:pPr>
        <w:pStyle w:val="113"/>
      </w:pPr>
      <w:r>
        <w:drawing>
          <wp:inline distT="0" distB="0" distL="0" distR="0">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pPr>
        <w:pStyle w:val="120"/>
      </w:pPr>
      <w:r>
        <w:t>Figure 6.5A.3.4.3-1: Adjacent Channel Leakage Power Ratio requirements</w:t>
      </w:r>
    </w:p>
    <w:p/>
    <w:p>
      <w:pPr>
        <w:pStyle w:val="9"/>
      </w:pPr>
      <w:r>
        <w:rPr>
          <w:rFonts w:hint="eastAsia"/>
        </w:rPr>
        <w:t>6</w:t>
      </w:r>
      <w:r>
        <w:t>.5A.3.4.3.1</w:t>
      </w:r>
      <w:r>
        <w:tab/>
      </w:r>
      <w:r>
        <w:rPr>
          <w:rFonts w:hint="eastAsia"/>
        </w:rPr>
        <w:t>M</w:t>
      </w:r>
      <w:r>
        <w:t>inimum conformance requirements for E-UTRA</w:t>
      </w:r>
    </w:p>
    <w:p>
      <w:r>
        <w:t>E-UTRA category M1 Adjacent Channel Leakage power Ratio (E-UTRA</w:t>
      </w:r>
      <w:r>
        <w:rPr>
          <w:vertAlign w:val="subscript"/>
        </w:rPr>
        <w:t>ACLR</w:t>
      </w:r>
      <w:r>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Pr>
          <w:rFonts w:cs="v5.0.0"/>
        </w:rPr>
        <w:t>If the measured adjacent channel power is greater than –50dBm then</w:t>
      </w:r>
      <w:r>
        <w:t xml:space="preserve"> the E-UTRA</w:t>
      </w:r>
      <w:r>
        <w:rPr>
          <w:vertAlign w:val="subscript"/>
        </w:rPr>
        <w:t>ACLR</w:t>
      </w:r>
      <w:r>
        <w:t xml:space="preserve"> shall be higher than the valued specified in Table6.5A.3.4.3.1-1.</w:t>
      </w:r>
    </w:p>
    <w:p>
      <w:pPr>
        <w:pStyle w:val="113"/>
      </w:pPr>
      <w:r>
        <w:t>Table 6.5A.3.4.3.1-1: General requirements for E-UTRA</w:t>
      </w:r>
      <w:r>
        <w:rPr>
          <w:vertAlign w:val="subscript"/>
        </w:rPr>
        <w:t>ACLR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0"/>
        <w:gridCol w:w="3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vMerge w:val="restart"/>
          </w:tcPr>
          <w:p>
            <w:pPr>
              <w:pStyle w:val="105"/>
            </w:pPr>
          </w:p>
        </w:tc>
        <w:tc>
          <w:tcPr>
            <w:tcW w:w="3249" w:type="dxa"/>
          </w:tcPr>
          <w:p>
            <w:pPr>
              <w:pStyle w:val="104"/>
            </w:pPr>
            <w:r>
              <w:t>Channel bandwidth / E-UTRA</w:t>
            </w:r>
            <w:r>
              <w:rPr>
                <w:vertAlign w:val="subscript"/>
              </w:rPr>
              <w:t>ACLR1</w:t>
            </w:r>
            <w:r>
              <w:t xml:space="preserve"> / 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vMerge w:val="continue"/>
          </w:tcPr>
          <w:p>
            <w:pPr>
              <w:rPr>
                <w:rFonts w:ascii="Arial" w:hAnsi="Arial" w:cs="Arial"/>
                <w:b/>
                <w:sz w:val="18"/>
                <w:szCs w:val="18"/>
              </w:rPr>
            </w:pPr>
          </w:p>
        </w:tc>
        <w:tc>
          <w:tcPr>
            <w:tcW w:w="3249" w:type="dxa"/>
          </w:tcPr>
          <w:p>
            <w:pPr>
              <w:pStyle w:val="104"/>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tcPr>
          <w:p>
            <w:pPr>
              <w:pStyle w:val="104"/>
            </w:pPr>
            <w:r>
              <w:t>E-UTRA</w:t>
            </w:r>
            <w:r>
              <w:rPr>
                <w:vertAlign w:val="subscript"/>
              </w:rPr>
              <w:t>ACLR1</w:t>
            </w:r>
          </w:p>
        </w:tc>
        <w:tc>
          <w:tcPr>
            <w:tcW w:w="3249" w:type="dxa"/>
          </w:tcPr>
          <w:p>
            <w:pPr>
              <w:pStyle w:val="105"/>
            </w:pPr>
            <w:r>
              <w:t>30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50" w:type="dxa"/>
          </w:tcPr>
          <w:p>
            <w:pPr>
              <w:pStyle w:val="104"/>
            </w:pPr>
            <w:r>
              <w:t>E-UTRA channel Measurement bandwidth</w:t>
            </w:r>
          </w:p>
        </w:tc>
        <w:tc>
          <w:tcPr>
            <w:tcW w:w="3249" w:type="dxa"/>
            <w:vAlign w:val="center"/>
          </w:tcPr>
          <w:p>
            <w:pPr>
              <w:pStyle w:val="105"/>
            </w:pPr>
            <w:r>
              <w:t>1.08 MHz</w:t>
            </w:r>
          </w:p>
        </w:tc>
      </w:tr>
    </w:tbl>
    <w:p/>
    <w:p>
      <w:r>
        <w:t>The normative reference for this requirement is TS 36.102 [11] subclause 6.5A.3.4.</w:t>
      </w:r>
    </w:p>
    <w:p>
      <w:pPr>
        <w:pStyle w:val="9"/>
      </w:pPr>
      <w:r>
        <w:rPr>
          <w:rFonts w:hint="eastAsia"/>
        </w:rPr>
        <w:t>6</w:t>
      </w:r>
      <w:r>
        <w:t>.5A.3.4.4</w:t>
      </w:r>
      <w:r>
        <w:tab/>
      </w:r>
      <w:r>
        <w:t>Test description</w:t>
      </w:r>
    </w:p>
    <w:p>
      <w:pPr>
        <w:pStyle w:val="9"/>
      </w:pPr>
      <w:r>
        <w:t>6.5A.3.4.4.1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6.5A3.4.4.1-1. The details of the uplink reference measurement channels (RMCs) are specified in AnnexeA.2. </w:t>
      </w:r>
      <w:r>
        <w:rPr>
          <w:rFonts w:cs="v5.0.0"/>
        </w:rPr>
        <w:t>Configurations of PDSCH and MPDCCH before measurement are specified in Annex C.2.</w:t>
      </w:r>
    </w:p>
    <w:p>
      <w:pPr>
        <w:pStyle w:val="113"/>
      </w:pPr>
      <w:r>
        <w:t>Table 6.5A3.4.4.1-1: Test Configuration Table</w:t>
      </w:r>
    </w:p>
    <w:tbl>
      <w:tblPr>
        <w:tblStyle w:val="89"/>
        <w:tblW w:w="0" w:type="auto"/>
        <w:jc w:val="center"/>
        <w:tblLayout w:type="fixed"/>
        <w:tblCellMar>
          <w:top w:w="0" w:type="dxa"/>
          <w:left w:w="70" w:type="dxa"/>
          <w:bottom w:w="0" w:type="dxa"/>
          <w:right w:w="70" w:type="dxa"/>
        </w:tblCellMar>
      </w:tblPr>
      <w:tblGrid>
        <w:gridCol w:w="1212"/>
        <w:gridCol w:w="1134"/>
        <w:gridCol w:w="2734"/>
        <w:gridCol w:w="1304"/>
        <w:gridCol w:w="1691"/>
      </w:tblGrid>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w:t>
            </w:r>
          </w:p>
          <w:p>
            <w:pPr>
              <w:pStyle w:val="103"/>
            </w:pPr>
            <w:r>
              <w:t>(as specified in TS 36.508 [12] subclause 4.1)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NC, TL/VL, TL/VH, TH/VL, TH/VH</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w:t>
            </w:r>
          </w:p>
          <w:p>
            <w:pPr>
              <w:pStyle w:val="103"/>
            </w:pPr>
            <w:r>
              <w:t>(as specified in TS36.508 [12] subclause 4.3.1)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rPr>
          <w:jc w:val="center"/>
        </w:trPr>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w:t>
            </w:r>
          </w:p>
          <w:p>
            <w:pPr>
              <w:pStyle w:val="103"/>
            </w:pPr>
            <w:r>
              <w:t>(as specified in TS 36.508 [12] subclause 4.3.1)</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jc w:val="center"/>
            </w:pPr>
            <w:r>
              <w:t>1.4MHz</w:t>
            </w:r>
          </w:p>
        </w:tc>
      </w:tr>
      <w:tr>
        <w:tblPrEx>
          <w:tblCellMar>
            <w:top w:w="0" w:type="dxa"/>
            <w:left w:w="70" w:type="dxa"/>
            <w:bottom w:w="0" w:type="dxa"/>
            <w:right w:w="70" w:type="dxa"/>
          </w:tblCellMar>
        </w:tblPrEx>
        <w:trPr>
          <w:jc w:val="center"/>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299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rPr>
          <w:jc w:val="center"/>
        </w:trPr>
        <w:tc>
          <w:tcPr>
            <w:tcW w:w="1212" w:type="dxa"/>
            <w:vMerge w:val="restart"/>
            <w:tcBorders>
              <w:top w:val="single" w:color="auto" w:sz="4" w:space="0"/>
              <w:left w:val="single" w:color="auto" w:sz="4" w:space="0"/>
              <w:right w:val="single" w:color="auto" w:sz="4" w:space="0"/>
            </w:tcBorders>
            <w:shd w:val="clear" w:color="auto" w:fill="auto"/>
            <w:vAlign w:val="center"/>
          </w:tcPr>
          <w:p>
            <w:pPr>
              <w:pStyle w:val="105"/>
            </w:pPr>
            <w:r>
              <w:t>Configuration ID</w:t>
            </w:r>
          </w:p>
        </w:tc>
        <w:tc>
          <w:tcPr>
            <w:tcW w:w="1134" w:type="dxa"/>
            <w:vMerge w:val="restart"/>
            <w:tcBorders>
              <w:top w:val="single" w:color="auto" w:sz="4" w:space="0"/>
              <w:left w:val="single" w:color="auto" w:sz="4" w:space="0"/>
              <w:right w:val="single" w:color="auto" w:sz="4" w:space="0"/>
            </w:tcBorders>
            <w:shd w:val="clear" w:color="auto" w:fill="auto"/>
            <w:vAlign w:val="center"/>
          </w:tcPr>
          <w:p>
            <w:pPr>
              <w:pStyle w:val="105"/>
            </w:pPr>
            <w:r>
              <w:t>Ch BW</w:t>
            </w:r>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N/A for ACLR test case</w:t>
            </w:r>
          </w:p>
        </w:tc>
        <w:tc>
          <w:tcPr>
            <w:tcW w:w="1304" w:type="dxa"/>
            <w:vMerge w:val="restart"/>
            <w:tcBorders>
              <w:top w:val="single" w:color="auto" w:sz="4" w:space="0"/>
              <w:left w:val="single" w:color="auto" w:sz="4" w:space="0"/>
              <w:right w:val="single" w:color="auto" w:sz="4" w:space="0"/>
            </w:tcBorders>
            <w:shd w:val="clear" w:color="auto" w:fill="auto"/>
            <w:vAlign w:val="center"/>
          </w:tcPr>
          <w:p>
            <w:pPr>
              <w:pStyle w:val="105"/>
            </w:pPr>
            <w:r>
              <w:t>Mod'n</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RB allocation</w:t>
            </w:r>
          </w:p>
        </w:tc>
      </w:tr>
      <w:tr>
        <w:tblPrEx>
          <w:tblCellMar>
            <w:top w:w="0" w:type="dxa"/>
            <w:left w:w="70" w:type="dxa"/>
            <w:bottom w:w="0" w:type="dxa"/>
            <w:right w:w="70" w:type="dxa"/>
          </w:tblCellMar>
        </w:tblPrEx>
        <w:trPr>
          <w:trHeight w:val="470" w:hRule="atLeast"/>
          <w:jc w:val="center"/>
        </w:trPr>
        <w:tc>
          <w:tcPr>
            <w:tcW w:w="1212"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1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2734" w:type="dxa"/>
            <w:vMerge w:val="continue"/>
            <w:tcBorders>
              <w:top w:val="single" w:color="auto" w:sz="4" w:space="0"/>
              <w:left w:val="single" w:color="auto" w:sz="4" w:space="0"/>
              <w:bottom w:val="single" w:color="auto" w:sz="4" w:space="0"/>
              <w:right w:val="single" w:color="auto" w:sz="4" w:space="0"/>
            </w:tcBorders>
            <w:vAlign w:val="center"/>
          </w:tcPr>
          <w:p>
            <w:pPr>
              <w:pStyle w:val="105"/>
            </w:pPr>
          </w:p>
        </w:tc>
        <w:tc>
          <w:tcPr>
            <w:tcW w:w="130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FDD and HD-FDD</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restart"/>
            <w:tcBorders>
              <w:top w:val="single" w:color="auto" w:sz="4" w:space="0"/>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5</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QPSK</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6</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4</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.4MHz</w:t>
            </w:r>
          </w:p>
        </w:tc>
        <w:tc>
          <w:tcPr>
            <w:tcW w:w="2734" w:type="dxa"/>
            <w:vMerge w:val="continue"/>
            <w:tcBorders>
              <w:left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6QAM</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2</w:t>
            </w:r>
          </w:p>
        </w:tc>
      </w:tr>
      <w:tr>
        <w:tblPrEx>
          <w:tblCellMar>
            <w:top w:w="0" w:type="dxa"/>
            <w:left w:w="70" w:type="dxa"/>
            <w:bottom w:w="0" w:type="dxa"/>
            <w:right w:w="70" w:type="dxa"/>
          </w:tblCellMar>
        </w:tblPrEx>
        <w:trPr>
          <w:jc w:val="center"/>
        </w:trPr>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.4MHz</w:t>
            </w:r>
          </w:p>
        </w:tc>
        <w:tc>
          <w:tcPr>
            <w:tcW w:w="27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1</w:t>
            </w:r>
            <w:r>
              <w:t>6QAM</w:t>
            </w:r>
          </w:p>
        </w:tc>
        <w:tc>
          <w:tcPr>
            <w:tcW w:w="169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rPr>
                <w:rFonts w:hint="eastAsia"/>
              </w:rPr>
              <w:t>5</w:t>
            </w:r>
          </w:p>
        </w:tc>
      </w:tr>
      <w:tr>
        <w:tblPrEx>
          <w:tblCellMar>
            <w:top w:w="0" w:type="dxa"/>
            <w:left w:w="70" w:type="dxa"/>
            <w:bottom w:w="0" w:type="dxa"/>
            <w:right w:w="70" w:type="dxa"/>
          </w:tblCellMar>
        </w:tblPrEx>
        <w:trPr>
          <w:jc w:val="center"/>
        </w:trPr>
        <w:tc>
          <w:tcPr>
            <w:tcW w:w="807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ind w:left="851" w:hanging="851"/>
            </w:pPr>
            <w:r>
              <w:rPr>
                <w:rFonts w:ascii="Arial" w:hAnsi="Arial"/>
                <w:sz w:val="18"/>
              </w:rPr>
              <w:t>Note1:</w:t>
            </w:r>
            <w:r>
              <w:rPr>
                <w:rFonts w:ascii="Arial" w:hAnsi="Arial"/>
                <w:sz w:val="18"/>
              </w:rPr>
              <w:tab/>
            </w:r>
            <w:r>
              <w:rPr>
                <w:rFonts w:ascii="Arial" w:hAnsi="Arial"/>
                <w:sz w:val="18"/>
              </w:rPr>
              <w:t>The RBstart of partial RB allocation shall be RB#0 and RB# (6 - RB allocation) of the narrowband.</w:t>
            </w:r>
          </w:p>
        </w:tc>
      </w:tr>
    </w:tbl>
    <w:p/>
    <w:p>
      <w:pPr>
        <w:pStyle w:val="113"/>
      </w:pPr>
      <w:r>
        <w:t>Table 6.5A3.4.4.1-2: Test Configuration Table, subPRB allocation</w:t>
      </w:r>
    </w:p>
    <w:tbl>
      <w:tblPr>
        <w:tblStyle w:val="89"/>
        <w:tblW w:w="0" w:type="auto"/>
        <w:tblInd w:w="-8" w:type="dxa"/>
        <w:tblLayout w:type="fixed"/>
        <w:tblCellMar>
          <w:top w:w="0" w:type="dxa"/>
          <w:left w:w="70" w:type="dxa"/>
          <w:bottom w:w="0" w:type="dxa"/>
          <w:right w:w="70" w:type="dxa"/>
        </w:tblCellMar>
      </w:tblPr>
      <w:tblGrid>
        <w:gridCol w:w="1212"/>
        <w:gridCol w:w="1134"/>
        <w:gridCol w:w="2734"/>
        <w:gridCol w:w="1304"/>
        <w:gridCol w:w="3170"/>
      </w:tblGrid>
      <w:tr>
        <w:tblPrEx>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Initial Conditions</w:t>
            </w:r>
          </w:p>
        </w:tc>
      </w:tr>
      <w:tr>
        <w:tblPrEx>
          <w:tblCellMar>
            <w:top w:w="0" w:type="dxa"/>
            <w:left w:w="70" w:type="dxa"/>
            <w:bottom w:w="0" w:type="dxa"/>
            <w:right w:w="70" w:type="dxa"/>
          </w:tblCellMar>
        </w:tblPrEx>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Test Environment as specified in</w:t>
            </w:r>
          </w:p>
          <w:p>
            <w:pPr>
              <w:pStyle w:val="103"/>
            </w:pPr>
            <w:r>
              <w:t>TS 36.508 [12] subclause 4.1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Normal</w:t>
            </w:r>
          </w:p>
        </w:tc>
      </w:tr>
      <w:tr>
        <w:tblPrEx>
          <w:tblCellMar>
            <w:top w:w="0" w:type="dxa"/>
            <w:left w:w="70" w:type="dxa"/>
            <w:bottom w:w="0" w:type="dxa"/>
            <w:right w:w="70" w:type="dxa"/>
          </w:tblCellMar>
        </w:tblPrEx>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Frequencies as specified in</w:t>
            </w:r>
          </w:p>
          <w:p>
            <w:pPr>
              <w:pStyle w:val="103"/>
            </w:pPr>
            <w:r>
              <w:t>TS 36.508 [12] subclause 4.3.1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Low range, Mid range, High range</w:t>
            </w:r>
          </w:p>
        </w:tc>
      </w:tr>
      <w:tr>
        <w:tblPrEx>
          <w:tblCellMar>
            <w:top w:w="0" w:type="dxa"/>
            <w:left w:w="70" w:type="dxa"/>
            <w:bottom w:w="0" w:type="dxa"/>
            <w:right w:w="70" w:type="dxa"/>
          </w:tblCellMar>
        </w:tblPrEx>
        <w:tc>
          <w:tcPr>
            <w:tcW w:w="508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rPr>
                <w:bCs/>
              </w:rPr>
              <w:t>Test Channel Bandwidths as specified in</w:t>
            </w:r>
          </w:p>
          <w:p>
            <w:pPr>
              <w:pStyle w:val="103"/>
            </w:pPr>
            <w:r>
              <w:t>TS 36.508 [12] subclause 4.3.1</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3"/>
            </w:pPr>
            <w:r>
              <w:t>1.4MHz</w:t>
            </w:r>
          </w:p>
        </w:tc>
      </w:tr>
      <w:tr>
        <w:tblPrEx>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Test Parameters for Channel Bandwidths</w:t>
            </w:r>
          </w:p>
        </w:tc>
      </w:tr>
      <w:tr>
        <w:tblPrEx>
          <w:tblCellMar>
            <w:top w:w="0" w:type="dxa"/>
            <w:left w:w="70" w:type="dxa"/>
            <w:bottom w:w="0" w:type="dxa"/>
            <w:right w:w="70" w:type="dxa"/>
          </w:tblCellMar>
        </w:tblPrEx>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Downlink Configuration</w:t>
            </w:r>
          </w:p>
        </w:tc>
        <w:tc>
          <w:tcPr>
            <w:tcW w:w="447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pStyle w:val="104"/>
            </w:pPr>
            <w:r>
              <w:t>Uplink Configuration</w:t>
            </w:r>
          </w:p>
        </w:tc>
      </w:tr>
      <w:tr>
        <w:tblPrEx>
          <w:tblCellMar>
            <w:top w:w="0" w:type="dxa"/>
            <w:left w:w="70" w:type="dxa"/>
            <w:bottom w:w="0" w:type="dxa"/>
            <w:right w:w="70" w:type="dxa"/>
          </w:tblCellMar>
        </w:tblPrEx>
        <w:tc>
          <w:tcPr>
            <w:tcW w:w="1212" w:type="dxa"/>
            <w:vMerge w:val="restart"/>
            <w:tcBorders>
              <w:top w:val="single" w:color="auto" w:sz="4" w:space="0"/>
              <w:left w:val="single" w:color="auto" w:sz="4" w:space="0"/>
              <w:right w:val="single" w:color="auto" w:sz="4" w:space="0"/>
            </w:tcBorders>
            <w:shd w:val="clear" w:color="auto" w:fill="auto"/>
            <w:vAlign w:val="center"/>
          </w:tcPr>
          <w:p>
            <w:pPr>
              <w:pStyle w:val="105"/>
            </w:pPr>
            <w:r>
              <w:t>Configuration ID</w:t>
            </w:r>
          </w:p>
        </w:tc>
        <w:tc>
          <w:tcPr>
            <w:tcW w:w="1134" w:type="dxa"/>
            <w:vMerge w:val="restart"/>
            <w:tcBorders>
              <w:top w:val="single" w:color="auto" w:sz="4" w:space="0"/>
              <w:left w:val="single" w:color="auto" w:sz="4" w:space="0"/>
              <w:right w:val="single" w:color="auto" w:sz="4" w:space="0"/>
            </w:tcBorders>
            <w:shd w:val="clear" w:color="auto" w:fill="auto"/>
            <w:vAlign w:val="center"/>
          </w:tcPr>
          <w:p>
            <w:pPr>
              <w:pStyle w:val="105"/>
            </w:pPr>
            <w:r>
              <w:t>Ch BW</w:t>
            </w:r>
          </w:p>
        </w:tc>
        <w:tc>
          <w:tcPr>
            <w:tcW w:w="2734"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N/A for Maximum Power Reduction (MPR) test case</w:t>
            </w:r>
          </w:p>
        </w:tc>
        <w:tc>
          <w:tcPr>
            <w:tcW w:w="1304" w:type="dxa"/>
            <w:vMerge w:val="restart"/>
            <w:tcBorders>
              <w:top w:val="single" w:color="auto" w:sz="4" w:space="0"/>
              <w:left w:val="single" w:color="auto" w:sz="4" w:space="0"/>
              <w:right w:val="single" w:color="auto" w:sz="4" w:space="0"/>
            </w:tcBorders>
            <w:shd w:val="clear" w:color="auto" w:fill="auto"/>
            <w:vAlign w:val="center"/>
          </w:tcPr>
          <w:p>
            <w:pPr>
              <w:pStyle w:val="105"/>
            </w:pPr>
            <w:r>
              <w:t>Mod'n</w:t>
            </w:r>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RB allocation</w:t>
            </w:r>
          </w:p>
        </w:tc>
      </w:tr>
      <w:tr>
        <w:tblPrEx>
          <w:tblCellMar>
            <w:top w:w="0" w:type="dxa"/>
            <w:left w:w="70" w:type="dxa"/>
            <w:bottom w:w="0" w:type="dxa"/>
            <w:right w:w="70" w:type="dxa"/>
          </w:tblCellMar>
        </w:tblPrEx>
        <w:trPr>
          <w:trHeight w:val="470" w:hRule="atLeast"/>
        </w:trPr>
        <w:tc>
          <w:tcPr>
            <w:tcW w:w="1212"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113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2734" w:type="dxa"/>
            <w:vMerge w:val="continue"/>
            <w:tcBorders>
              <w:top w:val="single" w:color="auto" w:sz="4" w:space="0"/>
              <w:left w:val="single" w:color="auto" w:sz="4" w:space="0"/>
              <w:bottom w:val="single" w:color="auto" w:sz="4" w:space="0"/>
              <w:right w:val="single" w:color="auto" w:sz="4" w:space="0"/>
            </w:tcBorders>
            <w:vAlign w:val="center"/>
          </w:tcPr>
          <w:p>
            <w:pPr>
              <w:pStyle w:val="105"/>
            </w:pPr>
          </w:p>
        </w:tc>
        <w:tc>
          <w:tcPr>
            <w:tcW w:w="1304" w:type="dxa"/>
            <w:vMerge w:val="continue"/>
            <w:tcBorders>
              <w:left w:val="single" w:color="auto" w:sz="4" w:space="0"/>
              <w:bottom w:val="single" w:color="auto" w:sz="4" w:space="0"/>
              <w:right w:val="single" w:color="auto" w:sz="4" w:space="0"/>
            </w:tcBorders>
            <w:shd w:val="clear" w:color="auto" w:fill="auto"/>
            <w:vAlign w:val="center"/>
          </w:tcPr>
          <w:p>
            <w:pPr>
              <w:pStyle w:val="105"/>
            </w:pPr>
          </w:p>
        </w:tc>
        <w:tc>
          <w:tcPr>
            <w:tcW w:w="317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FDD and HD-FDD</w:t>
            </w:r>
          </w:p>
        </w:tc>
      </w:tr>
      <w:tr>
        <w:tblPrEx>
          <w:tblCellMar>
            <w:top w:w="0" w:type="dxa"/>
            <w:left w:w="70" w:type="dxa"/>
            <w:bottom w:w="0" w:type="dxa"/>
            <w:right w:w="70" w:type="dxa"/>
          </w:tblCellMar>
        </w:tblPrEx>
        <w:tc>
          <w:tcPr>
            <w:tcW w:w="1212"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r>
              <w:t>1</w:t>
            </w: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5"/>
            </w:pPr>
            <w:r>
              <w:t>1.4MHz</w:t>
            </w:r>
          </w:p>
        </w:tc>
        <w:tc>
          <w:tcPr>
            <w:tcW w:w="2734"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pPr>
          </w:p>
        </w:tc>
        <w:tc>
          <w:tcPr>
            <w:tcW w:w="1304" w:type="dxa"/>
            <w:tcBorders>
              <w:top w:val="single" w:color="auto" w:sz="4" w:space="0"/>
              <w:left w:val="single" w:color="auto" w:sz="4" w:space="0"/>
              <w:bottom w:val="single" w:color="auto" w:sz="4" w:space="0"/>
              <w:right w:val="single" w:color="auto" w:sz="4" w:space="0"/>
            </w:tcBorders>
            <w:shd w:val="clear" w:color="auto" w:fill="auto"/>
          </w:tcPr>
          <w:p>
            <w:pPr>
              <w:pStyle w:val="105"/>
            </w:pPr>
            <w:r>
              <w:t>QPSK</w:t>
            </w:r>
          </w:p>
        </w:tc>
        <w:tc>
          <w:tcPr>
            <w:tcW w:w="3170" w:type="dxa"/>
            <w:tcBorders>
              <w:top w:val="single" w:color="auto" w:sz="4" w:space="0"/>
              <w:left w:val="single" w:color="auto" w:sz="4" w:space="0"/>
              <w:bottom w:val="single" w:color="auto" w:sz="4" w:space="0"/>
              <w:right w:val="single" w:color="auto" w:sz="4" w:space="0"/>
            </w:tcBorders>
            <w:shd w:val="clear" w:color="auto" w:fill="auto"/>
          </w:tcPr>
          <w:p>
            <w:pPr>
              <w:pStyle w:val="105"/>
            </w:pPr>
            <w:r>
              <w:t>½ (6 SCs)</w:t>
            </w:r>
          </w:p>
        </w:tc>
      </w:tr>
      <w:tr>
        <w:tblPrEx>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18"/>
            </w:pPr>
            <w:r>
              <w:t>Note 1:</w:t>
            </w:r>
            <w:r>
              <w:tab/>
            </w:r>
            <w:r>
              <w:t>Denotes the lowest narrowband index in the channel bandwidth where the wideband shall be placed. The allocation is contiguous, starting from the lowest narrowband index. Narrowband, Narrowband index and Wideband are defined in TS 36.211 [3], 5.2.7.</w:t>
            </w:r>
          </w:p>
          <w:p>
            <w:pPr>
              <w:pStyle w:val="118"/>
            </w:pPr>
            <w:r>
              <w:t>Note 2:</w:t>
            </w:r>
            <w:r>
              <w:tab/>
            </w:r>
            <w:r>
              <w:t>Test Channel Bandwidths are checked separately for each E-UTRA band, the applicable channel bandwidths are specified in Table 5.4.2.1-1.</w:t>
            </w:r>
          </w:p>
          <w:p>
            <w:pPr>
              <w:pStyle w:val="118"/>
              <w:rPr>
                <w:lang w:eastAsia="sv-SE"/>
              </w:rPr>
            </w:pPr>
            <w:r>
              <w:rPr>
                <w:lang w:eastAsia="sv-SE"/>
              </w:rPr>
              <w:t>Note 3:</w:t>
            </w:r>
            <w:r>
              <w:rPr>
                <w:lang w:eastAsia="sv-SE"/>
              </w:rPr>
              <w:tab/>
            </w:r>
            <w:r>
              <w:rPr>
                <w:lang w:eastAsia="sv-SE"/>
              </w:rPr>
              <w:t>The SC</w:t>
            </w:r>
            <w:r>
              <w:rPr>
                <w:vertAlign w:val="subscript"/>
                <w:lang w:eastAsia="sv-SE"/>
              </w:rPr>
              <w:t>start</w:t>
            </w:r>
            <w:r>
              <w:rPr>
                <w:lang w:eastAsia="sv-SE"/>
              </w:rPr>
              <w:t xml:space="preserve"> shall be SC#0 and SC# (72 – RB allocation) of the narrowband, when RB allocation is defined as #SCs</w:t>
            </w:r>
          </w:p>
        </w:tc>
      </w:tr>
    </w:tbl>
    <w:p>
      <w:pPr>
        <w:pStyle w:val="111"/>
        <w:overflowPunct w:val="0"/>
        <w:autoSpaceDE w:val="0"/>
        <w:autoSpaceDN w:val="0"/>
        <w:adjustRightInd w:val="0"/>
        <w:textAlignment w:val="baseline"/>
        <w:rPr>
          <w:rFonts w:hint="eastAsia"/>
          <w:lang w:eastAsia="en-GB"/>
        </w:rPr>
      </w:pP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SS to the UE antenna connectors as shown in TS 36.508[12] Annex A Figure A.3 using only main UE Tx/Rx antenna.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channels are set according to Table 6.5A3.4.4.1-1.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w:t>
      </w:r>
      <w:r>
        <w:rPr>
          <w:rFonts w:hint="eastAsia" w:eastAsia="Times New Roman"/>
          <w:lang w:eastAsia="en-GB"/>
        </w:rPr>
        <w:t xml:space="preserve"> </w:t>
      </w:r>
      <w:r>
        <w:rPr>
          <w:rFonts w:hint="eastAsia"/>
          <w:lang w:eastAsia="en-GB"/>
        </w:rPr>
        <w:t>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Ensure the UE is in State 3A-RF-CE according to TS 36.508 [12] clause 5.2A.2AA. Message contents are defined in clause 6.5A.3.4.4.3.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w:t>
      </w:r>
      <w:r>
        <w:rPr>
          <w:rFonts w:hint="eastAsia"/>
          <w:lang w:eastAsia="en-GB"/>
        </w:rPr>
        <w:tab/>
      </w:r>
      <w:r>
        <w:rPr>
          <w:rFonts w:hint="eastAsia"/>
          <w:lang w:eastAsia="en-GB"/>
        </w:rPr>
        <w:t>For UE supporting subPRB allocation, repeat step 1-6 with UL RMC according to Table 6.5A3.4.4.1-2.</w:t>
      </w:r>
    </w:p>
    <w:p>
      <w:pPr>
        <w:pStyle w:val="9"/>
      </w:pPr>
      <w:r>
        <w:t>6.5A.3.4.4.2</w:t>
      </w:r>
      <w:r>
        <w:tab/>
      </w:r>
      <w: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6.5A3.4.4.1-1. Since the UE has no payload data</w:t>
      </w:r>
      <w:r>
        <w:rPr>
          <w:rFonts w:hint="eastAsia"/>
          <w:color w:val="auto"/>
          <w:lang w:eastAsia="en-GB"/>
        </w:rPr>
        <w:t xml:space="preserve"> </w:t>
      </w:r>
      <w:r>
        <w:rPr>
          <w:rFonts w:hint="eastAsia"/>
          <w:lang w:eastAsia="en-GB"/>
        </w:rPr>
        <w:t>to send, the UE transmits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Send continuously uplink power control "up" commands in the uplink scheduling information to the UE until the UE transmits at P</w:t>
      </w:r>
      <w:r>
        <w:rPr>
          <w:rFonts w:hint="eastAsia"/>
          <w:vertAlign w:val="baseline"/>
          <w:lang w:eastAsia="en-GB"/>
        </w:rPr>
        <w:t>UMAX</w:t>
      </w:r>
      <w:r>
        <w:rPr>
          <w:rFonts w:hint="eastAsia"/>
          <w:lang w:eastAsia="en-GB"/>
        </w:rPr>
        <w:t xml:space="preserve"> level.</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Measure the rectangular filtered mean power for E-UTRA.</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Measure the rectangular filtered mean power of the first E-UTRA adjacent channel on both lower and upper side of the E-UTRA channel, respectively.</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Measure the RRC filtered mean power of the first and the second UTRA adjacent channel on both lower and upper side of the E-UTRA channel, respectively.</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7.</w:t>
      </w:r>
      <w:r>
        <w:rPr>
          <w:rFonts w:hint="eastAsia"/>
          <w:lang w:eastAsia="en-GB"/>
        </w:rPr>
        <w:tab/>
      </w:r>
      <w:r>
        <w:rPr>
          <w:rFonts w:hint="eastAsia"/>
          <w:lang w:eastAsia="en-GB"/>
        </w:rPr>
        <w:t>Calculate the ratios of the power between the values measured in step 4 overstep 5 for lower and upper E-UTRA</w:t>
      </w:r>
      <w:r>
        <w:rPr>
          <w:rFonts w:hint="eastAsia"/>
          <w:vertAlign w:val="baseline"/>
          <w:lang w:eastAsia="en-GB"/>
        </w:rPr>
        <w:t>ACLR</w:t>
      </w:r>
      <w:r>
        <w:rPr>
          <w:rFonts w:hint="eastAsia"/>
          <w:lang w:eastAsia="en-GB"/>
        </w:rPr>
        <w:t>, respectively.</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8.</w:t>
      </w:r>
      <w:r>
        <w:rPr>
          <w:rFonts w:hint="eastAsia"/>
          <w:lang w:eastAsia="en-GB"/>
        </w:rPr>
        <w:tab/>
      </w:r>
      <w:r>
        <w:rPr>
          <w:rFonts w:hint="eastAsia"/>
          <w:lang w:eastAsia="en-GB"/>
        </w:rPr>
        <w:t>Calculated the ratios of the power between the values measured in step 4 overstep 6 for lower and upper UTRA</w:t>
      </w:r>
      <w:r>
        <w:rPr>
          <w:rFonts w:hint="eastAsia"/>
          <w:vertAlign w:val="baseline"/>
          <w:lang w:eastAsia="en-GB"/>
        </w:rPr>
        <w:t>ACLR1</w:t>
      </w:r>
      <w:r>
        <w:rPr>
          <w:rFonts w:hint="eastAsia"/>
          <w:lang w:eastAsia="en-GB"/>
        </w:rPr>
        <w:t>, UTRA</w:t>
      </w:r>
      <w:r>
        <w:rPr>
          <w:rFonts w:hint="eastAsia"/>
          <w:vertAlign w:val="baseline"/>
          <w:lang w:eastAsia="en-GB"/>
        </w:rPr>
        <w:t>ACLR2</w:t>
      </w:r>
      <w:r>
        <w:rPr>
          <w:rFonts w:hint="eastAsia"/>
          <w:lang w:eastAsia="en-GB"/>
        </w:rPr>
        <w:t>, respectively.</w:t>
      </w:r>
    </w:p>
    <w:p>
      <w:pPr>
        <w:pStyle w:val="9"/>
      </w:pPr>
      <w:r>
        <w:t>6.5A.3.4.4.3</w:t>
      </w:r>
      <w:r>
        <w:tab/>
      </w:r>
      <w:r>
        <w:t>Message contents</w:t>
      </w:r>
    </w:p>
    <w:p>
      <w:pPr>
        <w:rPr>
          <w:lang w:eastAsia="en-GB"/>
        </w:rPr>
      </w:pPr>
      <w:r>
        <w:rPr>
          <w:lang w:eastAsia="en-GB"/>
        </w:rPr>
        <w:t>Message contents are according to TS 36.508 [12] subclause 4.6.</w:t>
      </w:r>
    </w:p>
    <w:p>
      <w:pPr>
        <w:pStyle w:val="9"/>
      </w:pPr>
      <w:r>
        <w:rPr>
          <w:rFonts w:hint="eastAsia"/>
        </w:rPr>
        <w:t>6</w:t>
      </w:r>
      <w:r>
        <w:t>.5A.3.4.5</w:t>
      </w:r>
      <w:r>
        <w:tab/>
      </w:r>
      <w:r>
        <w:t>Test requirement</w:t>
      </w:r>
    </w:p>
    <w:p>
      <w:pPr>
        <w:pStyle w:val="9"/>
      </w:pPr>
      <w:bookmarkStart w:id="487" w:name="_Hlk141102488"/>
      <w:r>
        <w:t>6.5A.3.4.5.1</w:t>
      </w:r>
      <w:bookmarkEnd w:id="487"/>
      <w:r>
        <w:tab/>
      </w:r>
      <w:r>
        <w:t>Test requirements E-UTRA</w:t>
      </w:r>
    </w:p>
    <w:p>
      <w:pPr>
        <w:ind w:left="568" w:hanging="284"/>
        <w:rPr>
          <w:lang w:eastAsia="en-GB"/>
        </w:rPr>
      </w:pPr>
      <w:r>
        <w:rPr>
          <w:rFonts w:cs="v5.0.0"/>
          <w:lang w:eastAsia="en-GB"/>
        </w:rPr>
        <w:t>-</w:t>
      </w:r>
      <w:r>
        <w:rPr>
          <w:rFonts w:cs="v5.0.0"/>
          <w:lang w:eastAsia="en-GB"/>
        </w:rPr>
        <w:tab/>
      </w:r>
      <w:r>
        <w:rPr>
          <w:lang w:eastAsia="en-GB"/>
        </w:rPr>
        <w:t xml:space="preserve">The measured UE mean power in the channel bandwidth, derived in step 3, shall fulfil requirements in Table </w:t>
      </w:r>
      <w:r>
        <w:t>6.2A.2.4.4-1 to 6.2A.2.4.4-1a</w:t>
      </w:r>
      <w:r>
        <w:rPr>
          <w:lang w:eastAsia="en-GB"/>
        </w:rPr>
        <w:t>, as appropriate,</w:t>
      </w:r>
    </w:p>
    <w:p>
      <w:pPr>
        <w:ind w:left="568" w:hanging="284"/>
        <w:rPr>
          <w:lang w:eastAsia="en-GB"/>
        </w:rPr>
      </w:pPr>
      <w:r>
        <w:rPr>
          <w:lang w:eastAsia="en-GB"/>
        </w:rPr>
        <w:t>and</w:t>
      </w:r>
    </w:p>
    <w:p>
      <w:pPr>
        <w:ind w:left="568" w:hanging="284"/>
        <w:rPr>
          <w:lang w:eastAsia="en-GB"/>
        </w:rPr>
      </w:pPr>
      <w:r>
        <w:rPr>
          <w:rFonts w:cs="v5.0.0"/>
          <w:lang w:eastAsia="en-GB"/>
        </w:rPr>
        <w:t>-</w:t>
      </w:r>
      <w:r>
        <w:rPr>
          <w:rFonts w:cs="v5.0.0"/>
          <w:lang w:eastAsia="en-GB"/>
        </w:rPr>
        <w:tab/>
      </w:r>
      <w:r>
        <w:rPr>
          <w:rFonts w:cs="v5.0.0"/>
          <w:lang w:eastAsia="en-GB"/>
        </w:rPr>
        <w:t>if the measured adjacent channel power is greater than –50 dBm then</w:t>
      </w:r>
      <w:r>
        <w:rPr>
          <w:lang w:eastAsia="en-GB"/>
        </w:rPr>
        <w:t xml:space="preserve"> the measured E-UTRA</w:t>
      </w:r>
      <w:r>
        <w:rPr>
          <w:vertAlign w:val="subscript"/>
          <w:lang w:eastAsia="en-GB"/>
        </w:rPr>
        <w:t>ACLR</w:t>
      </w:r>
      <w:r>
        <w:rPr>
          <w:lang w:eastAsia="en-GB"/>
        </w:rPr>
        <w:t>, derived in step 7, shall be higher than the limits in table 6.5A.3.4.5.1-1.</w:t>
      </w:r>
    </w:p>
    <w:p>
      <w:pPr>
        <w:keepNext/>
        <w:keepLines/>
        <w:spacing w:before="60"/>
        <w:jc w:val="center"/>
        <w:rPr>
          <w:rFonts w:ascii="Arial" w:hAnsi="Arial"/>
          <w:b/>
          <w:lang w:eastAsia="en-GB"/>
        </w:rPr>
      </w:pPr>
      <w:r>
        <w:rPr>
          <w:rFonts w:ascii="Arial" w:hAnsi="Arial"/>
          <w:b/>
          <w:lang w:eastAsia="en-GB"/>
        </w:rPr>
        <w:t>Table 6.5A.3.4.5.1-1: E-UTRA UE ACLR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3"/>
        <w:gridCol w:w="54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rPr>
                <w:rFonts w:ascii="Arial" w:hAnsi="Arial" w:cs="Arial"/>
                <w:sz w:val="18"/>
                <w:szCs w:val="18"/>
                <w:lang w:eastAsia="en-GB"/>
              </w:rPr>
            </w:pPr>
          </w:p>
        </w:tc>
        <w:tc>
          <w:tcPr>
            <w:tcW w:w="5403" w:type="dxa"/>
            <w:vAlign w:val="center"/>
          </w:tcPr>
          <w:p>
            <w:pPr>
              <w:keepNext/>
              <w:keepLines/>
              <w:spacing w:after="0"/>
              <w:jc w:val="center"/>
              <w:rPr>
                <w:rFonts w:ascii="Arial" w:hAnsi="Arial"/>
                <w:b/>
                <w:sz w:val="18"/>
              </w:rPr>
            </w:pPr>
            <w:r>
              <w:rPr>
                <w:rFonts w:ascii="Arial" w:hAnsi="Arial"/>
                <w:b/>
                <w:sz w:val="18"/>
              </w:rPr>
              <w:t>Channel bandwidth / E-UTRA</w:t>
            </w:r>
            <w:r>
              <w:rPr>
                <w:rFonts w:ascii="Arial" w:hAnsi="Arial"/>
                <w:b/>
                <w:sz w:val="18"/>
                <w:vertAlign w:val="subscript"/>
              </w:rPr>
              <w:t>ACLR1</w:t>
            </w:r>
            <w:r>
              <w:rPr>
                <w:rFonts w:ascii="Arial" w:hAnsi="Arial"/>
                <w:b/>
                <w:sz w:val="18"/>
              </w:rPr>
              <w:t xml:space="preserve"> / 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rPr>
                <w:rFonts w:ascii="Arial" w:hAnsi="Arial" w:cs="Arial"/>
                <w:b/>
                <w:sz w:val="18"/>
                <w:szCs w:val="18"/>
                <w:lang w:eastAsia="en-GB"/>
              </w:rPr>
            </w:pPr>
          </w:p>
        </w:tc>
        <w:tc>
          <w:tcPr>
            <w:tcW w:w="5403" w:type="dxa"/>
            <w:vAlign w:val="center"/>
          </w:tcPr>
          <w:p>
            <w:pPr>
              <w:keepNext/>
              <w:keepLines/>
              <w:spacing w:after="0"/>
              <w:jc w:val="center"/>
              <w:rPr>
                <w:rFonts w:ascii="Arial" w:hAnsi="Arial"/>
                <w:b/>
                <w:sz w:val="18"/>
              </w:rPr>
            </w:pPr>
            <w:r>
              <w:rPr>
                <w:rFonts w:ascii="Arial" w:hAnsi="Arial"/>
                <w:b/>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E-UTRA</w:t>
            </w:r>
            <w:r>
              <w:rPr>
                <w:rFonts w:ascii="Arial" w:hAnsi="Arial"/>
                <w:b/>
                <w:sz w:val="18"/>
                <w:vertAlign w:val="subscript"/>
              </w:rPr>
              <w:t>ACLR1</w:t>
            </w:r>
          </w:p>
        </w:tc>
        <w:tc>
          <w:tcPr>
            <w:tcW w:w="5403" w:type="dxa"/>
            <w:vAlign w:val="center"/>
          </w:tcPr>
          <w:p>
            <w:pPr>
              <w:keepNext/>
              <w:keepLines/>
              <w:spacing w:after="0"/>
              <w:jc w:val="center"/>
              <w:rPr>
                <w:rFonts w:ascii="Arial" w:hAnsi="Arial"/>
                <w:sz w:val="18"/>
              </w:rPr>
            </w:pPr>
            <w:r>
              <w:rPr>
                <w:rFonts w:ascii="Arial" w:hAnsi="Arial"/>
                <w:sz w:val="18"/>
              </w:rPr>
              <w:t>29.2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E-UTRA channel Measurement bandwidth</w:t>
            </w:r>
          </w:p>
        </w:tc>
        <w:tc>
          <w:tcPr>
            <w:tcW w:w="5403" w:type="dxa"/>
            <w:vAlign w:val="center"/>
          </w:tcPr>
          <w:p>
            <w:pPr>
              <w:keepNext/>
              <w:keepLines/>
              <w:spacing w:after="0"/>
              <w:jc w:val="center"/>
              <w:rPr>
                <w:rFonts w:ascii="Arial" w:hAnsi="Arial"/>
                <w:sz w:val="18"/>
              </w:rPr>
            </w:pPr>
            <w:r>
              <w:rPr>
                <w:rFonts w:ascii="Arial" w:hAnsi="Arial"/>
                <w:sz w:val="18"/>
              </w:rPr>
              <w:t>1.08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63" w:type="dxa"/>
          </w:tcPr>
          <w:p>
            <w:pPr>
              <w:keepNext/>
              <w:keepLines/>
              <w:spacing w:after="0"/>
              <w:jc w:val="center"/>
              <w:rPr>
                <w:rFonts w:ascii="Arial" w:hAnsi="Arial"/>
                <w:b/>
                <w:sz w:val="18"/>
              </w:rPr>
            </w:pPr>
            <w:r>
              <w:rPr>
                <w:rFonts w:ascii="Arial" w:hAnsi="Arial"/>
                <w:b/>
                <w:sz w:val="18"/>
              </w:rPr>
              <w:t>UE channel</w:t>
            </w:r>
          </w:p>
        </w:tc>
        <w:tc>
          <w:tcPr>
            <w:tcW w:w="5403" w:type="dxa"/>
            <w:vAlign w:val="center"/>
          </w:tcPr>
          <w:p>
            <w:pPr>
              <w:keepNext/>
              <w:keepLines/>
              <w:spacing w:after="0"/>
              <w:jc w:val="center"/>
              <w:rPr>
                <w:rFonts w:ascii="Arial" w:hAnsi="Arial"/>
                <w:sz w:val="18"/>
              </w:rPr>
            </w:pPr>
            <w:r>
              <w:rPr>
                <w:rFonts w:ascii="Arial" w:hAnsi="Arial"/>
                <w:sz w:val="18"/>
              </w:rPr>
              <w:t>+1.4 MHz or -1.4 MHz</w:t>
            </w:r>
          </w:p>
        </w:tc>
      </w:tr>
    </w:tbl>
    <w:p>
      <w:pPr>
        <w:rPr>
          <w:lang w:eastAsia="zh-TW"/>
        </w:rPr>
      </w:pPr>
    </w:p>
    <w:p>
      <w:pPr>
        <w:pStyle w:val="5"/>
      </w:pPr>
      <w:bookmarkStart w:id="488" w:name="_Toc5295"/>
      <w:bookmarkStart w:id="489" w:name="_Toc120570061"/>
      <w:bookmarkStart w:id="490" w:name="_Toc121162853"/>
      <w:bookmarkStart w:id="491" w:name="_Toc4171"/>
      <w:bookmarkStart w:id="492" w:name="_Toc9971"/>
      <w:r>
        <w:t>6.5A.4</w:t>
      </w:r>
      <w:r>
        <w:tab/>
      </w:r>
      <w:r>
        <w:rPr>
          <w:rFonts w:hint="eastAsia"/>
        </w:rPr>
        <w:t>S</w:t>
      </w:r>
      <w:r>
        <w:t>purious emission</w:t>
      </w:r>
      <w:r>
        <w:rPr>
          <w:rFonts w:hint="eastAsia"/>
        </w:rPr>
        <w:t xml:space="preserve"> for </w:t>
      </w:r>
      <w:r>
        <w:t>category M1</w:t>
      </w:r>
      <w:bookmarkEnd w:id="488"/>
      <w:bookmarkEnd w:id="489"/>
      <w:bookmarkEnd w:id="490"/>
      <w:bookmarkEnd w:id="491"/>
      <w:bookmarkEnd w:id="492"/>
    </w:p>
    <w:p>
      <w:pPr>
        <w:pStyle w:val="6"/>
      </w:pPr>
      <w:bookmarkStart w:id="493" w:name="_Toc120570062"/>
      <w:bookmarkStart w:id="494" w:name="_Toc19974"/>
      <w:bookmarkStart w:id="495" w:name="_Toc17640"/>
      <w:bookmarkStart w:id="496" w:name="_Toc5930"/>
      <w:bookmarkStart w:id="497" w:name="_Toc121162854"/>
      <w:r>
        <w:t>6.5A.4.1</w:t>
      </w:r>
      <w:r>
        <w:tab/>
      </w:r>
      <w:r>
        <w:t>General</w:t>
      </w:r>
      <w:bookmarkEnd w:id="493"/>
      <w:bookmarkEnd w:id="494"/>
      <w:bookmarkEnd w:id="495"/>
      <w:bookmarkEnd w:id="496"/>
      <w:bookmarkEnd w:id="497"/>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498" w:name="_Toc659"/>
      <w:bookmarkStart w:id="499" w:name="_Toc16423"/>
      <w:bookmarkStart w:id="500" w:name="_Toc8248"/>
      <w:bookmarkStart w:id="501" w:name="_Toc121162855"/>
      <w:bookmarkStart w:id="502" w:name="_Toc120570063"/>
      <w:r>
        <w:t>6.5A.4.2</w:t>
      </w:r>
      <w:r>
        <w:tab/>
      </w:r>
      <w:r>
        <w:t>Transmitter Spurious emissions</w:t>
      </w:r>
      <w:bookmarkEnd w:id="498"/>
      <w:bookmarkEnd w:id="499"/>
      <w:bookmarkEnd w:id="500"/>
      <w:bookmarkEnd w:id="501"/>
      <w:bookmarkEnd w:id="502"/>
    </w:p>
    <w:p>
      <w:pPr>
        <w:keepLines/>
        <w:ind w:left="1418" w:hanging="1134"/>
        <w:rPr>
          <w:color w:val="FF0000"/>
        </w:rPr>
      </w:pPr>
      <w:r>
        <w:rPr>
          <w:color w:val="FF0000"/>
        </w:rPr>
        <w:t>Editor’s Note: This clause is incomplete. The following aspects are either missing or not yet determined:</w:t>
      </w:r>
    </w:p>
    <w:p>
      <w:pPr>
        <w:keepLines/>
        <w:ind w:left="1418" w:hanging="1134"/>
        <w:rPr>
          <w:color w:val="FF0000"/>
        </w:rPr>
      </w:pPr>
      <w:r>
        <w:rPr>
          <w:color w:val="FF0000"/>
        </w:rPr>
        <w:t>- Addition to applicability spec is pending</w:t>
      </w:r>
    </w:p>
    <w:p>
      <w:pPr>
        <w:keepLines/>
        <w:ind w:left="1418" w:hanging="1134"/>
        <w:rPr>
          <w:color w:val="FF0000"/>
        </w:rPr>
      </w:pPr>
      <w:r>
        <w:rPr>
          <w:color w:val="FF0000"/>
        </w:rPr>
        <w:t>- Initial condition and call setup procedure to support satellite access are TBD</w:t>
      </w:r>
    </w:p>
    <w:p>
      <w:pPr>
        <w:keepLines/>
        <w:ind w:left="1418" w:hanging="1134"/>
        <w:rPr>
          <w:color w:val="FF0000"/>
        </w:rPr>
      </w:pPr>
      <w:r>
        <w:rPr>
          <w:color w:val="FF0000"/>
        </w:rPr>
        <w:t>- Message exceptions specific to satellite access is TBD</w:t>
      </w:r>
    </w:p>
    <w:p>
      <w:pPr>
        <w:keepLines/>
        <w:ind w:left="1418" w:hanging="1134"/>
        <w:rPr>
          <w:color w:val="FF0000"/>
        </w:rPr>
      </w:pPr>
      <w:r>
        <w:rPr>
          <w:color w:val="FF0000"/>
        </w:rPr>
        <w:t>- Test Points analysis is TBD</w:t>
      </w:r>
    </w:p>
    <w:p>
      <w:pPr>
        <w:keepLines/>
        <w:ind w:left="1418" w:hanging="1134"/>
        <w:rPr>
          <w:color w:val="FF0000"/>
        </w:rPr>
      </w:pPr>
      <w:r>
        <w:rPr>
          <w:color w:val="FF0000"/>
        </w:rPr>
        <w:t>- Test configuration is TBD</w:t>
      </w:r>
    </w:p>
    <w:p>
      <w:pPr>
        <w:keepLines/>
        <w:ind w:left="1418" w:hanging="1134"/>
        <w:rPr>
          <w:color w:val="FF0000"/>
        </w:rPr>
      </w:pPr>
      <w:r>
        <w:rPr>
          <w:color w:val="FF0000"/>
        </w:rPr>
        <w:t>- Annex F MU/TT is TBD</w:t>
      </w:r>
    </w:p>
    <w:p>
      <w:pPr>
        <w:pStyle w:val="9"/>
        <w:rPr>
          <w:sz w:val="22"/>
          <w:lang w:eastAsia="en-GB"/>
        </w:rPr>
      </w:pPr>
      <w:r>
        <w:rPr>
          <w:sz w:val="22"/>
          <w:lang w:eastAsia="en-GB"/>
        </w:rPr>
        <w:t>6.5A.4.2.1</w:t>
      </w:r>
      <w:r>
        <w:rPr>
          <w:sz w:val="22"/>
          <w:lang w:eastAsia="en-GB"/>
        </w:rPr>
        <w:tab/>
      </w:r>
      <w:r>
        <w:rPr>
          <w:sz w:val="22"/>
          <w:lang w:eastAsia="en-GB"/>
        </w:rPr>
        <w:t>Test purpose</w:t>
      </w:r>
    </w:p>
    <w:p>
      <w:pPr>
        <w:rPr>
          <w:lang w:eastAsia="en-GB"/>
        </w:rPr>
      </w:pPr>
      <w:r>
        <w:rPr>
          <w:lang w:eastAsia="en-GB"/>
        </w:rPr>
        <w:t>To verify that UE transmitter does not cause unacceptable interference to other channels or other systems in terms of transmitter spurious emissions.</w:t>
      </w:r>
    </w:p>
    <w:p>
      <w:pPr>
        <w:pStyle w:val="9"/>
        <w:rPr>
          <w:sz w:val="22"/>
          <w:lang w:eastAsia="en-GB"/>
        </w:rPr>
      </w:pPr>
      <w:r>
        <w:rPr>
          <w:sz w:val="22"/>
          <w:lang w:eastAsia="en-GB"/>
        </w:rPr>
        <w:t>6.5A.4.2.2</w:t>
      </w:r>
      <w:r>
        <w:rPr>
          <w:sz w:val="22"/>
          <w:lang w:eastAsia="en-GB"/>
        </w:rPr>
        <w:tab/>
      </w:r>
      <w:r>
        <w:rPr>
          <w:sz w:val="22"/>
          <w:lang w:eastAsia="en-GB"/>
        </w:rPr>
        <w:t>Test applicability</w:t>
      </w:r>
    </w:p>
    <w:p>
      <w:pPr>
        <w:rPr>
          <w:lang w:eastAsia="en-GB"/>
        </w:rPr>
      </w:pPr>
      <w:r>
        <w:rPr>
          <w:lang w:eastAsia="en-GB"/>
        </w:rPr>
        <w:t>This test case applies to all types of E-UTRA UE release 13 and forward of UE category M1 that support satellite access operation.</w:t>
      </w:r>
    </w:p>
    <w:p>
      <w:pPr>
        <w:pStyle w:val="9"/>
        <w:rPr>
          <w:sz w:val="22"/>
          <w:lang w:eastAsia="en-GB"/>
        </w:rPr>
      </w:pPr>
      <w:r>
        <w:rPr>
          <w:sz w:val="22"/>
          <w:lang w:eastAsia="en-GB"/>
        </w:rPr>
        <w:t>6.5A.4.2.3</w:t>
      </w:r>
      <w:r>
        <w:rPr>
          <w:sz w:val="22"/>
          <w:lang w:eastAsia="en-GB"/>
        </w:rPr>
        <w:tab/>
      </w:r>
      <w:r>
        <w:rPr>
          <w:sz w:val="22"/>
          <w:lang w:eastAsia="en-GB"/>
        </w:rPr>
        <w:t>Minimum conformance requirements</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 xml:space="preserve">in </w:t>
      </w:r>
      <w:r>
        <w:rPr>
          <w:lang w:eastAsia="en-GB"/>
        </w:rPr>
        <w:t>table 6.5A.4.2.3-2</w:t>
      </w:r>
      <w:r>
        <w:rPr>
          <w:rFonts w:eastAsia="MS Mincho"/>
          <w:lang w:eastAsia="en-GB"/>
        </w:rPr>
        <w:t>.</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w:t>
      </w:r>
    </w:p>
    <w:p>
      <w:pPr>
        <w:ind w:left="900" w:hanging="900" w:hangingChars="450"/>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113"/>
        <w:keepNext/>
        <w:keepLines/>
        <w:spacing w:before="60"/>
        <w:jc w:val="center"/>
        <w:rPr>
          <w:lang w:eastAsia="en-GB"/>
        </w:rPr>
      </w:pPr>
      <w:r>
        <w:rPr>
          <w:lang w:eastAsia="en-GB"/>
        </w:rPr>
        <w:t>Table 6.5A.4.2.3-1: Δf</w:t>
      </w:r>
      <w:r>
        <w:rPr>
          <w:vertAlign w:val="subscript"/>
          <w:lang w:eastAsia="en-GB"/>
        </w:rPr>
        <w:t>OOB</w:t>
      </w:r>
      <w:r>
        <w:rPr>
          <w:lang w:eastAsia="en-GB"/>
        </w:rPr>
        <w:t xml:space="preserve"> boundary between E-UTRA channel and spurious emission domain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9"/>
        <w:gridCol w:w="19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059" w:type="dxa"/>
          </w:tcPr>
          <w:p>
            <w:pPr>
              <w:keepNext/>
              <w:keepLines/>
              <w:spacing w:after="0"/>
              <w:jc w:val="center"/>
              <w:rPr>
                <w:rFonts w:ascii="Arial" w:hAnsi="Arial"/>
                <w:b/>
                <w:sz w:val="18"/>
              </w:rPr>
            </w:pPr>
            <w:r>
              <w:rPr>
                <w:rFonts w:ascii="Arial" w:hAnsi="Arial"/>
                <w:b/>
                <w:sz w:val="18"/>
              </w:rPr>
              <w:t xml:space="preserve">Channel bandwidth </w:t>
            </w:r>
          </w:p>
        </w:tc>
        <w:tc>
          <w:tcPr>
            <w:tcW w:w="1911" w:type="dxa"/>
          </w:tcPr>
          <w:p>
            <w:pPr>
              <w:keepNext/>
              <w:keepLines/>
              <w:spacing w:after="0"/>
              <w:jc w:val="center"/>
              <w:rPr>
                <w:rFonts w:ascii="Arial" w:hAnsi="Arial"/>
                <w:b/>
                <w:sz w:val="18"/>
              </w:rPr>
            </w:pPr>
            <w:r>
              <w:rPr>
                <w:rFonts w:ascii="Arial" w:hAnsi="Arial"/>
                <w:b/>
                <w:sz w:val="18"/>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9"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c>
          <w:tcPr>
            <w:tcW w:w="1911" w:type="dxa"/>
          </w:tcPr>
          <w:p>
            <w:pPr>
              <w:keepNext/>
              <w:keepLines/>
              <w:spacing w:after="0"/>
              <w:jc w:val="center"/>
              <w:rPr>
                <w:rFonts w:ascii="Arial" w:hAnsi="Arial"/>
                <w:sz w:val="18"/>
              </w:rPr>
            </w:pPr>
            <w:r>
              <w:rPr>
                <w:rFonts w:ascii="Arial" w:hAnsi="Arial"/>
                <w:sz w:val="18"/>
              </w:rPr>
              <w:t>2.8</w:t>
            </w:r>
          </w:p>
        </w:tc>
      </w:tr>
    </w:tbl>
    <w:p>
      <w:pPr>
        <w:rPr>
          <w:lang w:eastAsia="en-GB"/>
        </w:rPr>
      </w:pPr>
    </w:p>
    <w:p>
      <w:pPr>
        <w:rPr>
          <w:rFonts w:eastAsia="MS Mincho"/>
          <w:lang w:eastAsia="en-GB"/>
        </w:rPr>
      </w:pPr>
      <w:r>
        <w:rPr>
          <w:rFonts w:cs="v5.0.0"/>
          <w:snapToGrid w:val="0"/>
          <w:lang w:eastAsia="en-GB"/>
        </w:rPr>
        <w:t>The spurious emission limits in</w:t>
      </w:r>
      <w:r>
        <w:rPr>
          <w:rFonts w:cs="v5.0.0"/>
          <w:lang w:eastAsia="en-GB"/>
        </w:rPr>
        <w:t xml:space="preserve"> Table 6.5A.4.2.3-2</w:t>
      </w:r>
      <w:r>
        <w:rPr>
          <w:rFonts w:cs="v5.0.0"/>
          <w:snapToGrid w:val="0"/>
          <w:lang w:eastAsia="en-GB"/>
        </w:rPr>
        <w:t xml:space="preserve"> </w:t>
      </w:r>
      <w:r>
        <w:rPr>
          <w:lang w:eastAsia="en-GB"/>
        </w:rPr>
        <w:t>apply for all transmitter band configurations (RB) and channel bandwidths.</w:t>
      </w:r>
    </w:p>
    <w:p>
      <w:pPr>
        <w:pStyle w:val="113"/>
        <w:keepNext/>
        <w:keepLines/>
        <w:spacing w:before="60"/>
        <w:jc w:val="center"/>
        <w:rPr>
          <w:lang w:eastAsia="en-GB"/>
        </w:rPr>
      </w:pPr>
      <w:r>
        <w:rPr>
          <w:lang w:eastAsia="en-GB"/>
        </w:rPr>
        <w:t>Table 6.5A.4.2.3-2: Spurious emissions limits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2"/>
        <w:gridCol w:w="1522"/>
        <w:gridCol w:w="22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v5.0.0"/>
                <w:b/>
                <w:sz w:val="18"/>
              </w:rPr>
            </w:pPr>
            <w:r>
              <w:rPr>
                <w:rFonts w:ascii="Arial" w:hAnsi="Arial" w:cs="Arial"/>
                <w:b/>
                <w:sz w:val="18"/>
              </w:rPr>
              <w:t>Frequency Range</w:t>
            </w:r>
          </w:p>
        </w:tc>
        <w:tc>
          <w:tcPr>
            <w:tcW w:w="1522" w:type="dxa"/>
          </w:tcPr>
          <w:p>
            <w:pPr>
              <w:keepNext/>
              <w:keepLines/>
              <w:spacing w:after="0"/>
              <w:jc w:val="center"/>
              <w:rPr>
                <w:rFonts w:ascii="Arial" w:hAnsi="Arial" w:cs="v5.0.0"/>
                <w:b/>
                <w:sz w:val="18"/>
              </w:rPr>
            </w:pPr>
            <w:r>
              <w:rPr>
                <w:rFonts w:ascii="Arial" w:hAnsi="Arial" w:cs="Arial"/>
                <w:b/>
                <w:sz w:val="18"/>
              </w:rPr>
              <w:t>Maximum Level</w:t>
            </w:r>
          </w:p>
        </w:tc>
        <w:tc>
          <w:tcPr>
            <w:tcW w:w="2262" w:type="dxa"/>
          </w:tcPr>
          <w:p>
            <w:pPr>
              <w:keepNext/>
              <w:keepLines/>
              <w:spacing w:after="0"/>
              <w:jc w:val="center"/>
              <w:rPr>
                <w:rFonts w:ascii="Arial" w:hAnsi="Arial" w:cs="v5.0.0"/>
                <w:b/>
                <w:sz w:val="18"/>
              </w:rPr>
            </w:pPr>
            <w:r>
              <w:rPr>
                <w:rFonts w:ascii="Arial" w:hAnsi="Arial" w:cs="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9 kHz </w:t>
            </w:r>
            <w:r>
              <w:rPr>
                <w:rFonts w:ascii="Arial" w:hAnsi="Arial" w:cs="Arial"/>
                <w:sz w:val="18"/>
              </w:rPr>
              <w:sym w:font="Symbol" w:char="F0A3"/>
            </w:r>
            <w:r>
              <w:rPr>
                <w:rFonts w:ascii="Arial" w:hAnsi="Arial" w:cs="Arial"/>
                <w:sz w:val="18"/>
              </w:rPr>
              <w:t xml:space="preserve"> f &lt; 150 kHz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150 kHz </w:t>
            </w:r>
            <w:r>
              <w:rPr>
                <w:rFonts w:ascii="Arial" w:hAnsi="Arial" w:cs="Arial"/>
                <w:sz w:val="18"/>
              </w:rPr>
              <w:sym w:font="Symbol" w:char="F0A3"/>
            </w:r>
            <w:r>
              <w:rPr>
                <w:rFonts w:ascii="Arial" w:hAnsi="Arial" w:cs="Arial"/>
                <w:sz w:val="18"/>
              </w:rPr>
              <w:t xml:space="preserve"> f &lt; 30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30 MHz </w:t>
            </w:r>
            <w:r>
              <w:rPr>
                <w:rFonts w:ascii="Arial" w:hAnsi="Arial" w:cs="Arial"/>
                <w:sz w:val="18"/>
              </w:rPr>
              <w:sym w:font="Symbol" w:char="F0A3"/>
            </w:r>
            <w:r>
              <w:rPr>
                <w:rFonts w:ascii="Arial" w:hAnsi="Arial" w:cs="Arial"/>
                <w:sz w:val="18"/>
              </w:rPr>
              <w:t xml:space="preserve"> f &lt; 1000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100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52" w:type="dxa"/>
          </w:tcPr>
          <w:p>
            <w:pPr>
              <w:keepNext/>
              <w:keepLines/>
              <w:spacing w:after="0"/>
              <w:jc w:val="center"/>
              <w:rPr>
                <w:rFonts w:ascii="Arial" w:hAnsi="Arial" w:cs="Arial"/>
                <w:sz w:val="18"/>
              </w:rPr>
            </w:pPr>
            <w:r>
              <w:rPr>
                <w:rFonts w:ascii="Arial" w:hAnsi="Arial" w:cs="Arial"/>
                <w:sz w:val="18"/>
              </w:rPr>
              <w:t xml:space="preserve">1 GHz </w:t>
            </w:r>
            <w:r>
              <w:rPr>
                <w:rFonts w:ascii="Arial" w:hAnsi="Arial" w:cs="Arial"/>
                <w:sz w:val="18"/>
              </w:rPr>
              <w:sym w:font="Symbol" w:char="F0A3"/>
            </w:r>
            <w:r>
              <w:rPr>
                <w:rFonts w:ascii="Arial" w:hAnsi="Arial" w:cs="Arial"/>
                <w:sz w:val="18"/>
              </w:rPr>
              <w:t xml:space="preserve"> f &lt; 12.75 GHz</w:t>
            </w:r>
          </w:p>
        </w:tc>
        <w:tc>
          <w:tcPr>
            <w:tcW w:w="1522" w:type="dxa"/>
          </w:tcPr>
          <w:p>
            <w:pPr>
              <w:keepNext/>
              <w:keepLines/>
              <w:spacing w:after="0"/>
              <w:jc w:val="center"/>
              <w:rPr>
                <w:rFonts w:ascii="Arial" w:hAnsi="Arial" w:cs="Arial"/>
                <w:sz w:val="18"/>
              </w:rPr>
            </w:pPr>
            <w:r>
              <w:rPr>
                <w:rFonts w:ascii="Arial" w:hAnsi="Arial" w:cs="Arial"/>
                <w:sz w:val="18"/>
              </w:rPr>
              <w:t>-30 dBm</w:t>
            </w:r>
          </w:p>
        </w:tc>
        <w:tc>
          <w:tcPr>
            <w:tcW w:w="2262" w:type="dxa"/>
          </w:tcPr>
          <w:p>
            <w:pPr>
              <w:keepNext/>
              <w:keepLines/>
              <w:spacing w:after="0"/>
              <w:jc w:val="center"/>
              <w:rPr>
                <w:rFonts w:ascii="Arial" w:hAnsi="Arial" w:cs="Arial"/>
                <w:sz w:val="18"/>
              </w:rPr>
            </w:pPr>
            <w:r>
              <w:rPr>
                <w:rFonts w:ascii="Arial" w:hAnsi="Arial" w:cs="Arial"/>
                <w:sz w:val="18"/>
              </w:rPr>
              <w:t>1 MHz</w:t>
            </w:r>
          </w:p>
        </w:tc>
      </w:tr>
    </w:tbl>
    <w:p>
      <w:pPr>
        <w:rPr>
          <w:lang w:eastAsia="en-GB"/>
        </w:rPr>
      </w:pPr>
    </w:p>
    <w:p>
      <w:pPr>
        <w:rPr>
          <w:lang w:eastAsia="en-GB"/>
        </w:rPr>
      </w:pPr>
      <w:r>
        <w:rPr>
          <w:lang w:eastAsia="en-GB"/>
        </w:rPr>
        <w:t>The normative reference for this requirement is TS 36.102 [11] subclause 6.5A.4.2.</w:t>
      </w:r>
    </w:p>
    <w:p>
      <w:pPr>
        <w:pStyle w:val="9"/>
        <w:rPr>
          <w:sz w:val="22"/>
          <w:lang w:eastAsia="en-GB"/>
        </w:rPr>
      </w:pPr>
      <w:r>
        <w:rPr>
          <w:sz w:val="22"/>
          <w:lang w:eastAsia="en-GB"/>
        </w:rPr>
        <w:t>6.5A.4.2.4</w:t>
      </w:r>
      <w:r>
        <w:rPr>
          <w:sz w:val="22"/>
          <w:lang w:eastAsia="en-GB"/>
        </w:rPr>
        <w:tab/>
      </w:r>
      <w:r>
        <w:rPr>
          <w:sz w:val="22"/>
          <w:lang w:eastAsia="en-GB"/>
        </w:rPr>
        <w:t>Test description</w:t>
      </w:r>
    </w:p>
    <w:p>
      <w:pPr>
        <w:keepNext/>
        <w:keepLines/>
        <w:spacing w:before="120"/>
        <w:ind w:left="1985" w:hanging="1985"/>
        <w:rPr>
          <w:rFonts w:ascii="Arial" w:hAnsi="Arial"/>
          <w:lang w:eastAsia="en-GB"/>
        </w:rPr>
      </w:pPr>
      <w:r>
        <w:rPr>
          <w:rFonts w:ascii="Arial" w:hAnsi="Arial"/>
          <w:lang w:eastAsia="en-GB"/>
        </w:rPr>
        <w:t>6.5A.4.2.4.1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6.5A.4.2.4.1-1. The details of the uplink reference measurement channels (RMCs) are specified in Annexe A.2. </w:t>
      </w:r>
      <w:r>
        <w:rPr>
          <w:rFonts w:cs="v5.0.0"/>
          <w:lang w:eastAsia="en-GB"/>
        </w:rPr>
        <w:t>Configurations of PDSCH and MPDCCH before measurement are specified in Annex C.2.</w:t>
      </w:r>
    </w:p>
    <w:p>
      <w:pPr>
        <w:keepNext/>
        <w:keepLines/>
        <w:spacing w:before="60"/>
        <w:jc w:val="center"/>
        <w:rPr>
          <w:rFonts w:ascii="Arial" w:hAnsi="Arial"/>
          <w:b/>
          <w:lang w:eastAsia="en-GB"/>
        </w:rPr>
      </w:pPr>
      <w:r>
        <w:rPr>
          <w:rFonts w:ascii="Arial" w:hAnsi="Arial"/>
          <w:b/>
          <w:lang w:eastAsia="en-GB"/>
        </w:rPr>
        <w:t>Table 6.5A.4.2.4.1-1: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2321"/>
        <w:gridCol w:w="597"/>
        <w:gridCol w:w="1724"/>
        <w:gridCol w:w="35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87"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Channel Bandwidths</w:t>
            </w:r>
            <w:r>
              <w:rPr>
                <w:rFonts w:ascii="Arial" w:hAnsi="Arial"/>
                <w:sz w:val="18"/>
              </w:rPr>
              <w:t xml:space="preserve"> </w:t>
            </w:r>
            <w:r>
              <w:rPr>
                <w:rFonts w:ascii="Arial" w:hAnsi="Arial"/>
                <w:bCs/>
                <w:sz w:val="18"/>
              </w:rPr>
              <w:t>as specified in</w:t>
            </w:r>
          </w:p>
          <w:p>
            <w:pPr>
              <w:keepNext/>
              <w:keepLines/>
              <w:spacing w:after="0"/>
              <w:rPr>
                <w:rFonts w:ascii="Arial" w:hAnsi="Arial"/>
                <w:sz w:val="18"/>
              </w:rPr>
            </w:pPr>
            <w:r>
              <w:rPr>
                <w:rFonts w:ascii="Arial" w:hAnsi="Arial"/>
                <w:sz w:val="18"/>
              </w:rPr>
              <w:t>TS 36.508 [12] subclause 4.3.1</w:t>
            </w:r>
          </w:p>
        </w:tc>
        <w:tc>
          <w:tcPr>
            <w:tcW w:w="5839"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bCs/>
                <w:sz w:val="18"/>
              </w:rPr>
            </w:pPr>
            <w:r>
              <w:rPr>
                <w:rFonts w:ascii="Arial" w:hAnsi="Arial"/>
                <w:bCs/>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 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p>
        </w:tc>
        <w:tc>
          <w:tcPr>
            <w:tcW w:w="291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5242"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Ch BW</w:t>
            </w:r>
          </w:p>
        </w:tc>
        <w:tc>
          <w:tcPr>
            <w:tcW w:w="2918" w:type="dxa"/>
            <w:gridSpan w:val="2"/>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N/A</w:t>
            </w:r>
          </w:p>
        </w:tc>
        <w:tc>
          <w:tcPr>
            <w:tcW w:w="1724" w:type="dxa"/>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rPr>
              <w:t>Mod'n</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918" w:type="dxa"/>
            <w:gridSpan w:val="2"/>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724"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en-GB"/>
              </w:rPr>
              <w:t>1.4MHz</w:t>
            </w:r>
          </w:p>
        </w:tc>
        <w:tc>
          <w:tcPr>
            <w:tcW w:w="2918" w:type="dxa"/>
            <w:gridSpan w:val="2"/>
            <w:tcBorders>
              <w:left w:val="single" w:color="auto" w:sz="4" w:space="0"/>
              <w:right w:val="single" w:color="auto" w:sz="4" w:space="0"/>
            </w:tcBorders>
            <w:vAlign w:val="center"/>
          </w:tcPr>
          <w:p>
            <w:pPr>
              <w:keepNext/>
              <w:keepLines/>
              <w:spacing w:after="0"/>
              <w:jc w:val="center"/>
              <w:rPr>
                <w:rFonts w:ascii="Arial" w:hAnsi="Arial"/>
                <w:sz w:val="18"/>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lang w:eastAsia="en-GB"/>
              </w:rPr>
              <w:t>π/2-BPSK</w:t>
            </w:r>
          </w:p>
        </w:tc>
        <w:tc>
          <w:tcPr>
            <w:tcW w:w="3518" w:type="dxa"/>
            <w:tcBorders>
              <w:top w:val="single" w:color="auto" w:sz="4" w:space="0"/>
              <w:left w:val="single" w:color="auto" w:sz="4" w:space="0"/>
              <w:bottom w:val="single" w:color="auto" w:sz="4" w:space="0"/>
            </w:tcBorders>
          </w:tcPr>
          <w:p>
            <w:pPr>
              <w:keepNext/>
              <w:keepLines/>
              <w:spacing w:after="0"/>
              <w:jc w:val="center"/>
              <w:rPr>
                <w:rFonts w:ascii="Arial" w:hAnsi="Arial"/>
                <w:sz w:val="18"/>
              </w:rPr>
            </w:pPr>
            <w:r>
              <w:rPr>
                <w:rFonts w:ascii="Arial" w:hAnsi="Arial"/>
                <w:sz w:val="18"/>
                <w:lang w:eastAsia="en-GB"/>
              </w:rPr>
              <w:t>¼ (Note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8" w:type="dxa"/>
            <w:gridSpan w:val="2"/>
            <w:vMerge w:val="restart"/>
            <w:tcBorders>
              <w:left w:val="single" w:color="auto" w:sz="4" w:space="0"/>
              <w:right w:val="single" w:color="auto" w:sz="4" w:space="0"/>
            </w:tcBorders>
            <w:vAlign w:val="center"/>
          </w:tcPr>
          <w:p>
            <w:pPr>
              <w:keepNext/>
              <w:keepLines/>
              <w:spacing w:after="0"/>
              <w:jc w:val="center"/>
              <w:rPr>
                <w:rFonts w:ascii="Arial" w:hAnsi="Arial"/>
                <w:sz w:val="18"/>
                <w:lang w:eastAsia="en-GB"/>
              </w:rPr>
            </w:pPr>
            <w:r>
              <w:rPr>
                <w:rFonts w:ascii="Arial" w:hAnsi="Arial"/>
                <w:sz w:val="18"/>
              </w:rPr>
              <w:t>N/A</w:t>
            </w: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1.4MHz</w:t>
            </w:r>
          </w:p>
        </w:tc>
        <w:tc>
          <w:tcPr>
            <w:tcW w:w="2918" w:type="dxa"/>
            <w:gridSpan w:val="2"/>
            <w:vMerge w:val="continue"/>
            <w:tcBorders>
              <w:left w:val="single" w:color="auto" w:sz="4" w:space="0"/>
              <w:right w:val="single" w:color="auto" w:sz="4" w:space="0"/>
            </w:tcBorders>
            <w:vAlign w:val="center"/>
          </w:tcPr>
          <w:p>
            <w:pPr>
              <w:spacing w:after="0"/>
              <w:rPr>
                <w:rFonts w:ascii="Arial" w:hAnsi="Arial"/>
                <w:sz w:val="18"/>
                <w:lang w:eastAsia="en-GB"/>
              </w:rPr>
            </w:pPr>
          </w:p>
        </w:tc>
        <w:tc>
          <w:tcPr>
            <w:tcW w:w="172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351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lang w:eastAsia="en-GB"/>
              </w:rPr>
              <w:t>Note 1:</w:t>
            </w:r>
            <w:r>
              <w:rPr>
                <w:rFonts w:ascii="Arial" w:hAnsi="Arial"/>
                <w:sz w:val="18"/>
                <w:lang w:eastAsia="en-GB"/>
              </w:rPr>
              <w:tab/>
            </w:r>
            <w:r>
              <w:rPr>
                <w:rFonts w:ascii="Arial" w:hAnsi="Arial"/>
                <w:sz w:val="18"/>
                <w:lang w:eastAsia="en-GB"/>
              </w:rPr>
              <w:t>Test Channel Bandwidths are checked separately for each E-UTRA band, the applicable channel bandwidths are specified in Table 5.4.2.1-1.</w:t>
            </w:r>
          </w:p>
          <w:p>
            <w:pPr>
              <w:keepNext/>
              <w:keepLines/>
              <w:spacing w:after="0"/>
              <w:ind w:left="851" w:hanging="851"/>
              <w:rPr>
                <w:rFonts w:ascii="Arial" w:hAnsi="Arial"/>
                <w:sz w:val="18"/>
              </w:rPr>
            </w:pPr>
            <w:r>
              <w:rPr>
                <w:rFonts w:ascii="Arial" w:hAnsi="Arial"/>
                <w:sz w:val="18"/>
              </w:rPr>
              <w:t>Note 2:</w:t>
            </w:r>
            <w:r>
              <w:rPr>
                <w:rFonts w:ascii="Arial" w:hAnsi="Arial"/>
                <w:sz w:val="18"/>
              </w:rPr>
              <w:tab/>
            </w:r>
            <w:r>
              <w:rPr>
                <w:rFonts w:ascii="Arial" w:hAnsi="Arial"/>
                <w:sz w:val="18"/>
              </w:rPr>
              <w:t>The RB</w:t>
            </w:r>
            <w:r>
              <w:rPr>
                <w:rFonts w:ascii="Arial" w:hAnsi="Arial"/>
                <w:sz w:val="18"/>
                <w:vertAlign w:val="subscript"/>
              </w:rPr>
              <w:t>start</w:t>
            </w:r>
            <w:r>
              <w:rPr>
                <w:rFonts w:ascii="Arial" w:hAnsi="Arial"/>
                <w:sz w:val="18"/>
              </w:rPr>
              <w:t xml:space="preserve"> of partial RB allocation shall be RB#0 and RB# (6 - RB allocation) of the narrowband.</w:t>
            </w:r>
          </w:p>
          <w:p>
            <w:pPr>
              <w:keepNext/>
              <w:keepLines/>
              <w:spacing w:after="0"/>
              <w:ind w:left="851" w:hanging="851"/>
              <w:rPr>
                <w:rFonts w:ascii="Arial" w:hAnsi="Arial"/>
                <w:sz w:val="18"/>
              </w:rPr>
            </w:pPr>
            <w:r>
              <w:rPr>
                <w:rFonts w:ascii="Arial" w:hAnsi="Arial"/>
                <w:sz w:val="18"/>
              </w:rPr>
              <w:t>Note 3:</w:t>
            </w:r>
            <w:r>
              <w:rPr>
                <w:rFonts w:ascii="Arial" w:hAnsi="Arial"/>
                <w:sz w:val="18"/>
              </w:rPr>
              <w:tab/>
            </w:r>
            <w:r>
              <w:rPr>
                <w:rFonts w:ascii="Arial" w:hAnsi="Arial"/>
                <w:sz w:val="18"/>
              </w:rPr>
              <w:t>Only applicable for UE supporting subPRB allocation.</w:t>
            </w:r>
          </w:p>
        </w:tc>
      </w:tr>
    </w:tbl>
    <w:p>
      <w:pPr>
        <w:rPr>
          <w:lang w:eastAsia="en-GB"/>
        </w:rPr>
      </w:pPr>
    </w:p>
    <w:p>
      <w:pPr>
        <w:ind w:left="568" w:hanging="284"/>
        <w:rPr>
          <w:lang w:eastAsia="en-GB"/>
        </w:rPr>
      </w:pPr>
      <w:r>
        <w:rPr>
          <w:lang w:eastAsia="en-GB"/>
        </w:rPr>
        <w:t>1.</w:t>
      </w:r>
      <w:r>
        <w:rPr>
          <w:lang w:eastAsia="en-GB"/>
        </w:rPr>
        <w:tab/>
      </w:r>
      <w:r>
        <w:rPr>
          <w:lang w:eastAsia="en-GB"/>
        </w:rPr>
        <w:t>Connect SS to the UE antenna connectors as shown in TS 36.508[12] Annex A Figure A.7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The UL Reference Measurement channels are set according to Table 6.5A.4.2.4.1-1.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lang w:eastAsia="en-GB"/>
        </w:rPr>
        <w:t xml:space="preserve">Ensure the UE is in State 3A-RF-CE according to TS 36.508 [12] clause </w:t>
      </w:r>
      <w:r>
        <w:rPr>
          <w:rFonts w:eastAsia="MS Mincho"/>
          <w:lang w:eastAsia="en-GB"/>
        </w:rPr>
        <w:t>5.2A.2AA</w:t>
      </w:r>
      <w:r>
        <w:rPr>
          <w:lang w:eastAsia="en-GB"/>
        </w:rPr>
        <w:t>. Message contents are defined in clause 6.5A.4.2.4.3.</w:t>
      </w:r>
    </w:p>
    <w:p>
      <w:pPr>
        <w:keepNext/>
        <w:keepLines/>
        <w:spacing w:before="120"/>
        <w:ind w:left="1985" w:hanging="1985"/>
        <w:rPr>
          <w:rFonts w:ascii="Arial" w:hAnsi="Arial"/>
          <w:snapToGrid w:val="0"/>
          <w:lang w:eastAsia="en-GB"/>
        </w:rPr>
      </w:pPr>
      <w:r>
        <w:rPr>
          <w:rFonts w:ascii="Arial" w:hAnsi="Arial"/>
          <w:lang w:eastAsia="en-GB"/>
        </w:rPr>
        <w:t>6.5A.4.2.4.2</w:t>
      </w:r>
      <w:r>
        <w:rPr>
          <w:rFonts w:ascii="Arial" w:hAnsi="Arial"/>
          <w:lang w:eastAsia="en-GB"/>
        </w:rPr>
        <w:tab/>
      </w:r>
      <w:r>
        <w:rPr>
          <w:rFonts w:ascii="Arial" w:hAnsi="Arial"/>
          <w:snapToGrid w:val="0"/>
          <w:lang w:eastAsia="en-GB"/>
        </w:rPr>
        <w:t>Test procedure</w:t>
      </w:r>
    </w:p>
    <w:p>
      <w:pPr>
        <w:ind w:left="568" w:hanging="284"/>
        <w:rPr>
          <w:lang w:eastAsia="en-GB"/>
        </w:rPr>
      </w:pPr>
      <w:r>
        <w:rPr>
          <w:lang w:eastAsia="en-GB"/>
        </w:rPr>
        <w:t>1.</w:t>
      </w:r>
      <w:r>
        <w:rPr>
          <w:lang w:eastAsia="en-GB"/>
        </w:rPr>
        <w:tab/>
      </w:r>
      <w:r>
        <w:rPr>
          <w:lang w:eastAsia="en-GB"/>
        </w:rPr>
        <w:t>SS sends uplink scheduling information for each UL HARQ process via MPDCCH DCI format 6-0A for C_RNTI to schedule the UL RMC according to Table 6.5A.4.2.4.1-1. Since the UE has no payload data</w:t>
      </w:r>
      <w:r>
        <w:rPr>
          <w:color w:val="FFFF00"/>
          <w:lang w:eastAsia="en-GB"/>
        </w:rPr>
        <w:t xml:space="preserve"> </w:t>
      </w:r>
      <w:r>
        <w:rPr>
          <w:lang w:eastAsia="en-GB"/>
        </w:rPr>
        <w:t>to send, the UE transmits uplink MAC padding bits on the UL RMC.</w:t>
      </w:r>
    </w:p>
    <w:p>
      <w:pPr>
        <w:ind w:left="568" w:hanging="284"/>
        <w:rPr>
          <w:lang w:eastAsia="en-GB"/>
        </w:rPr>
      </w:pPr>
      <w:r>
        <w:rPr>
          <w:lang w:eastAsia="en-GB"/>
        </w:rPr>
        <w:t>2.</w:t>
      </w:r>
      <w:r>
        <w:rPr>
          <w:lang w:eastAsia="en-GB"/>
        </w:rPr>
        <w:tab/>
      </w:r>
      <w:r>
        <w:rPr>
          <w:lang w:eastAsia="en-GB"/>
        </w:rPr>
        <w:t xml:space="preserve">Send continuously uplink power control "up" commands </w:t>
      </w:r>
      <w:r>
        <w:rPr>
          <w:rFonts w:eastAsia="MS Mincho"/>
          <w:lang w:eastAsia="en-GB"/>
        </w:rPr>
        <w:t xml:space="preserve">in the uplink scheduling information </w:t>
      </w:r>
      <w:r>
        <w:rPr>
          <w:lang w:eastAsia="en-GB"/>
        </w:rPr>
        <w:t>to the UE until the UE transmits at P</w:t>
      </w:r>
      <w:r>
        <w:rPr>
          <w:vertAlign w:val="subscript"/>
          <w:lang w:eastAsia="en-GB"/>
        </w:rPr>
        <w:t>UMAX</w:t>
      </w:r>
      <w:r>
        <w:rPr>
          <w:lang w:eastAsia="en-GB"/>
        </w:rPr>
        <w:t xml:space="preserve"> level.</w:t>
      </w:r>
    </w:p>
    <w:p>
      <w:pPr>
        <w:ind w:left="568" w:hanging="284"/>
        <w:rPr>
          <w:lang w:eastAsia="en-GB"/>
        </w:rPr>
      </w:pPr>
      <w:r>
        <w:rPr>
          <w:lang w:eastAsia="en-GB"/>
        </w:rPr>
        <w:t>3.</w:t>
      </w:r>
      <w:r>
        <w:rPr>
          <w:lang w:eastAsia="en-GB"/>
        </w:rPr>
        <w:tab/>
      </w:r>
      <w:r>
        <w:rPr>
          <w:lang w:eastAsia="en-GB"/>
        </w:rPr>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Pr>
          <w:rFonts w:eastAsia="MS Mincho"/>
          <w:lang w:eastAsia="en-GB"/>
        </w:rPr>
        <w:t>time slot</w:t>
      </w:r>
      <w:r>
        <w:rPr>
          <w:lang w:eastAsia="en-GB"/>
        </w:rPr>
        <w:t>s. During measurement the spectrum analyser shall be set to 'Detector' = RMS.</w:t>
      </w:r>
    </w:p>
    <w:p>
      <w:pPr>
        <w:keepNext/>
        <w:keepLines/>
        <w:spacing w:before="120"/>
        <w:ind w:left="1985" w:hanging="1985"/>
        <w:rPr>
          <w:rFonts w:ascii="Arial" w:hAnsi="Arial"/>
          <w:snapToGrid w:val="0"/>
          <w:lang w:eastAsia="en-GB"/>
        </w:rPr>
      </w:pPr>
      <w:r>
        <w:rPr>
          <w:rFonts w:ascii="Arial" w:hAnsi="Arial"/>
          <w:lang w:eastAsia="en-GB"/>
        </w:rPr>
        <w:t>6.5A.4.2.4.3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4.6 with the condition CEmodeA.</w:t>
      </w:r>
    </w:p>
    <w:p>
      <w:pPr>
        <w:pStyle w:val="9"/>
        <w:rPr>
          <w:sz w:val="22"/>
          <w:lang w:eastAsia="en-GB"/>
        </w:rPr>
      </w:pPr>
      <w:r>
        <w:rPr>
          <w:snapToGrid w:val="0"/>
          <w:sz w:val="22"/>
          <w:lang w:eastAsia="en-GB"/>
        </w:rPr>
        <w:t>6.5A.4.2.5</w:t>
      </w:r>
      <w:r>
        <w:rPr>
          <w:snapToGrid w:val="0"/>
          <w:sz w:val="22"/>
          <w:lang w:eastAsia="en-GB"/>
        </w:rPr>
        <w:tab/>
      </w:r>
      <w:r>
        <w:rPr>
          <w:sz w:val="22"/>
          <w:lang w:eastAsia="en-GB"/>
        </w:rPr>
        <w:t>Test requirement</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in table</w:t>
      </w:r>
      <w:r>
        <w:rPr>
          <w:lang w:eastAsia="en-GB"/>
        </w:rPr>
        <w:t xml:space="preserve"> 6.5A.4.2.5-1</w:t>
      </w:r>
      <w:r>
        <w:rPr>
          <w:rFonts w:eastAsia="MS Mincho"/>
          <w:lang w:eastAsia="en-GB"/>
        </w:rPr>
        <w:t>.</w:t>
      </w:r>
    </w:p>
    <w:p>
      <w:pPr>
        <w:rPr>
          <w:lang w:eastAsia="en-GB"/>
        </w:rPr>
      </w:pPr>
      <w:r>
        <w:rPr>
          <w:lang w:eastAsia="en-GB"/>
        </w:rPr>
        <w:t xml:space="preserve">The measured average power of spurious emission, derived in step </w:t>
      </w:r>
      <w:r>
        <w:rPr>
          <w:rFonts w:eastAsia="MS Mincho"/>
          <w:lang w:eastAsia="en-GB"/>
        </w:rPr>
        <w:t>3</w:t>
      </w:r>
      <w:r>
        <w:rPr>
          <w:lang w:eastAsia="en-GB"/>
        </w:rPr>
        <w:t>, shall not exceed the described value in Table 6.5A.4.2.5-1.</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 shown in Table 6.5A.4.2.3-1.</w:t>
      </w:r>
    </w:p>
    <w:p>
      <w:pPr>
        <w:keepLines/>
        <w:ind w:left="1135" w:hanging="851"/>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113"/>
        <w:keepNext/>
        <w:keepLines/>
        <w:spacing w:before="60"/>
        <w:jc w:val="center"/>
        <w:rPr>
          <w:lang w:eastAsia="en-GB"/>
        </w:rPr>
      </w:pPr>
      <w:r>
        <w:rPr>
          <w:lang w:eastAsia="en-GB"/>
        </w:rPr>
        <w:t>Table 6.5A.4.2.5-1: General spurious emissions test requirements</w:t>
      </w:r>
    </w:p>
    <w:tbl>
      <w:tblPr>
        <w:tblStyle w:val="89"/>
        <w:tblW w:w="0" w:type="auto"/>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2009"/>
        <w:gridCol w:w="2318"/>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b/>
                <w:sz w:val="18"/>
              </w:rPr>
            </w:pPr>
            <w:r>
              <w:rPr>
                <w:rFonts w:ascii="Arial" w:hAnsi="Arial"/>
                <w:b/>
                <w:sz w:val="18"/>
              </w:rPr>
              <w:t>Frequency Range</w:t>
            </w:r>
          </w:p>
        </w:tc>
        <w:tc>
          <w:tcPr>
            <w:tcW w:w="2009" w:type="dxa"/>
          </w:tcPr>
          <w:p>
            <w:pPr>
              <w:keepNext/>
              <w:keepLines/>
              <w:spacing w:after="0"/>
              <w:jc w:val="center"/>
              <w:rPr>
                <w:rFonts w:ascii="Arial" w:hAnsi="Arial"/>
                <w:b/>
                <w:sz w:val="18"/>
              </w:rPr>
            </w:pPr>
            <w:r>
              <w:rPr>
                <w:rFonts w:ascii="Arial" w:hAnsi="Arial"/>
                <w:b/>
                <w:sz w:val="18"/>
              </w:rPr>
              <w:t>Maximum</w:t>
            </w:r>
            <w:r>
              <w:rPr>
                <w:rFonts w:ascii="Arial" w:hAnsi="Arial"/>
                <w:b/>
                <w:sz w:val="18"/>
              </w:rPr>
              <w:br w:type="textWrapping"/>
            </w:r>
            <w:r>
              <w:rPr>
                <w:rFonts w:ascii="Arial" w:hAnsi="Arial"/>
                <w:b/>
                <w:sz w:val="18"/>
              </w:rPr>
              <w:t>Level</w:t>
            </w:r>
          </w:p>
        </w:tc>
        <w:tc>
          <w:tcPr>
            <w:tcW w:w="2318" w:type="dxa"/>
          </w:tcPr>
          <w:p>
            <w:pPr>
              <w:keepNext/>
              <w:keepLines/>
              <w:spacing w:after="0"/>
              <w:jc w:val="center"/>
              <w:rPr>
                <w:rFonts w:ascii="Arial" w:hAnsi="Arial"/>
                <w:b/>
                <w:sz w:val="18"/>
              </w:rPr>
            </w:pPr>
            <w:r>
              <w:rPr>
                <w:rFonts w:ascii="Arial" w:hAnsi="Arial"/>
                <w:b/>
                <w:sz w:val="18"/>
              </w:rPr>
              <w:t>Measurement</w:t>
            </w:r>
            <w:r>
              <w:rPr>
                <w:rFonts w:ascii="Arial" w:hAnsi="Arial"/>
                <w:b/>
                <w:sz w:val="18"/>
              </w:rPr>
              <w:br w:type="textWrapping"/>
            </w:r>
            <w:r>
              <w:rPr>
                <w:rFonts w:ascii="Arial" w:hAnsi="Arial"/>
                <w:b/>
                <w:sz w:val="18"/>
              </w:rPr>
              <w:t>Bandwidth</w:t>
            </w:r>
          </w:p>
        </w:tc>
        <w:tc>
          <w:tcPr>
            <w:tcW w:w="1314" w:type="dxa"/>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sz w:val="18"/>
              </w:rPr>
            </w:pPr>
            <w:r>
              <w:rPr>
                <w:rFonts w:ascii="Arial" w:hAnsi="Arial"/>
                <w:sz w:val="18"/>
              </w:rPr>
              <w:t xml:space="preserve">9 kHz </w:t>
            </w:r>
            <w:r>
              <w:rPr>
                <w:rFonts w:ascii="Arial" w:hAnsi="Arial"/>
                <w:sz w:val="18"/>
              </w:rPr>
              <w:sym w:font="Symbol" w:char="F0A3"/>
            </w:r>
            <w:r>
              <w:rPr>
                <w:rFonts w:ascii="Arial" w:hAnsi="Arial"/>
                <w:sz w:val="18"/>
              </w:rPr>
              <w:t xml:space="preserve"> f &lt; 150 kHz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sz w:val="18"/>
              </w:rPr>
            </w:pPr>
            <w:r>
              <w:rPr>
                <w:rFonts w:ascii="Arial" w:hAnsi="Arial"/>
                <w:sz w:val="18"/>
              </w:rPr>
              <w:t xml:space="preserve">150 kHz </w:t>
            </w:r>
            <w:r>
              <w:rPr>
                <w:rFonts w:ascii="Arial" w:hAnsi="Arial"/>
                <w:sz w:val="18"/>
              </w:rPr>
              <w:sym w:font="Symbol" w:char="F0A3"/>
            </w:r>
            <w:r>
              <w:rPr>
                <w:rFonts w:ascii="Arial" w:hAnsi="Arial"/>
                <w:sz w:val="18"/>
              </w:rPr>
              <w:t xml:space="preserve"> f &lt; 30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10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sz w:val="18"/>
              </w:rPr>
            </w:pPr>
            <w:r>
              <w:rPr>
                <w:rFonts w:ascii="Arial" w:hAnsi="Arial"/>
                <w:sz w:val="18"/>
              </w:rPr>
              <w:t xml:space="preserve">30 MHz </w:t>
            </w:r>
            <w:r>
              <w:rPr>
                <w:rFonts w:ascii="Arial" w:hAnsi="Arial"/>
                <w:sz w:val="18"/>
              </w:rPr>
              <w:sym w:font="Symbol" w:char="F0A3"/>
            </w:r>
            <w:r>
              <w:rPr>
                <w:rFonts w:ascii="Arial" w:hAnsi="Arial"/>
                <w:sz w:val="18"/>
              </w:rPr>
              <w:t xml:space="preserve"> f &lt; 1000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100 kHz</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sz w:val="18"/>
              </w:rPr>
            </w:pPr>
            <w:r>
              <w:rPr>
                <w:rFonts w:ascii="Arial" w:hAnsi="Arial"/>
                <w:sz w:val="18"/>
              </w:rPr>
              <w:t xml:space="preserve">1 GHz </w:t>
            </w:r>
            <w:r>
              <w:rPr>
                <w:rFonts w:ascii="Arial" w:hAnsi="Arial"/>
                <w:sz w:val="18"/>
              </w:rPr>
              <w:sym w:font="Symbol" w:char="F0A3"/>
            </w:r>
            <w:r>
              <w:rPr>
                <w:rFonts w:ascii="Arial" w:hAnsi="Arial"/>
                <w:sz w:val="18"/>
              </w:rPr>
              <w:t xml:space="preserve"> f &lt; 12.75 GHz</w:t>
            </w:r>
          </w:p>
        </w:tc>
        <w:tc>
          <w:tcPr>
            <w:tcW w:w="2009" w:type="dxa"/>
          </w:tcPr>
          <w:p>
            <w:pPr>
              <w:keepNext/>
              <w:keepLines/>
              <w:spacing w:after="0"/>
              <w:jc w:val="center"/>
              <w:rPr>
                <w:rFonts w:ascii="Arial" w:hAnsi="Arial"/>
                <w:sz w:val="18"/>
              </w:rPr>
            </w:pPr>
            <w:r>
              <w:rPr>
                <w:rFonts w:ascii="Arial" w:hAnsi="Arial"/>
                <w:sz w:val="18"/>
              </w:rPr>
              <w:t>-30 dBm</w:t>
            </w:r>
          </w:p>
        </w:tc>
        <w:tc>
          <w:tcPr>
            <w:tcW w:w="2318" w:type="dxa"/>
          </w:tcPr>
          <w:p>
            <w:pPr>
              <w:keepNext/>
              <w:keepLines/>
              <w:spacing w:after="0"/>
              <w:jc w:val="center"/>
              <w:rPr>
                <w:rFonts w:ascii="Arial" w:hAnsi="Arial"/>
                <w:sz w:val="18"/>
              </w:rPr>
            </w:pPr>
            <w:r>
              <w:rPr>
                <w:rFonts w:ascii="Arial" w:hAnsi="Arial"/>
                <w:sz w:val="18"/>
              </w:rPr>
              <w:t>1 MHz</w:t>
            </w:r>
          </w:p>
        </w:tc>
        <w:tc>
          <w:tcPr>
            <w:tcW w:w="1314" w:type="dxa"/>
          </w:tcPr>
          <w:p>
            <w:pPr>
              <w:keepNext/>
              <w:keepLines/>
              <w:spacing w:after="0"/>
              <w:jc w:val="center"/>
              <w:rPr>
                <w:rFonts w:ascii="Arial" w:hAnsi="Arial"/>
                <w:sz w:val="18"/>
              </w:rPr>
            </w:pPr>
          </w:p>
        </w:tc>
      </w:tr>
    </w:tbl>
    <w:p>
      <w:pPr>
        <w:rPr>
          <w:rFonts w:eastAsia="宋体"/>
        </w:rPr>
      </w:pPr>
    </w:p>
    <w:p>
      <w:pPr>
        <w:pStyle w:val="6"/>
      </w:pPr>
      <w:bookmarkStart w:id="503" w:name="_Toc28471"/>
      <w:bookmarkStart w:id="504" w:name="_Toc121162856"/>
      <w:bookmarkStart w:id="505" w:name="_Toc12921"/>
      <w:bookmarkStart w:id="506" w:name="_Toc120570064"/>
      <w:bookmarkStart w:id="507" w:name="_Toc9260"/>
      <w:r>
        <w:t>6.5A.4.3</w:t>
      </w:r>
      <w:r>
        <w:tab/>
      </w:r>
      <w:r>
        <w:t>Spurious emission band UE co-existence</w:t>
      </w:r>
      <w:bookmarkEnd w:id="503"/>
      <w:bookmarkEnd w:id="504"/>
      <w:bookmarkEnd w:id="505"/>
      <w:bookmarkEnd w:id="506"/>
      <w:bookmarkEnd w:id="507"/>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Message exceptions specific to satellite access is TBD</w:t>
      </w:r>
    </w:p>
    <w:p>
      <w:pPr>
        <w:pStyle w:val="112"/>
        <w:rPr>
          <w:i/>
        </w:rPr>
      </w:pPr>
      <w:r>
        <w:rPr>
          <w:i/>
        </w:rPr>
        <w:t>- Test Points analysis is TBD</w:t>
      </w:r>
    </w:p>
    <w:p>
      <w:pPr>
        <w:pStyle w:val="112"/>
        <w:rPr>
          <w:i/>
        </w:rPr>
      </w:pPr>
      <w:r>
        <w:rPr>
          <w:i/>
        </w:rPr>
        <w:t>- Test configuration is TBD</w:t>
      </w:r>
    </w:p>
    <w:p>
      <w:pPr>
        <w:pStyle w:val="112"/>
        <w:rPr>
          <w:i/>
          <w:lang w:eastAsia="zh-TW"/>
        </w:rPr>
      </w:pPr>
      <w:r>
        <w:rPr>
          <w:i/>
        </w:rPr>
        <w:t>- Annex F MU/TT is TBD</w:t>
      </w:r>
    </w:p>
    <w:p/>
    <w:p>
      <w:pPr>
        <w:pStyle w:val="9"/>
      </w:pPr>
      <w:r>
        <w:t>6.5A.4.3.1</w:t>
      </w:r>
      <w:r>
        <w:tab/>
      </w:r>
      <w:r>
        <w:t>Test purpose</w:t>
      </w:r>
    </w:p>
    <w:p>
      <w:r>
        <w:t>To verify that UE transmitter does not cause unacceptable interference to co-existing systems for the specified bands which has specific requirements in terms of transmitter spurious emissions.</w:t>
      </w:r>
    </w:p>
    <w:p>
      <w:pPr>
        <w:pStyle w:val="9"/>
      </w:pPr>
      <w:r>
        <w:t>6.5A.4.3.2</w:t>
      </w:r>
      <w:r>
        <w:tab/>
      </w:r>
      <w:r>
        <w:t>Test applicability</w:t>
      </w:r>
    </w:p>
    <w:p>
      <w:r>
        <w:t>This test case applies to all types of E-UTRA UE release 17 and forward of UE category M1 that support satellite access operation.</w:t>
      </w:r>
    </w:p>
    <w:p>
      <w:pPr>
        <w:pStyle w:val="9"/>
      </w:pPr>
      <w:r>
        <w:t>6.5A.4.3.3</w:t>
      </w:r>
      <w:r>
        <w:tab/>
      </w:r>
      <w:r>
        <w:t>Minimum conformance requirements</w:t>
      </w:r>
    </w:p>
    <w:p>
      <w:r>
        <w:t xml:space="preserve">This clause specifies the requirements for </w:t>
      </w:r>
      <w:r>
        <w:rPr>
          <w:lang w:val="en-US"/>
        </w:rPr>
        <w:t>E-UTRA</w:t>
      </w:r>
      <w:r>
        <w:t xml:space="preserve"> satellite bands for UE coexistence with protected bands.</w:t>
      </w:r>
    </w:p>
    <w:p>
      <w:pPr>
        <w:pStyle w:val="113"/>
      </w:pPr>
      <w:r>
        <w:t>Table 6.</w:t>
      </w:r>
      <w:r>
        <w:rPr>
          <w:lang w:val="en-US"/>
        </w:rPr>
        <w:t>5A</w:t>
      </w:r>
      <w:r>
        <w:t>.</w:t>
      </w:r>
      <w:r>
        <w:rPr>
          <w:lang w:val="en-US"/>
        </w:rPr>
        <w:t>4</w:t>
      </w:r>
      <w:r>
        <w:t>.3.3-1: Requirements for spurious emissions for UE co-existence</w:t>
      </w:r>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960" w:type="dxa"/>
            <w:vMerge w:val="restart"/>
            <w:tcBorders>
              <w:top w:val="single" w:color="auto" w:sz="4" w:space="0"/>
              <w:left w:val="single" w:color="auto" w:sz="4" w:space="0"/>
              <w:bottom w:val="single" w:color="auto" w:sz="6" w:space="0"/>
              <w:right w:val="single" w:color="auto" w:sz="6" w:space="0"/>
            </w:tcBorders>
            <w:vAlign w:val="center"/>
          </w:tcPr>
          <w:p>
            <w:pPr>
              <w:pStyle w:val="104"/>
              <w:rPr>
                <w:rFonts w:cs="Arial"/>
              </w:rPr>
            </w:pPr>
            <w:r>
              <w:rPr>
                <w:rFonts w:cs="Arial"/>
              </w:rPr>
              <w:t>E-UTRA Band</w:t>
            </w:r>
          </w:p>
        </w:tc>
        <w:tc>
          <w:tcPr>
            <w:tcW w:w="7986" w:type="dxa"/>
            <w:gridSpan w:val="7"/>
            <w:tcBorders>
              <w:top w:val="single" w:color="auto" w:sz="4" w:space="0"/>
              <w:left w:val="single" w:color="auto" w:sz="6" w:space="0"/>
              <w:bottom w:val="single" w:color="auto" w:sz="6" w:space="0"/>
              <w:right w:val="single" w:color="auto" w:sz="4" w:space="0"/>
            </w:tcBorders>
          </w:tcPr>
          <w:p>
            <w:pPr>
              <w:pStyle w:val="104"/>
              <w:rPr>
                <w:rFonts w:cs="Arial"/>
              </w:rPr>
            </w:pPr>
            <w:r>
              <w:rPr>
                <w:rFonts w:cs="Arial"/>
              </w:rPr>
              <w:t xml:space="preserve">Spurious emission </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cs="Arial"/>
                <w:b/>
                <w:sz w:val="18"/>
              </w:rPr>
            </w:pPr>
          </w:p>
        </w:tc>
        <w:tc>
          <w:tcPr>
            <w:tcW w:w="3166"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Protected band</w:t>
            </w:r>
          </w:p>
        </w:tc>
        <w:tc>
          <w:tcPr>
            <w:tcW w:w="1906" w:type="dxa"/>
            <w:gridSpan w:val="3"/>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Frequency range (MHz)</w:t>
            </w:r>
          </w:p>
        </w:tc>
        <w:tc>
          <w:tcPr>
            <w:tcW w:w="1134"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Maximum Level (dBm)</w:t>
            </w:r>
          </w:p>
        </w:tc>
        <w:tc>
          <w:tcPr>
            <w:tcW w:w="851" w:type="dxa"/>
            <w:tcBorders>
              <w:top w:val="single" w:color="auto" w:sz="6" w:space="0"/>
              <w:left w:val="single" w:color="auto" w:sz="6" w:space="0"/>
              <w:bottom w:val="single" w:color="auto" w:sz="6" w:space="0"/>
              <w:right w:val="single" w:color="auto" w:sz="6" w:space="0"/>
            </w:tcBorders>
          </w:tcPr>
          <w:p>
            <w:pPr>
              <w:pStyle w:val="104"/>
              <w:rPr>
                <w:rFonts w:cs="Arial"/>
              </w:rPr>
            </w:pPr>
            <w:r>
              <w:rPr>
                <w:rFonts w:cs="Arial"/>
              </w:rPr>
              <w:t>MBW (MHz)</w:t>
            </w:r>
          </w:p>
        </w:tc>
        <w:tc>
          <w:tcPr>
            <w:tcW w:w="929" w:type="dxa"/>
            <w:tcBorders>
              <w:top w:val="single" w:color="auto" w:sz="6" w:space="0"/>
              <w:left w:val="single" w:color="auto" w:sz="6" w:space="0"/>
              <w:bottom w:val="single" w:color="auto" w:sz="6" w:space="0"/>
              <w:right w:val="single" w:color="auto" w:sz="4" w:space="0"/>
            </w:tcBorders>
            <w:noWrap/>
          </w:tcPr>
          <w:p>
            <w:pPr>
              <w:pStyle w:val="104"/>
              <w:rPr>
                <w:rFonts w:cs="Arial"/>
              </w:rPr>
            </w:pPr>
            <w:r>
              <w:rPr>
                <w:rFonts w:cs="Arial"/>
              </w:rPr>
              <w:t>NOTE</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rFonts w:cs="Arial"/>
                <w:sz w:val="16"/>
                <w:szCs w:val="16"/>
                <w:lang w:val="en-US"/>
              </w:rPr>
            </w:pPr>
            <w:r>
              <w:rPr>
                <w:rFonts w:cs="Arial"/>
                <w:sz w:val="16"/>
                <w:szCs w:val="16"/>
                <w:lang w:val="en-US"/>
              </w:rPr>
              <w:t>255</w:t>
            </w: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lang w:eastAsia="ja-JP"/>
              </w:rPr>
            </w:pPr>
            <w:r>
              <w:rPr>
                <w:rFonts w:cs="Arial"/>
                <w:sz w:val="16"/>
                <w:szCs w:val="16"/>
              </w:rPr>
              <w:t xml:space="preserve">E-UTRA Band 2, 4, 5, 12, 13, 14, 17, 24, 25, 26, 29, 30, 41, </w:t>
            </w:r>
            <w:r>
              <w:rPr>
                <w:rFonts w:cs="Arial"/>
                <w:sz w:val="16"/>
                <w:szCs w:val="16"/>
                <w:lang w:eastAsia="ja-JP"/>
              </w:rPr>
              <w:t xml:space="preserve">48, </w:t>
            </w:r>
            <w:r>
              <w:rPr>
                <w:rFonts w:cs="Arial"/>
                <w:sz w:val="16"/>
                <w:szCs w:val="16"/>
              </w:rPr>
              <w:t>66, 70, 71, 85</w:t>
            </w:r>
            <w:r>
              <w:rPr>
                <w:rFonts w:cs="Arial"/>
                <w:sz w:val="16"/>
                <w:szCs w:val="16"/>
                <w:lang w:eastAsia="ja-JP"/>
              </w:rPr>
              <w:t>, 103</w:t>
            </w:r>
          </w:p>
          <w:p>
            <w:pPr>
              <w:pStyle w:val="103"/>
              <w:rPr>
                <w:rFonts w:cs="Arial"/>
                <w:sz w:val="16"/>
                <w:szCs w:val="16"/>
              </w:rPr>
            </w:pPr>
            <w:r>
              <w:rPr>
                <w:rFonts w:cs="Arial"/>
                <w:sz w:val="16"/>
                <w:szCs w:val="16"/>
                <w:lang w:val="sv-FI"/>
              </w:rPr>
              <w:t>NR Band n1, n3, n7, n8, n18, n20, n28, n34, n38, n39, n40, n50, n51, n53, n65, n67, n74, n75, n76, n90, n91, n92, n93, n94</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lang w:val="sv-FI"/>
              </w:rPr>
              <w:t>NR Band n77, n78, n79</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r>
              <w:rPr>
                <w:rFonts w:cs="Arial"/>
                <w:sz w:val="16"/>
                <w:szCs w:val="16"/>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pStyle w:val="105"/>
              <w:rPr>
                <w:rFonts w:cs="Arial"/>
                <w:sz w:val="16"/>
                <w:szCs w:val="16"/>
                <w:lang w:val="en-US"/>
              </w:rPr>
            </w:pPr>
            <w:r>
              <w:rPr>
                <w:rFonts w:cs="Arial"/>
                <w:sz w:val="16"/>
                <w:szCs w:val="16"/>
                <w:lang w:val="en-US"/>
              </w:rPr>
              <w:t>256</w:t>
            </w: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lang w:val="sv-FI"/>
              </w:rPr>
            </w:pPr>
            <w:r>
              <w:rPr>
                <w:rFonts w:cs="Arial"/>
                <w:sz w:val="16"/>
                <w:szCs w:val="16"/>
                <w:lang w:val="sv-FI"/>
              </w:rPr>
              <w:t xml:space="preserve">E-UTRA Band 1, 3, </w:t>
            </w:r>
            <w:r>
              <w:rPr>
                <w:rFonts w:cs="Arial"/>
                <w:sz w:val="16"/>
                <w:szCs w:val="16"/>
                <w:lang w:val="en-US"/>
              </w:rPr>
              <w:t>5,</w:t>
            </w:r>
            <w:r>
              <w:rPr>
                <w:rFonts w:cs="Arial"/>
                <w:sz w:val="16"/>
                <w:szCs w:val="16"/>
                <w:lang w:val="sv-FI"/>
              </w:rPr>
              <w:t>7, 8,</w:t>
            </w:r>
            <w:r>
              <w:rPr>
                <w:rFonts w:cs="Arial"/>
                <w:sz w:val="16"/>
                <w:szCs w:val="16"/>
                <w:lang w:val="en-US"/>
              </w:rPr>
              <w:t xml:space="preserve"> 11, 18, 19,</w:t>
            </w:r>
            <w:r>
              <w:rPr>
                <w:rFonts w:cs="Arial"/>
                <w:sz w:val="16"/>
                <w:szCs w:val="16"/>
                <w:lang w:val="sv-FI"/>
              </w:rPr>
              <w:t xml:space="preserve"> 20, </w:t>
            </w:r>
            <w:r>
              <w:rPr>
                <w:rFonts w:cs="Arial"/>
                <w:sz w:val="16"/>
                <w:szCs w:val="16"/>
                <w:lang w:val="en-US"/>
              </w:rPr>
              <w:t xml:space="preserve">21, </w:t>
            </w:r>
            <w:r>
              <w:rPr>
                <w:rFonts w:cs="Arial"/>
                <w:sz w:val="16"/>
                <w:szCs w:val="16"/>
                <w:lang w:val="sv-FI"/>
              </w:rPr>
              <w:t xml:space="preserve">22, </w:t>
            </w:r>
            <w:r>
              <w:rPr>
                <w:rFonts w:cs="Arial"/>
                <w:sz w:val="16"/>
                <w:szCs w:val="16"/>
                <w:lang w:val="en-US"/>
              </w:rPr>
              <w:t xml:space="preserve">26, 27, </w:t>
            </w:r>
            <w:r>
              <w:rPr>
                <w:rFonts w:cs="Arial"/>
                <w:sz w:val="16"/>
                <w:szCs w:val="16"/>
                <w:lang w:val="sv-FI"/>
              </w:rPr>
              <w:t xml:space="preserve">28, 31, </w:t>
            </w:r>
            <w:r>
              <w:rPr>
                <w:rFonts w:cs="Arial"/>
                <w:sz w:val="16"/>
                <w:szCs w:val="16"/>
                <w:lang w:val="en-US"/>
              </w:rPr>
              <w:t xml:space="preserve">33, </w:t>
            </w:r>
            <w:r>
              <w:rPr>
                <w:rFonts w:cs="Arial"/>
                <w:sz w:val="16"/>
                <w:szCs w:val="16"/>
                <w:lang w:val="sv-FI"/>
              </w:rPr>
              <w:t xml:space="preserve">32, </w:t>
            </w:r>
            <w:r>
              <w:rPr>
                <w:rFonts w:cs="Arial"/>
                <w:sz w:val="16"/>
                <w:szCs w:val="16"/>
                <w:lang w:val="en-US"/>
              </w:rPr>
              <w:t xml:space="preserve">35, </w:t>
            </w:r>
            <w:r>
              <w:rPr>
                <w:rFonts w:cs="Arial"/>
                <w:sz w:val="16"/>
                <w:szCs w:val="16"/>
                <w:lang w:val="sv-FI"/>
              </w:rPr>
              <w:t>38, 40,</w:t>
            </w:r>
            <w:r>
              <w:rPr>
                <w:rFonts w:cs="Arial"/>
                <w:sz w:val="16"/>
                <w:szCs w:val="16"/>
                <w:lang w:val="en-US"/>
              </w:rPr>
              <w:t xml:space="preserve"> 41,</w:t>
            </w:r>
            <w:r>
              <w:rPr>
                <w:rFonts w:cs="Arial"/>
                <w:sz w:val="16"/>
                <w:szCs w:val="16"/>
                <w:lang w:val="sv-FI"/>
              </w:rPr>
              <w:t xml:space="preserve"> 42, 43, 50, 51</w:t>
            </w:r>
            <w:r>
              <w:rPr>
                <w:rFonts w:cs="Arial"/>
                <w:sz w:val="16"/>
                <w:szCs w:val="16"/>
                <w:lang w:val="en-US"/>
              </w:rPr>
              <w:t xml:space="preserve">, 54, </w:t>
            </w:r>
            <w:r>
              <w:rPr>
                <w:rFonts w:cs="Arial"/>
                <w:sz w:val="16"/>
                <w:szCs w:val="16"/>
                <w:lang w:val="sv-FI"/>
              </w:rPr>
              <w:t>65, 68, 69, 72</w:t>
            </w:r>
            <w:r>
              <w:rPr>
                <w:rFonts w:cs="Arial"/>
                <w:sz w:val="16"/>
                <w:szCs w:val="16"/>
                <w:lang w:val="sv-FI" w:eastAsia="ja-JP"/>
              </w:rPr>
              <w:t>, 74</w:t>
            </w:r>
            <w:r>
              <w:rPr>
                <w:rFonts w:cs="Arial"/>
                <w:sz w:val="16"/>
                <w:szCs w:val="16"/>
                <w:lang w:val="sv-FI"/>
              </w:rPr>
              <w:t>, 75, 76</w:t>
            </w:r>
            <w:r>
              <w:rPr>
                <w:rFonts w:cs="Arial"/>
                <w:sz w:val="16"/>
                <w:szCs w:val="16"/>
                <w:lang w:val="de-DE"/>
              </w:rPr>
              <w:t>, 87, 88</w:t>
            </w:r>
          </w:p>
          <w:p>
            <w:pPr>
              <w:pStyle w:val="103"/>
              <w:rPr>
                <w:rFonts w:cs="Arial"/>
                <w:sz w:val="16"/>
                <w:szCs w:val="16"/>
                <w:lang w:val="sv-FI"/>
              </w:rPr>
            </w:pPr>
            <w:r>
              <w:rPr>
                <w:rFonts w:cs="Arial"/>
                <w:sz w:val="16"/>
                <w:szCs w:val="16"/>
                <w:lang w:val="sv-FI"/>
              </w:rPr>
              <w:t>NR Band n12, n13, n14, n24, n29, n30,  n39,</w:t>
            </w:r>
            <w:r>
              <w:rPr>
                <w:rFonts w:cs="Arial"/>
                <w:sz w:val="16"/>
                <w:szCs w:val="16"/>
                <w:lang w:val="en-US"/>
              </w:rPr>
              <w:t xml:space="preserve"> </w:t>
            </w:r>
            <w:r>
              <w:rPr>
                <w:rFonts w:cs="Arial"/>
                <w:sz w:val="16"/>
                <w:szCs w:val="16"/>
                <w:lang w:val="sv-FI"/>
              </w:rPr>
              <w:t>n48, n53</w:t>
            </w:r>
            <w:r>
              <w:rPr>
                <w:rFonts w:cs="Arial"/>
                <w:sz w:val="16"/>
                <w:szCs w:val="16"/>
                <w:lang w:val="en-US"/>
              </w:rPr>
              <w:t>,</w:t>
            </w:r>
            <w:r>
              <w:rPr>
                <w:rFonts w:cs="Arial"/>
                <w:sz w:val="16"/>
                <w:szCs w:val="16"/>
                <w:lang w:val="sv-FI"/>
              </w:rPr>
              <w:t xml:space="preserve"> n66, n67, n71, n78, n79, n85, n90, n91, n92, n93, n94, n101</w:t>
            </w:r>
          </w:p>
        </w:tc>
        <w:tc>
          <w:tcPr>
            <w:tcW w:w="772" w:type="dxa"/>
            <w:tcBorders>
              <w:top w:val="single" w:color="auto" w:sz="6" w:space="0"/>
              <w:left w:val="single" w:color="auto" w:sz="6" w:space="0"/>
              <w:bottom w:val="single" w:color="auto" w:sz="6" w:space="0"/>
              <w:right w:val="single" w:color="auto" w:sz="6" w:space="0"/>
            </w:tcBorders>
            <w:vAlign w:val="center"/>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w:t>
            </w:r>
          </w:p>
        </w:tc>
        <w:tc>
          <w:tcPr>
            <w:tcW w:w="772"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pStyle w:val="103"/>
              <w:rPr>
                <w:rFonts w:cs="Arial"/>
                <w:sz w:val="16"/>
                <w:szCs w:val="16"/>
              </w:rPr>
            </w:pPr>
            <w:r>
              <w:rPr>
                <w:rFonts w:cs="Arial"/>
                <w:sz w:val="16"/>
                <w:szCs w:val="16"/>
                <w:lang w:val="sv-FI"/>
              </w:rPr>
              <w:t>NR Band n77</w:t>
            </w:r>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rFonts w:cs="Arial"/>
                <w:sz w:val="16"/>
                <w:szCs w:val="16"/>
              </w:rPr>
            </w:pPr>
            <w:r>
              <w:rPr>
                <w:rFonts w:cs="Arial"/>
                <w:sz w:val="16"/>
                <w:szCs w:val="16"/>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rPr>
            </w:pPr>
            <w:r>
              <w:rPr>
                <w:rFonts w:cs="Arial"/>
                <w:sz w:val="16"/>
                <w:szCs w:val="16"/>
              </w:rPr>
              <w:t>F</w:t>
            </w:r>
            <w:r>
              <w:rPr>
                <w:rFonts w:cs="Arial"/>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rFonts w:cs="Arial"/>
                <w:sz w:val="16"/>
                <w:szCs w:val="16"/>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rFonts w:cs="Arial"/>
                <w:sz w:val="16"/>
                <w:szCs w:val="16"/>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rPr>
            </w:pPr>
            <w:r>
              <w:rPr>
                <w:rFonts w:cs="Arial"/>
                <w:sz w:val="16"/>
                <w:szCs w:val="16"/>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lang w:eastAsia="ja-JP"/>
              </w:rPr>
            </w:pPr>
            <w:r>
              <w:rPr>
                <w:rFonts w:cs="Arial"/>
                <w:sz w:val="16"/>
                <w:szCs w:val="16"/>
                <w:lang w:val="sv-FI"/>
              </w:rPr>
              <w:t>NR Band n2, n25, n70</w:t>
            </w:r>
          </w:p>
        </w:tc>
        <w:tc>
          <w:tcPr>
            <w:tcW w:w="772" w:type="dxa"/>
            <w:tcBorders>
              <w:top w:val="single" w:color="auto" w:sz="6" w:space="0"/>
              <w:left w:val="single" w:color="auto" w:sz="6" w:space="0"/>
              <w:bottom w:val="single" w:color="auto" w:sz="6" w:space="0"/>
              <w:right w:val="single" w:color="auto" w:sz="6" w:space="0"/>
            </w:tcBorders>
            <w:vAlign w:val="bottom"/>
          </w:tcPr>
          <w:p>
            <w:pPr>
              <w:pStyle w:val="102"/>
              <w:rPr>
                <w:rFonts w:cs="Arial"/>
                <w:sz w:val="16"/>
                <w:szCs w:val="16"/>
              </w:rPr>
            </w:pPr>
            <w:r>
              <w:rPr>
                <w:sz w:val="16"/>
                <w:szCs w:val="16"/>
              </w:rPr>
              <w:t>F</w:t>
            </w:r>
            <w:r>
              <w:rPr>
                <w:sz w:val="16"/>
                <w:szCs w:val="16"/>
                <w:vertAlign w:val="subscript"/>
              </w:rPr>
              <w:t>DL_low</w:t>
            </w:r>
          </w:p>
        </w:tc>
        <w:tc>
          <w:tcPr>
            <w:tcW w:w="362" w:type="dxa"/>
            <w:tcBorders>
              <w:top w:val="single" w:color="auto" w:sz="6" w:space="0"/>
              <w:left w:val="single" w:color="auto" w:sz="6" w:space="0"/>
              <w:bottom w:val="single" w:color="auto" w:sz="6" w:space="0"/>
              <w:right w:val="single" w:color="auto" w:sz="6" w:space="0"/>
            </w:tcBorders>
            <w:vAlign w:val="bottom"/>
          </w:tcPr>
          <w:p>
            <w:pPr>
              <w:pStyle w:val="105"/>
              <w:rPr>
                <w:rFonts w:cs="Arial"/>
                <w:sz w:val="16"/>
                <w:szCs w:val="16"/>
              </w:rPr>
            </w:pPr>
            <w:r>
              <w:rPr>
                <w:rFonts w:cs="Arial"/>
                <w:sz w:val="16"/>
                <w:szCs w:val="16"/>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pStyle w:val="103"/>
              <w:rPr>
                <w:rFonts w:cs="Arial"/>
                <w:sz w:val="16"/>
                <w:szCs w:val="16"/>
              </w:rPr>
            </w:pPr>
            <w:r>
              <w:rPr>
                <w:sz w:val="16"/>
                <w:szCs w:val="16"/>
              </w:rPr>
              <w:t>F</w:t>
            </w:r>
            <w:r>
              <w:rPr>
                <w:sz w:val="16"/>
                <w:szCs w:val="16"/>
                <w:vertAlign w:val="subscript"/>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pStyle w:val="105"/>
              <w:rPr>
                <w:rFonts w:cs="Arial"/>
                <w:sz w:val="16"/>
                <w:szCs w:val="16"/>
              </w:rPr>
            </w:pPr>
            <w:r>
              <w:rPr>
                <w:sz w:val="16"/>
                <w:szCs w:val="16"/>
              </w:rPr>
              <w:t>NA</w:t>
            </w:r>
          </w:p>
        </w:tc>
        <w:tc>
          <w:tcPr>
            <w:tcW w:w="851" w:type="dxa"/>
            <w:tcBorders>
              <w:top w:val="single" w:color="auto" w:sz="6" w:space="0"/>
              <w:left w:val="single" w:color="auto" w:sz="6" w:space="0"/>
              <w:bottom w:val="single" w:color="auto" w:sz="6" w:space="0"/>
              <w:right w:val="single" w:color="auto" w:sz="6" w:space="0"/>
            </w:tcBorders>
            <w:noWrap/>
            <w:vAlign w:val="center"/>
          </w:tcPr>
          <w:p>
            <w:pPr>
              <w:pStyle w:val="105"/>
              <w:rPr>
                <w:rFonts w:cs="Arial"/>
                <w:sz w:val="16"/>
                <w:szCs w:val="16"/>
              </w:rPr>
            </w:pPr>
            <w:r>
              <w:rPr>
                <w:sz w:val="16"/>
                <w:szCs w:val="16"/>
              </w:rPr>
              <w:t>NA</w:t>
            </w:r>
          </w:p>
        </w:tc>
        <w:tc>
          <w:tcPr>
            <w:tcW w:w="929" w:type="dxa"/>
            <w:tcBorders>
              <w:top w:val="single" w:color="auto" w:sz="6" w:space="0"/>
              <w:left w:val="single" w:color="auto" w:sz="6" w:space="0"/>
              <w:bottom w:val="single" w:color="auto" w:sz="6" w:space="0"/>
              <w:right w:val="single" w:color="auto" w:sz="4" w:space="0"/>
            </w:tcBorders>
            <w:noWrap/>
            <w:vAlign w:val="center"/>
          </w:tcPr>
          <w:p>
            <w:pPr>
              <w:pStyle w:val="105"/>
              <w:rPr>
                <w:rFonts w:cs="Arial"/>
                <w:sz w:val="16"/>
                <w:szCs w:val="16"/>
                <w:lang w:eastAsia="ja-JP"/>
              </w:rPr>
            </w:pPr>
            <w:r>
              <w:rPr>
                <w:sz w:val="16"/>
                <w:szCs w:val="16"/>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trPr>
        <w:tc>
          <w:tcPr>
            <w:tcW w:w="8946" w:type="dxa"/>
            <w:gridSpan w:val="8"/>
            <w:tcBorders>
              <w:top w:val="single" w:color="auto" w:sz="6" w:space="0"/>
              <w:left w:val="single" w:color="auto" w:sz="4" w:space="0"/>
              <w:bottom w:val="single" w:color="auto" w:sz="4" w:space="0"/>
              <w:right w:val="single" w:color="auto" w:sz="4" w:space="0"/>
            </w:tcBorders>
            <w:vAlign w:val="bottom"/>
          </w:tcPr>
          <w:p>
            <w:pPr>
              <w:pStyle w:val="118"/>
            </w:pPr>
            <w:r>
              <w:t>NOTE 1:</w:t>
            </w:r>
            <w:r>
              <w:tab/>
            </w:r>
            <w:r>
              <w:t>F</w:t>
            </w:r>
            <w:r>
              <w:rPr>
                <w:vertAlign w:val="subscript"/>
              </w:rPr>
              <w:t>DL_low</w:t>
            </w:r>
            <w:r>
              <w:t xml:space="preserve"> and F</w:t>
            </w:r>
            <w:r>
              <w:rPr>
                <w:vertAlign w:val="subscript"/>
              </w:rPr>
              <w:t>DL_high</w:t>
            </w:r>
            <w:r>
              <w:t xml:space="preserve"> refer to each E-UTRA frequency band specified in Table 5.4A.2-1</w:t>
            </w:r>
          </w:p>
          <w:p>
            <w:pPr>
              <w:pStyle w:val="118"/>
            </w:pPr>
            <w:r>
              <w:t>NOTE 2:</w:t>
            </w:r>
            <w:r>
              <w:tab/>
            </w:r>
            <w:r>
              <w:t>As exceptions, measurements with a level up to the applicable requirements defined in Table 6.5A.4.2-2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harmonic respectively. The exception is allowed if the measurement bandwidth (MBW) totally or partially overlaps the overall exception interval.</w:t>
            </w:r>
          </w:p>
          <w:p>
            <w:pPr>
              <w:pStyle w:val="118"/>
            </w:pPr>
            <w:r>
              <w:t>NOTE 3:</w:t>
            </w:r>
            <w:r>
              <w:tab/>
            </w:r>
            <w:r>
              <w:t>The co-existence between 256 and band 2, 25 and 70 is subject to regional/national regulation.</w:t>
            </w:r>
          </w:p>
        </w:tc>
      </w:tr>
    </w:tbl>
    <w:p/>
    <w:p>
      <w:r>
        <w:t>The normative reference for this requirement is TS 36.102 [11] subclause 6.5A.4.3.</w:t>
      </w:r>
    </w:p>
    <w:p>
      <w:pPr>
        <w:pStyle w:val="9"/>
      </w:pPr>
      <w:r>
        <w:t>6.5A.4.3.4</w:t>
      </w:r>
      <w:r>
        <w:tab/>
      </w:r>
      <w:r>
        <w:t>Test description</w:t>
      </w:r>
    </w:p>
    <w:p>
      <w:pPr>
        <w:pStyle w:val="9"/>
      </w:pPr>
      <w:r>
        <w:t>6.5A.4.3.4.1</w:t>
      </w:r>
      <w:r>
        <w:tab/>
      </w:r>
      <w:r>
        <w:rPr>
          <w:snapToGrid w:val="0"/>
        </w:rP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6.5A.4.3.4.1-1. The details of the uplink reference measurement channels (RMCs) are specified in Annexe A.2. </w:t>
      </w:r>
      <w:r>
        <w:rPr>
          <w:rFonts w:cs="v5.0.0"/>
        </w:rPr>
        <w:t>Configurations of PDSCH and MPDCCH before measurement are specified in Annex C.2.</w:t>
      </w:r>
    </w:p>
    <w:p>
      <w:pPr>
        <w:pStyle w:val="113"/>
      </w:pPr>
      <w:r>
        <w:t>Table 6.5A.4.3.4.1-1: Test Configuration Table</w:t>
      </w:r>
    </w:p>
    <w:tbl>
      <w:tblPr>
        <w:tblStyle w:val="89"/>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1165"/>
        <w:gridCol w:w="2330"/>
        <w:gridCol w:w="1165"/>
        <w:gridCol w:w="35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9356" w:type="dxa"/>
            <w:gridSpan w:val="5"/>
            <w:tcBorders>
              <w:top w:val="single" w:color="auto" w:sz="4" w:space="0"/>
              <w:left w:val="single" w:color="auto" w:sz="4" w:space="0"/>
              <w:bottom w:val="single" w:color="auto" w:sz="4" w:space="0"/>
              <w:right w:val="single" w:color="auto" w:sz="4" w:space="0"/>
            </w:tcBorders>
          </w:tcPr>
          <w:p>
            <w:pPr>
              <w:pStyle w:val="118"/>
              <w:jc w:val="center"/>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t>Test Environment</w:t>
            </w:r>
          </w:p>
          <w:p>
            <w:pPr>
              <w:pStyle w:val="103"/>
              <w:rPr>
                <w:bCs/>
              </w:rPr>
            </w:pPr>
            <w:r>
              <w:t>(as specified in TS 36.508 [12] subclause 4.1)</w:t>
            </w:r>
          </w:p>
        </w:tc>
        <w:tc>
          <w:tcPr>
            <w:tcW w:w="4696" w:type="dxa"/>
            <w:gridSpan w:val="2"/>
            <w:vAlign w:val="center"/>
          </w:tcPr>
          <w:p>
            <w:pPr>
              <w:pStyle w:val="103"/>
              <w:jc w:val="both"/>
            </w:pPr>
            <w:r>
              <w:rPr>
                <w:bCs/>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rPr>
                <w:bCs/>
              </w:rPr>
              <w:t>Test Frequencies</w:t>
            </w:r>
          </w:p>
          <w:p>
            <w:pPr>
              <w:pStyle w:val="103"/>
            </w:pPr>
            <w:r>
              <w:t>(as specified in TS36.508 [12] subclause 4.3.1)</w:t>
            </w:r>
            <w:r>
              <w:br w:type="textWrapping"/>
            </w:r>
            <w:r>
              <w:t>(Note 6, Note 7)</w:t>
            </w:r>
          </w:p>
        </w:tc>
        <w:tc>
          <w:tcPr>
            <w:tcW w:w="4696" w:type="dxa"/>
            <w:gridSpan w:val="2"/>
            <w:vAlign w:val="center"/>
          </w:tcPr>
          <w:p>
            <w:pPr>
              <w:pStyle w:val="103"/>
              <w:jc w:val="both"/>
            </w:pPr>
            <w:r>
              <w:rPr>
                <w:bCs/>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660" w:type="dxa"/>
            <w:gridSpan w:val="3"/>
          </w:tcPr>
          <w:p>
            <w:pPr>
              <w:pStyle w:val="103"/>
            </w:pPr>
            <w:r>
              <w:rPr>
                <w:bCs/>
              </w:rPr>
              <w:t>Test Channel Bandwidths</w:t>
            </w:r>
          </w:p>
          <w:p>
            <w:pPr>
              <w:pStyle w:val="103"/>
            </w:pPr>
            <w:r>
              <w:t>(as specified in TS 36.508 [12] subclause 4.3.1)</w:t>
            </w:r>
          </w:p>
        </w:tc>
        <w:tc>
          <w:tcPr>
            <w:tcW w:w="4696" w:type="dxa"/>
            <w:gridSpan w:val="2"/>
            <w:vAlign w:val="center"/>
          </w:tcPr>
          <w:p>
            <w:pPr>
              <w:pStyle w:val="103"/>
              <w:jc w:val="both"/>
            </w:pPr>
            <w:r>
              <w:rPr>
                <w:bCs/>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56" w:type="dxa"/>
            <w:gridSpan w:val="5"/>
          </w:tcPr>
          <w:p>
            <w:pPr>
              <w:pStyle w:val="104"/>
            </w:pPr>
            <w: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3495" w:type="dxa"/>
            <w:gridSpan w:val="2"/>
          </w:tcPr>
          <w:p>
            <w:pPr>
              <w:pStyle w:val="104"/>
            </w:pPr>
            <w:r>
              <w:t>Downlink Configuration</w:t>
            </w:r>
          </w:p>
        </w:tc>
        <w:tc>
          <w:tcPr>
            <w:tcW w:w="4696" w:type="dxa"/>
            <w:gridSpan w:val="2"/>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tcPr>
          <w:p>
            <w:pPr>
              <w:pStyle w:val="105"/>
            </w:pPr>
            <w:r>
              <w:t>Ch BW</w:t>
            </w:r>
          </w:p>
        </w:tc>
        <w:tc>
          <w:tcPr>
            <w:tcW w:w="1165" w:type="dxa"/>
          </w:tcPr>
          <w:p>
            <w:pPr>
              <w:pStyle w:val="105"/>
            </w:pPr>
            <w:r>
              <w:t>Mod'n</w:t>
            </w:r>
          </w:p>
        </w:tc>
        <w:tc>
          <w:tcPr>
            <w:tcW w:w="2330" w:type="dxa"/>
          </w:tcPr>
          <w:p>
            <w:pPr>
              <w:pStyle w:val="105"/>
            </w:pPr>
            <w:r>
              <w:t>RB allocation</w:t>
            </w:r>
          </w:p>
        </w:tc>
        <w:tc>
          <w:tcPr>
            <w:tcW w:w="1165" w:type="dxa"/>
          </w:tcPr>
          <w:p>
            <w:pPr>
              <w:pStyle w:val="105"/>
            </w:pPr>
            <w:r>
              <w:t>Mod'n</w:t>
            </w:r>
          </w:p>
        </w:tc>
        <w:tc>
          <w:tcPr>
            <w:tcW w:w="3531" w:type="dxa"/>
          </w:tcPr>
          <w:p>
            <w:pPr>
              <w:pStyle w:val="105"/>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Pr>
          <w:p>
            <w:pPr>
              <w:pStyle w:val="105"/>
            </w:pPr>
          </w:p>
        </w:tc>
        <w:tc>
          <w:tcPr>
            <w:tcW w:w="1165" w:type="dxa"/>
            <w:tcBorders>
              <w:bottom w:val="single" w:color="auto" w:sz="4" w:space="0"/>
            </w:tcBorders>
          </w:tcPr>
          <w:p>
            <w:pPr>
              <w:pStyle w:val="105"/>
            </w:pPr>
          </w:p>
        </w:tc>
        <w:tc>
          <w:tcPr>
            <w:tcW w:w="2330" w:type="dxa"/>
            <w:tcBorders>
              <w:bottom w:val="single" w:color="auto" w:sz="4" w:space="0"/>
            </w:tcBorders>
          </w:tcPr>
          <w:p>
            <w:pPr>
              <w:pStyle w:val="105"/>
            </w:pPr>
            <w:r>
              <w:t>FDD</w:t>
            </w:r>
          </w:p>
        </w:tc>
        <w:tc>
          <w:tcPr>
            <w:tcW w:w="1165" w:type="dxa"/>
          </w:tcPr>
          <w:p>
            <w:pPr>
              <w:pStyle w:val="105"/>
            </w:pPr>
          </w:p>
        </w:tc>
        <w:tc>
          <w:tcPr>
            <w:tcW w:w="3531" w:type="dxa"/>
          </w:tcPr>
          <w:p>
            <w:pPr>
              <w:pStyle w:val="105"/>
            </w:pPr>
            <w: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right w:val="single" w:color="auto" w:sz="4" w:space="0"/>
            </w:tcBorders>
          </w:tcPr>
          <w:p>
            <w:pPr>
              <w:pStyle w:val="105"/>
            </w:pPr>
            <w:r>
              <w:t>1.4MHz</w:t>
            </w:r>
          </w:p>
        </w:tc>
        <w:tc>
          <w:tcPr>
            <w:tcW w:w="3495" w:type="dxa"/>
            <w:gridSpan w:val="2"/>
            <w:vMerge w:val="restart"/>
            <w:tcBorders>
              <w:top w:val="single" w:color="auto" w:sz="4" w:space="0"/>
              <w:left w:val="single" w:color="auto" w:sz="4" w:space="0"/>
              <w:right w:val="single" w:color="auto" w:sz="4" w:space="0"/>
            </w:tcBorders>
          </w:tcPr>
          <w:p>
            <w:pPr>
              <w:pStyle w:val="105"/>
            </w:pPr>
            <w:r>
              <w:t>N/A for Spurious Emissions testing</w:t>
            </w:r>
          </w:p>
        </w:tc>
        <w:tc>
          <w:tcPr>
            <w:tcW w:w="1165" w:type="dxa"/>
            <w:tcBorders>
              <w:left w:val="single" w:color="auto" w:sz="4" w:space="0"/>
            </w:tcBorders>
          </w:tcPr>
          <w:p>
            <w:pPr>
              <w:pStyle w:val="105"/>
            </w:pPr>
            <w:r>
              <w:t>QPSK</w:t>
            </w:r>
          </w:p>
        </w:tc>
        <w:tc>
          <w:tcPr>
            <w:tcW w:w="3531" w:type="dxa"/>
          </w:tcPr>
          <w:p>
            <w:pPr>
              <w:pStyle w:val="105"/>
            </w:pPr>
            <w: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left w:val="single" w:color="auto" w:sz="4" w:space="0"/>
              <w:right w:val="single" w:color="auto" w:sz="4" w:space="0"/>
            </w:tcBorders>
          </w:tcPr>
          <w:p>
            <w:pPr>
              <w:pStyle w:val="105"/>
            </w:pPr>
            <w:r>
              <w:t>1.4MHz</w:t>
            </w:r>
          </w:p>
        </w:tc>
        <w:tc>
          <w:tcPr>
            <w:tcW w:w="3495" w:type="dxa"/>
            <w:gridSpan w:val="2"/>
            <w:vMerge w:val="continue"/>
            <w:tcBorders>
              <w:left w:val="single" w:color="auto" w:sz="4" w:space="0"/>
              <w:right w:val="single" w:color="auto" w:sz="4" w:space="0"/>
            </w:tcBorders>
          </w:tcPr>
          <w:p>
            <w:pPr>
              <w:pStyle w:val="105"/>
              <w:rPr>
                <w:rFonts w:cs="v5.0.0"/>
              </w:rPr>
            </w:pPr>
          </w:p>
        </w:tc>
        <w:tc>
          <w:tcPr>
            <w:tcW w:w="1165" w:type="dxa"/>
            <w:tcBorders>
              <w:left w:val="single" w:color="auto" w:sz="4" w:space="0"/>
            </w:tcBorders>
          </w:tcPr>
          <w:p>
            <w:pPr>
              <w:pStyle w:val="105"/>
            </w:pPr>
            <w:r>
              <w:t>QPSK</w:t>
            </w:r>
          </w:p>
        </w:tc>
        <w:tc>
          <w:tcPr>
            <w:tcW w:w="353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left w:val="single" w:color="auto" w:sz="4" w:space="0"/>
              <w:right w:val="single" w:color="auto" w:sz="4" w:space="0"/>
            </w:tcBorders>
          </w:tcPr>
          <w:p>
            <w:pPr>
              <w:pStyle w:val="105"/>
            </w:pPr>
            <w:r>
              <w:t>1.4MHz</w:t>
            </w:r>
          </w:p>
        </w:tc>
        <w:tc>
          <w:tcPr>
            <w:tcW w:w="3495" w:type="dxa"/>
            <w:gridSpan w:val="2"/>
            <w:vMerge w:val="continue"/>
            <w:tcBorders>
              <w:left w:val="single" w:color="auto" w:sz="4" w:space="0"/>
              <w:bottom w:val="nil"/>
              <w:right w:val="single" w:color="auto" w:sz="4" w:space="0"/>
            </w:tcBorders>
          </w:tcPr>
          <w:p>
            <w:pPr>
              <w:pStyle w:val="105"/>
              <w:rPr>
                <w:rFonts w:cs="v5.0.0"/>
              </w:rPr>
            </w:pPr>
          </w:p>
        </w:tc>
        <w:tc>
          <w:tcPr>
            <w:tcW w:w="1165" w:type="dxa"/>
            <w:tcBorders>
              <w:left w:val="single" w:color="auto" w:sz="4" w:space="0"/>
            </w:tcBorders>
          </w:tcPr>
          <w:p>
            <w:pPr>
              <w:pStyle w:val="105"/>
            </w:pPr>
            <w:r>
              <w:t>QPSK</w:t>
            </w:r>
          </w:p>
        </w:tc>
        <w:tc>
          <w:tcPr>
            <w:tcW w:w="3531" w:type="dxa"/>
          </w:tcPr>
          <w:p>
            <w:pPr>
              <w:pStyle w:val="105"/>
            </w:pPr>
            <w:r>
              <w:t>1@5</w:t>
            </w:r>
          </w:p>
        </w:tc>
      </w:tr>
    </w:tbl>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Connect the SS to the UE antenna connectors as shown in TS 36.508[12] Annex A Figure A.7 using only main UE Tx/Rx antenna</w:t>
      </w:r>
      <w:r>
        <w:rPr>
          <w:rFonts w:hint="eastAsia" w:cs="Times New Roman"/>
          <w:lang w:eastAsia="en-GB"/>
        </w:rPr>
        <w:t>.</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2.</w:t>
      </w:r>
      <w:r>
        <w:rPr>
          <w:rFonts w:hint="eastAsia"/>
          <w:lang w:eastAsia="en-GB"/>
        </w:rPr>
        <w:tab/>
      </w:r>
      <w:r>
        <w:rPr>
          <w:rFonts w:hint="eastAsia"/>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3.</w:t>
      </w:r>
      <w:r>
        <w:rPr>
          <w:rFonts w:hint="eastAsia"/>
          <w:lang w:eastAsia="en-GB"/>
        </w:rPr>
        <w:tab/>
      </w:r>
      <w:r>
        <w:rPr>
          <w:rFonts w:hint="eastAsia"/>
          <w:lang w:eastAsia="en-GB"/>
        </w:rPr>
        <w:t>Downlink signals are initially set up according to Annex C0, C.1 and C.3.0, and uplink signals according to Annex H.1 and H.3.0.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4.</w:t>
      </w:r>
      <w:r>
        <w:rPr>
          <w:rFonts w:hint="eastAsia"/>
          <w:lang w:eastAsia="en-GB"/>
        </w:rPr>
        <w:tab/>
      </w:r>
      <w:r>
        <w:rPr>
          <w:rFonts w:hint="eastAsia"/>
          <w:lang w:eastAsia="en-GB"/>
        </w:rPr>
        <w:t>The UL Reference Measurement channels are set according to Table 6.5A.4.3.4.1-1.</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5.</w:t>
      </w:r>
      <w:r>
        <w:rPr>
          <w:rFonts w:hint="eastAsia"/>
          <w:lang w:eastAsia="en-GB"/>
        </w:rPr>
        <w:tab/>
      </w:r>
      <w:r>
        <w:rPr>
          <w:rFonts w:hint="eastAsia"/>
          <w:lang w:eastAsia="en-GB"/>
        </w:rPr>
        <w:t>Propagation conditions are set according to Annex B.0.</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6.</w:t>
      </w:r>
      <w:r>
        <w:rPr>
          <w:rFonts w:hint="eastAsia"/>
          <w:lang w:eastAsia="en-GB"/>
        </w:rPr>
        <w:tab/>
      </w:r>
      <w:r>
        <w:rPr>
          <w:rFonts w:hint="eastAsia"/>
          <w:lang w:eastAsia="en-GB"/>
        </w:rPr>
        <w:t xml:space="preserve">Ensure the UE is in State 3A-RF-CE according to TS 36.508 [12] clause </w:t>
      </w:r>
      <w:r>
        <w:rPr>
          <w:rFonts w:hint="eastAsia" w:eastAsia="Times New Roman"/>
          <w:lang w:eastAsia="en-GB"/>
        </w:rPr>
        <w:t>5.2A.2AA</w:t>
      </w:r>
      <w:r>
        <w:rPr>
          <w:rFonts w:hint="eastAsia"/>
          <w:lang w:eastAsia="en-GB"/>
        </w:rPr>
        <w:t>. Message contents are defined in clause 6.5A.4.3.4.3.</w:t>
      </w:r>
    </w:p>
    <w:p>
      <w:pPr>
        <w:pStyle w:val="9"/>
        <w:rPr>
          <w:snapToGrid w:val="0"/>
        </w:rPr>
      </w:pPr>
      <w:r>
        <w:t>6.5A.4.3.4.2</w:t>
      </w:r>
      <w:r>
        <w:tab/>
      </w:r>
      <w:r>
        <w:rPr>
          <w:snapToGrid w:val="0"/>
        </w:rPr>
        <w:t>Test procedure</w:t>
      </w:r>
    </w:p>
    <w:p>
      <w:pPr>
        <w:pStyle w:val="111"/>
        <w:overflowPunct w:val="0"/>
        <w:autoSpaceDE w:val="0"/>
        <w:autoSpaceDN w:val="0"/>
        <w:adjustRightInd w:val="0"/>
        <w:contextualSpacing w:val="0"/>
        <w:textAlignment w:val="baseline"/>
        <w:rPr>
          <w:rFonts w:hint="eastAsia"/>
          <w:lang w:eastAsia="en-GB"/>
        </w:rPr>
      </w:pPr>
      <w:r>
        <w:rPr>
          <w:rFonts w:hint="eastAsia"/>
          <w:lang w:eastAsia="en-GB"/>
        </w:rPr>
        <w:t>1.</w:t>
      </w:r>
      <w:r>
        <w:rPr>
          <w:rFonts w:hint="eastAsia"/>
          <w:lang w:eastAsia="en-GB"/>
        </w:rPr>
        <w:tab/>
      </w:r>
      <w:r>
        <w:rPr>
          <w:rFonts w:hint="eastAsia"/>
          <w:lang w:eastAsia="en-GB"/>
        </w:rPr>
        <w:t>SS sends uplink scheduling information for each UL HARQ process via MPDCCH DCI format 6-0A for C_RNTI to schedule the UL RMC according to Table 6.5A.4.3.4.1-1. Since the UE has no payload data</w:t>
      </w:r>
      <w:r>
        <w:rPr>
          <w:rFonts w:hint="eastAsia"/>
          <w:color w:val="auto"/>
          <w:lang w:eastAsia="en-GB"/>
        </w:rPr>
        <w:t xml:space="preserve"> </w:t>
      </w:r>
      <w:r>
        <w:rPr>
          <w:rFonts w:hint="eastAsia"/>
          <w:lang w:eastAsia="en-GB"/>
        </w:rPr>
        <w:t>to send, the UE transmits uplink MAC padding bits on the UL RMC.</w:t>
      </w:r>
    </w:p>
    <w:p>
      <w:pPr>
        <w:pStyle w:val="111"/>
        <w:overflowPunct w:val="0"/>
        <w:autoSpaceDE w:val="0"/>
        <w:autoSpaceDN w:val="0"/>
        <w:adjustRightInd w:val="0"/>
        <w:contextualSpacing w:val="0"/>
        <w:textAlignment w:val="baseline"/>
        <w:rPr>
          <w:rFonts w:hint="eastAsia"/>
          <w:lang w:eastAsia="en-GB"/>
        </w:rPr>
      </w:pPr>
      <w:r>
        <w:rPr>
          <w:rFonts w:hint="eastAsia" w:eastAsia="Times New Roman"/>
          <w:lang w:eastAsia="en-GB"/>
        </w:rPr>
        <w:t>2.</w:t>
      </w:r>
      <w:r>
        <w:rPr>
          <w:rFonts w:hint="eastAsia" w:eastAsia="Times New Roman"/>
          <w:lang w:eastAsia="en-GB"/>
        </w:rPr>
        <w:tab/>
      </w:r>
      <w:r>
        <w:rPr>
          <w:rFonts w:hint="eastAsia"/>
          <w:lang w:eastAsia="en-GB"/>
        </w:rPr>
        <w:t xml:space="preserve">Send continuously uplink power control "up" commands </w:t>
      </w:r>
      <w:r>
        <w:rPr>
          <w:rFonts w:hint="eastAsia" w:eastAsia="Times New Roman"/>
          <w:lang w:eastAsia="en-GB"/>
        </w:rPr>
        <w:t xml:space="preserve">in the uplink scheduling information </w:t>
      </w:r>
      <w:r>
        <w:rPr>
          <w:rFonts w:hint="eastAsia"/>
          <w:lang w:eastAsia="en-GB"/>
        </w:rPr>
        <w:t>to the UE until the UE transmits at P</w:t>
      </w:r>
      <w:r>
        <w:rPr>
          <w:rFonts w:hint="eastAsia"/>
          <w:vertAlign w:val="baseline"/>
          <w:lang w:eastAsia="en-GB"/>
        </w:rPr>
        <w:t>UMAX</w:t>
      </w:r>
      <w:r>
        <w:rPr>
          <w:rFonts w:hint="eastAsia"/>
          <w:lang w:eastAsia="en-GB"/>
        </w:rPr>
        <w:t xml:space="preserve"> level.</w:t>
      </w:r>
    </w:p>
    <w:p>
      <w:pPr>
        <w:pStyle w:val="111"/>
        <w:overflowPunct w:val="0"/>
        <w:autoSpaceDE w:val="0"/>
        <w:autoSpaceDN w:val="0"/>
        <w:adjustRightInd w:val="0"/>
        <w:contextualSpacing w:val="0"/>
        <w:textAlignment w:val="baseline"/>
        <w:rPr>
          <w:rFonts w:hint="eastAsia" w:eastAsia="Times New Roman"/>
          <w:lang w:eastAsia="en-GB"/>
        </w:rPr>
      </w:pPr>
      <w:r>
        <w:rPr>
          <w:rFonts w:hint="eastAsia"/>
          <w:lang w:eastAsia="en-GB"/>
        </w:rPr>
        <w:t>3.</w:t>
      </w:r>
      <w:r>
        <w:rPr>
          <w:rFonts w:hint="eastAsia"/>
          <w:lang w:eastAsia="en-GB"/>
        </w:rPr>
        <w:tab/>
      </w:r>
      <w:r>
        <w:rPr>
          <w:rFonts w:hint="eastAsia"/>
          <w:lang w:eastAsia="en-GB"/>
        </w:rPr>
        <w:t xml:space="preserve">Measure the power of the transmitted signal with a measurement filter of bandwidths according to </w:t>
      </w:r>
      <w:r>
        <w:rPr>
          <w:rFonts w:hint="eastAsia" w:eastAsia="Times New Roman"/>
          <w:lang w:eastAsia="en-GB"/>
        </w:rPr>
        <w:t xml:space="preserve">table </w:t>
      </w:r>
      <w:r>
        <w:rPr>
          <w:rFonts w:hint="eastAsia"/>
          <w:lang w:eastAsia="en-GB"/>
        </w:rPr>
        <w:t>6.</w:t>
      </w:r>
      <w:r>
        <w:rPr>
          <w:rFonts w:hint="eastAsia"/>
          <w:lang w:val="en-US" w:eastAsia="en-GB"/>
        </w:rPr>
        <w:t>5A</w:t>
      </w:r>
      <w:r>
        <w:rPr>
          <w:rFonts w:hint="eastAsia"/>
          <w:lang w:eastAsia="en-GB"/>
        </w:rPr>
        <w:t>.</w:t>
      </w:r>
      <w:r>
        <w:rPr>
          <w:rFonts w:hint="eastAsia"/>
          <w:lang w:val="en-US" w:eastAsia="en-GB"/>
        </w:rPr>
        <w:t>4</w:t>
      </w:r>
      <w:r>
        <w:rPr>
          <w:rFonts w:hint="eastAsia"/>
          <w:lang w:eastAsia="en-GB"/>
        </w:rPr>
        <w:t>.3.3-1</w:t>
      </w:r>
      <w:r>
        <w:rPr>
          <w:rFonts w:hint="eastAsia" w:eastAsia="Times New Roman"/>
          <w:lang w:eastAsia="en-GB"/>
        </w:rPr>
        <w:t>.</w:t>
      </w:r>
      <w:r>
        <w:rPr>
          <w:rFonts w:hint="eastAsia"/>
          <w:lang w:eastAsia="en-GB"/>
        </w:rPr>
        <w:t xml:space="preserve"> The centre frequency of the filter shall be stepped in contiguous steps according to table 6.5A.4.3.3-1. The measured power shall be verified for each step. The measurement period shall capture the active </w:t>
      </w:r>
      <w:r>
        <w:rPr>
          <w:rFonts w:hint="eastAsia" w:eastAsia="Times New Roman"/>
          <w:lang w:eastAsia="en-GB"/>
        </w:rPr>
        <w:t>time slot</w:t>
      </w:r>
      <w:r>
        <w:rPr>
          <w:rFonts w:hint="eastAsia"/>
          <w:lang w:eastAsia="en-GB"/>
        </w:rPr>
        <w:t>s. During measurement the spectrum analyser shall be set to 'Detector' = RMS.</w:t>
      </w:r>
    </w:p>
    <w:p>
      <w:pPr>
        <w:pStyle w:val="9"/>
        <w:rPr>
          <w:snapToGrid w:val="0"/>
        </w:rPr>
      </w:pPr>
      <w:r>
        <w:t>6.5A.4.3.4.3</w:t>
      </w:r>
      <w:r>
        <w:tab/>
      </w:r>
      <w:r>
        <w:rPr>
          <w:snapToGrid w:val="0"/>
        </w:rPr>
        <w:t>Message contents</w:t>
      </w:r>
    </w:p>
    <w:p>
      <w:r>
        <w:t>Message contents are according to TS 36.508 [12] subclause 4.6 with the condition CEModeA.</w:t>
      </w:r>
    </w:p>
    <w:p/>
    <w:p>
      <w:pPr>
        <w:pStyle w:val="9"/>
      </w:pPr>
      <w:r>
        <w:rPr>
          <w:snapToGrid w:val="0"/>
        </w:rPr>
        <w:t>6.5A.4.3.5</w:t>
      </w:r>
      <w:r>
        <w:rPr>
          <w:snapToGrid w:val="0"/>
        </w:rPr>
        <w:tab/>
      </w:r>
      <w:r>
        <w:t xml:space="preserve">Test requirement </w:t>
      </w:r>
    </w:p>
    <w:p>
      <w:r>
        <w:t>Test requirements for Spurious Emissions UE Co-existence are the same as the minimum requirements and are not repeated in this section.</w:t>
      </w:r>
    </w:p>
    <w:p>
      <w:r>
        <w:t xml:space="preserve">The measured average power of spurious emission, derived in step </w:t>
      </w:r>
      <w:r>
        <w:rPr>
          <w:rFonts w:eastAsia="MS Mincho"/>
        </w:rPr>
        <w:t>3</w:t>
      </w:r>
      <w:r>
        <w:t>, shall not exceed the described value in table 6.5A.4.3.3-1</w:t>
      </w:r>
    </w:p>
    <w:p/>
    <w:p>
      <w:pPr>
        <w:pStyle w:val="6"/>
      </w:pPr>
      <w:bookmarkStart w:id="508" w:name="_Toc121162857"/>
      <w:bookmarkStart w:id="509" w:name="_Toc30291"/>
      <w:bookmarkStart w:id="510" w:name="_Toc120570065"/>
      <w:bookmarkStart w:id="511" w:name="_Toc24911"/>
      <w:bookmarkStart w:id="512" w:name="_Toc18015"/>
      <w:r>
        <w:t>6.5A.4.4</w:t>
      </w:r>
      <w:r>
        <w:tab/>
      </w:r>
      <w:r>
        <w:t>Additional spurious emissions</w:t>
      </w:r>
      <w:bookmarkEnd w:id="508"/>
      <w:bookmarkEnd w:id="509"/>
      <w:bookmarkEnd w:id="510"/>
      <w:bookmarkEnd w:id="511"/>
      <w:bookmarkEnd w:id="512"/>
    </w:p>
    <w:p>
      <w:pPr>
        <w:pStyle w:val="112"/>
      </w:pPr>
      <w:bookmarkStart w:id="513" w:name="_Toc104205487"/>
      <w:bookmarkStart w:id="514" w:name="_Toc104206694"/>
      <w:bookmarkStart w:id="515" w:name="_Toc104503654"/>
      <w:bookmarkStart w:id="516" w:name="_Toc121162858"/>
      <w:bookmarkStart w:id="517" w:name="_Toc106127585"/>
      <w:bookmarkStart w:id="518" w:name="_Toc104122536"/>
      <w:bookmarkStart w:id="519" w:name="_Toc120570066"/>
      <w:bookmarkStart w:id="520" w:name="_Toc4013"/>
      <w:bookmarkStart w:id="521" w:name="_Toc11774"/>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Message exceptions specific to satellite access is TBD</w:t>
      </w:r>
    </w:p>
    <w:p>
      <w:pPr>
        <w:pStyle w:val="112"/>
      </w:pPr>
      <w:r>
        <w:t>- Test Points analysis is TBD</w:t>
      </w:r>
    </w:p>
    <w:p>
      <w:pPr>
        <w:pStyle w:val="112"/>
      </w:pPr>
      <w:r>
        <w:t>- Test configuration is TBD</w:t>
      </w:r>
    </w:p>
    <w:p>
      <w:pPr>
        <w:pStyle w:val="112"/>
      </w:pPr>
      <w:r>
        <w:t>- Annex F MU/TT is TBD</w:t>
      </w:r>
    </w:p>
    <w:p/>
    <w:p>
      <w:pPr>
        <w:pStyle w:val="7"/>
      </w:pPr>
      <w:bookmarkStart w:id="522" w:name="_Toc18117"/>
      <w:r>
        <w:t>6.5A.4.4.</w:t>
      </w:r>
      <w:r>
        <w:rPr>
          <w:lang w:val="en-US"/>
        </w:rPr>
        <w:t>0</w:t>
      </w:r>
      <w:r>
        <w:tab/>
      </w:r>
      <w:r>
        <w:t>General</w:t>
      </w:r>
      <w:bookmarkEnd w:id="513"/>
      <w:bookmarkEnd w:id="514"/>
      <w:bookmarkEnd w:id="515"/>
      <w:bookmarkEnd w:id="516"/>
      <w:bookmarkEnd w:id="517"/>
      <w:bookmarkEnd w:id="518"/>
      <w:bookmarkEnd w:id="519"/>
      <w:bookmarkEnd w:id="520"/>
      <w:bookmarkEnd w:id="521"/>
      <w:bookmarkEnd w:id="522"/>
    </w:p>
    <w:p>
      <w:pPr>
        <w:widowControl w:val="0"/>
        <w:spacing w:after="0"/>
        <w:rPr>
          <w:rFonts w:eastAsia="MS Mincho"/>
          <w:lang w:val="en-US" w:eastAsia="zh-TW"/>
        </w:rPr>
      </w:pPr>
      <w:r>
        <w:rPr>
          <w:rFonts w:eastAsia="MS Mincho"/>
          <w:lang w:val="en-US" w:eastAsia="zh-TW"/>
        </w:rPr>
        <w:t>These requirements are specified in terms of an additional spectrum emission requirement. Additional spurious</w:t>
      </w:r>
    </w:p>
    <w:p>
      <w:pPr>
        <w:widowControl w:val="0"/>
        <w:spacing w:after="0"/>
        <w:rPr>
          <w:rFonts w:eastAsia="MS Mincho"/>
          <w:lang w:val="en-US" w:eastAsia="zh-TW"/>
        </w:rPr>
      </w:pPr>
      <w:r>
        <w:rPr>
          <w:rFonts w:eastAsia="MS Mincho"/>
          <w:lang w:val="en-US" w:eastAsia="zh-TW"/>
        </w:rPr>
        <w:t>emission requirements are signalled by the network to indicate that the UE shall meet an additional requirement for a</w:t>
      </w:r>
    </w:p>
    <w:p>
      <w:pPr>
        <w:rPr>
          <w:rFonts w:eastAsia="MS Mincho"/>
          <w:lang w:val="en-US" w:eastAsia="zh-TW"/>
        </w:rPr>
      </w:pPr>
      <w:r>
        <w:rPr>
          <w:rFonts w:eastAsia="MS Mincho"/>
          <w:lang w:val="en-US" w:eastAsia="zh-TW"/>
        </w:rPr>
        <w:t>specific deployment scenario as part of the cell handover/broadcast message.</w:t>
      </w:r>
    </w:p>
    <w:p>
      <w:pPr>
        <w:pStyle w:val="100"/>
        <w:rPr>
          <w:rFonts w:eastAsia="Times New Roman"/>
          <w:lang w:val="en-US" w:eastAsia="zh-CN"/>
        </w:rPr>
      </w:pPr>
      <w:r>
        <w:t>NOTE: In addition to the requirements below, additional UE region-specific emissions requirements for European are expected to be added once more information becomes available</w:t>
      </w:r>
      <w:r>
        <w:rPr>
          <w:lang w:val="en-US"/>
        </w:rPr>
        <w:t>.</w:t>
      </w:r>
    </w:p>
    <w:p>
      <w:pPr>
        <w:pStyle w:val="9"/>
      </w:pPr>
      <w:bookmarkStart w:id="523" w:name="_Toc29802279"/>
      <w:bookmarkStart w:id="524" w:name="_Toc68230916"/>
      <w:bookmarkStart w:id="525" w:name="_Toc21344369"/>
      <w:bookmarkStart w:id="526" w:name="_Toc45888292"/>
      <w:bookmarkStart w:id="527" w:name="_Toc75467339"/>
      <w:bookmarkStart w:id="528" w:name="_Toc106127586"/>
      <w:bookmarkStart w:id="529" w:name="_Toc104205488"/>
      <w:bookmarkStart w:id="530" w:name="_Toc83580690"/>
      <w:bookmarkStart w:id="531" w:name="_Toc104503655"/>
      <w:bookmarkStart w:id="532" w:name="_Toc61372968"/>
      <w:bookmarkStart w:id="533" w:name="_Toc76718351"/>
      <w:bookmarkStart w:id="534" w:name="_Toc84413808"/>
      <w:bookmarkStart w:id="535" w:name="_Toc29802904"/>
      <w:bookmarkStart w:id="536" w:name="_Toc61367585"/>
      <w:bookmarkStart w:id="537" w:name="_Toc104122537"/>
      <w:bookmarkStart w:id="538" w:name="_Toc37251412"/>
      <w:bookmarkStart w:id="539" w:name="_Toc104206695"/>
      <w:bookmarkStart w:id="540" w:name="_Toc45888891"/>
      <w:bookmarkStart w:id="541" w:name="_Toc84405199"/>
      <w:bookmarkStart w:id="542" w:name="_Toc69084329"/>
      <w:bookmarkStart w:id="543" w:name="_Toc29801855"/>
      <w:bookmarkStart w:id="544" w:name="_Toc97562303"/>
      <w:bookmarkStart w:id="545" w:name="_Toc76509361"/>
      <w:bookmarkStart w:id="546" w:name="_Toc26632"/>
      <w:bookmarkStart w:id="547" w:name="_Toc120570067"/>
      <w:bookmarkStart w:id="548" w:name="_Toc5179"/>
      <w:bookmarkStart w:id="549" w:name="_Toc121162859"/>
      <w:r>
        <w:t>6.5A.4.4.</w:t>
      </w:r>
      <w:r>
        <w:rPr>
          <w:lang w:val="en-US"/>
        </w:rPr>
        <w:t>1</w:t>
      </w:r>
      <w:r>
        <w:tab/>
      </w:r>
      <w:r>
        <w:t>Test purpose</w:t>
      </w:r>
    </w:p>
    <w:p>
      <w:pPr>
        <w:rPr>
          <w:lang w:eastAsia="en-GB"/>
        </w:rPr>
      </w:pPr>
      <w:r>
        <w:rPr>
          <w:lang w:eastAsia="en-GB"/>
        </w:rPr>
        <w:t>To verify that UE transmitter does not cause unacceptable interference to other channels or other systems in terms of transmitter spurious emissions under the deployment scenarios where additional requirements are specified.</w:t>
      </w:r>
    </w:p>
    <w:p>
      <w:pPr>
        <w:pStyle w:val="9"/>
        <w:rPr>
          <w:lang w:val="en-US"/>
        </w:rPr>
      </w:pPr>
      <w:r>
        <w:t>6.5A.4.4.</w:t>
      </w:r>
      <w:r>
        <w:rPr>
          <w:rFonts w:hint="eastAsia"/>
          <w:lang w:val="en-US"/>
        </w:rPr>
        <w:t>2</w:t>
      </w:r>
      <w:r>
        <w:rPr>
          <w:lang w:val="en-US"/>
        </w:rPr>
        <w:tab/>
      </w:r>
      <w:r>
        <w:rPr>
          <w:lang w:val="en-US"/>
        </w:rPr>
        <w:t>Test applicability</w:t>
      </w:r>
    </w:p>
    <w:p>
      <w:pPr>
        <w:rPr>
          <w:lang w:eastAsia="en-GB"/>
        </w:rPr>
      </w:pPr>
      <w:r>
        <w:rPr>
          <w:lang w:eastAsia="en-GB"/>
        </w:rPr>
        <w:t>This test case applies to all types of E-UTRA UE release 13 and forward of UE category M1 that support satellite access operation.</w:t>
      </w:r>
    </w:p>
    <w:p>
      <w:pPr>
        <w:pStyle w:val="9"/>
        <w:rPr>
          <w:lang w:val="en-US"/>
        </w:rPr>
      </w:pPr>
      <w:r>
        <w:t>6.5A.4.4.</w:t>
      </w:r>
      <w:r>
        <w:rPr>
          <w:rFonts w:hint="eastAsia"/>
          <w:lang w:val="en-US"/>
        </w:rPr>
        <w:t>3</w:t>
      </w:r>
      <w:r>
        <w:rPr>
          <w:lang w:val="en-US"/>
        </w:rPr>
        <w:tab/>
      </w:r>
      <w:r>
        <w:rPr>
          <w:lang w:val="en-US"/>
        </w:rPr>
        <w:t>Minimum conformance requirements</w:t>
      </w:r>
    </w:p>
    <w:p>
      <w:pPr>
        <w:rPr>
          <w:rFonts w:eastAsia="MS Mincho"/>
          <w:lang w:eastAsia="en-GB"/>
        </w:rPr>
      </w:pPr>
      <w:r>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keepLines/>
        <w:ind w:left="1135" w:hanging="851"/>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pStyle w:val="9"/>
      </w:pPr>
      <w:bookmarkStart w:id="550" w:name="_Hlk141196889"/>
      <w:r>
        <w:rPr>
          <w:rFonts w:hint="eastAsia"/>
        </w:rPr>
        <w:t>6.5A</w:t>
      </w:r>
      <w:r>
        <w:t>.4.4.3.1</w:t>
      </w:r>
      <w:r>
        <w:tab/>
      </w:r>
      <w:r>
        <w:t>Minimum requirement (network signalled value "NS_02N"</w:t>
      </w:r>
      <w:bookmarkEnd w:id="550"/>
      <w:r>
        <w:t>)</w:t>
      </w:r>
    </w:p>
    <w:p>
      <w:pPr>
        <w:rPr>
          <w:lang w:eastAsia="zh-TW"/>
        </w:rPr>
      </w:pPr>
      <w:r>
        <w:rPr>
          <w:lang w:eastAsia="en-GB"/>
        </w:rPr>
        <w:t>When "NS</w:t>
      </w:r>
      <w:r>
        <w:rPr>
          <w:rFonts w:hint="eastAsia"/>
          <w:lang w:val="en-US"/>
        </w:rPr>
        <w:t>_02</w:t>
      </w:r>
      <w:r>
        <w:rPr>
          <w:lang w:eastAsia="en-GB"/>
        </w:rPr>
        <w:t>N" is indicated in the cell, the power of any UE emission shall not exceed the levels specified in Table 6.5A.</w:t>
      </w:r>
      <w:r>
        <w:rPr>
          <w:lang w:val="en-US"/>
        </w:rPr>
        <w:t>4</w:t>
      </w:r>
      <w:r>
        <w:rPr>
          <w:lang w:eastAsia="en-GB"/>
        </w:rPr>
        <w:t>.4.3.1-1. This requirement also applies for the frequency ranges that are less than F</w:t>
      </w:r>
      <w:r>
        <w:rPr>
          <w:vertAlign w:val="subscript"/>
          <w:lang w:eastAsia="en-GB"/>
        </w:rPr>
        <w:t>OOB</w:t>
      </w:r>
      <w:r>
        <w:rPr>
          <w:lang w:eastAsia="en-GB"/>
        </w:rPr>
        <w:t xml:space="preserve"> (MHz) in Table 6.5A.4.1.5-1 from the edge of the channel bandwidth. Network signalling remark NS_02N applies integer-value 2. </w:t>
      </w:r>
    </w:p>
    <w:p>
      <w:pPr>
        <w:keepNext/>
        <w:keepLines/>
        <w:spacing w:before="60"/>
        <w:jc w:val="center"/>
        <w:rPr>
          <w:rFonts w:ascii="Arial" w:hAnsi="Arial"/>
          <w:b/>
          <w:lang w:eastAsia="en-GB"/>
        </w:rPr>
      </w:pPr>
      <w:r>
        <w:rPr>
          <w:rFonts w:ascii="Arial" w:hAnsi="Arial"/>
          <w:b/>
          <w:lang w:eastAsia="en-GB"/>
        </w:rPr>
        <w:t>Table 6.5A.</w:t>
      </w:r>
      <w:r>
        <w:rPr>
          <w:rFonts w:ascii="Arial" w:hAnsi="Arial"/>
          <w:b/>
          <w:lang w:val="en-US"/>
        </w:rPr>
        <w:t>4</w:t>
      </w:r>
      <w:r>
        <w:rPr>
          <w:rFonts w:ascii="Arial" w:hAnsi="Arial"/>
          <w:b/>
          <w:lang w:eastAsia="en-GB"/>
        </w:rPr>
        <w:t xml:space="preserve">.4.3.1-1: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82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30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3003"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ascii="Arial" w:hAnsi="Arial" w:cs="Arial"/>
                <w:sz w:val="18"/>
                <w:lang w:val="en-US"/>
              </w:rPr>
              <w:t>1.4MHz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3003"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3003"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3003"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3003"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3003"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3"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eastAsia="en-GB"/>
        </w:rPr>
      </w:pPr>
    </w:p>
    <w:p>
      <w:pPr>
        <w:rPr>
          <w:lang w:eastAsia="en-GB"/>
        </w:rPr>
      </w:pPr>
      <w:r>
        <w:rPr>
          <w:lang w:eastAsia="en-GB"/>
        </w:rPr>
        <w:t>The normative reference for this requirement is TS 36.102[11] subclause 6.5A.4.4.2.</w:t>
      </w:r>
    </w:p>
    <w:p>
      <w:pPr>
        <w:pStyle w:val="9"/>
      </w:pPr>
      <w:r>
        <w:rPr>
          <w:rFonts w:hint="eastAsia"/>
        </w:rPr>
        <w:t>6.5A</w:t>
      </w:r>
      <w:r>
        <w:t>.4.4.3.2</w:t>
      </w:r>
      <w:r>
        <w:tab/>
      </w:r>
      <w:r>
        <w:t>Minimum requirement (network signalled value "NS_24")</w:t>
      </w:r>
    </w:p>
    <w:p>
      <w:pPr>
        <w:rPr>
          <w:lang w:eastAsia="en-GB"/>
        </w:rPr>
      </w:pPr>
      <w:r>
        <w:rPr>
          <w:lang w:eastAsia="en-GB"/>
        </w:rPr>
        <w:t>When "NS_24" is indicated in the cell, the power of any UE emission shall not exceed the levels specified in Table 6.5A.</w:t>
      </w:r>
      <w:r>
        <w:rPr>
          <w:lang w:val="en-US"/>
        </w:rPr>
        <w:t>4</w:t>
      </w:r>
      <w:r>
        <w:rPr>
          <w:lang w:eastAsia="en-GB"/>
        </w:rPr>
        <w:t>.</w:t>
      </w:r>
      <w:r>
        <w:rPr>
          <w:lang w:val="en-US"/>
        </w:rPr>
        <w:t>4.3.2</w:t>
      </w:r>
      <w:r>
        <w:rPr>
          <w:lang w:eastAsia="en-GB"/>
        </w:rPr>
        <w:t xml:space="preserve">-1. </w:t>
      </w:r>
    </w:p>
    <w:p>
      <w:pPr>
        <w:keepNext/>
        <w:keepLines/>
        <w:spacing w:before="60"/>
        <w:jc w:val="center"/>
        <w:rPr>
          <w:rFonts w:ascii="Arial" w:hAnsi="Arial"/>
          <w:b/>
          <w:lang w:eastAsia="en-GB"/>
        </w:rPr>
      </w:pPr>
      <w:r>
        <w:rPr>
          <w:rFonts w:ascii="Arial" w:hAnsi="Arial"/>
          <w:b/>
          <w:lang w:eastAsia="en-GB"/>
        </w:rPr>
        <w:t>Table 6.5A.</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.3</w:t>
      </w:r>
      <w:r>
        <w:rPr>
          <w:rFonts w:ascii="Arial" w:hAnsi="Arial"/>
          <w:b/>
          <w:lang w:val="en-US"/>
        </w:rPr>
        <w:t>.2</w:t>
      </w:r>
      <w:r>
        <w:rPr>
          <w:rFonts w:ascii="Arial" w:hAnsi="Arial"/>
          <w:b/>
          <w:lang w:eastAsia="en-GB"/>
        </w:rPr>
        <w:t>-1: Additional requirements</w:t>
      </w:r>
      <w:r>
        <w:rPr>
          <w:rFonts w:ascii="Arial" w:hAnsi="Arial"/>
          <w:b/>
          <w:color w:val="000000"/>
          <w:lang w:eastAsia="zh-TW"/>
        </w:rPr>
        <w:t xml:space="preserve">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ascii="Arial" w:hAnsi="Arial" w:cs="Arial"/>
                <w:b/>
                <w:sz w:val="18"/>
                <w:lang w:val="en-US"/>
              </w:rPr>
              <w:t>1.4MHz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keepNext/>
              <w:keepLines/>
              <w:spacing w:after="0"/>
              <w:ind w:left="851" w:hanging="851"/>
              <w:rPr>
                <w:rFonts w:ascii="Arial" w:hAnsi="Arial" w:cs="Arial"/>
                <w:sz w:val="18"/>
                <w:lang w:eastAsia="ja-JP"/>
              </w:rPr>
            </w:pPr>
            <w:r>
              <w:rPr>
                <w:rFonts w:ascii="Arial" w:hAnsi="Arial" w:cs="Arial"/>
                <w:sz w:val="18"/>
                <w:lang w:eastAsia="en-GB"/>
              </w:rPr>
              <w:t>NOTE 1:</w:t>
            </w:r>
            <w:r>
              <w:rPr>
                <w:rFonts w:ascii="Arial" w:hAnsi="Arial"/>
                <w:sz w:val="18"/>
                <w:lang w:eastAsia="en-GB"/>
              </w:rPr>
              <w:tab/>
            </w:r>
            <w:r>
              <w:rPr>
                <w:rFonts w:ascii="Arial" w:hAnsi="Arial" w:cs="Arial"/>
                <w:sz w:val="18"/>
                <w:lang w:eastAsia="ja-JP"/>
              </w:rPr>
              <w:t>This requirement</w:t>
            </w:r>
            <w:r>
              <w:rPr>
                <w:rFonts w:hint="eastAsia" w:ascii="Arial" w:hAnsi="Arial" w:cs="Arial"/>
                <w:sz w:val="18"/>
                <w:lang w:eastAsia="ja-JP"/>
              </w:rPr>
              <w:t xml:space="preserve"> appl</w:t>
            </w:r>
            <w:r>
              <w:rPr>
                <w:rFonts w:ascii="Arial" w:hAnsi="Arial" w:cs="Arial"/>
                <w:sz w:val="18"/>
                <w:lang w:eastAsia="ja-JP"/>
              </w:rPr>
              <w:t>ies</w:t>
            </w:r>
            <w:r>
              <w:rPr>
                <w:rFonts w:hint="eastAsia" w:ascii="Arial" w:hAnsi="Arial" w:cs="Arial"/>
                <w:sz w:val="18"/>
                <w:lang w:eastAsia="ja-JP"/>
              </w:rPr>
              <w:t xml:space="preserve"> </w:t>
            </w:r>
            <w:r>
              <w:rPr>
                <w:rFonts w:ascii="Arial" w:hAnsi="Arial" w:cs="Arial"/>
                <w:sz w:val="18"/>
                <w:lang w:eastAsia="ja-JP"/>
              </w:rPr>
              <w:t xml:space="preserve">at a </w:t>
            </w:r>
            <w:r>
              <w:rPr>
                <w:rFonts w:hint="eastAsia" w:ascii="Arial" w:hAnsi="Arial" w:cs="Arial"/>
                <w:sz w:val="18"/>
                <w:lang w:eastAsia="ja-JP"/>
              </w:rPr>
              <w:t xml:space="preserve">frequency </w:t>
            </w:r>
            <w:r>
              <w:rPr>
                <w:rFonts w:ascii="Arial" w:hAnsi="Arial" w:cs="Arial"/>
                <w:sz w:val="18"/>
                <w:lang w:eastAsia="ja-JP"/>
              </w:rPr>
              <w:t xml:space="preserve">offset equal or larger than 5 MHz from the upper </w:t>
            </w:r>
            <w:r>
              <w:rPr>
                <w:rFonts w:hint="eastAsia" w:ascii="Arial" w:hAnsi="Arial" w:cs="Arial"/>
                <w:sz w:val="18"/>
                <w:lang w:eastAsia="ja-JP"/>
              </w:rPr>
              <w:t>edge of the channel bandwidth</w:t>
            </w:r>
            <w:r>
              <w:rPr>
                <w:rFonts w:ascii="Arial" w:hAnsi="Arial" w:cs="Arial"/>
                <w:sz w:val="18"/>
                <w:lang w:eastAsia="ja-JP"/>
              </w:rPr>
              <w:t>, whenever these frequencies overlap with the specified frequency band.</w:t>
            </w:r>
          </w:p>
        </w:tc>
      </w:tr>
    </w:tbl>
    <w:p/>
    <w:p>
      <w:pPr>
        <w:rPr>
          <w:lang w:eastAsia="en-GB"/>
        </w:rPr>
      </w:pPr>
      <w:r>
        <w:rPr>
          <w:lang w:eastAsia="en-GB"/>
        </w:rPr>
        <w:t>The normative reference for this requirement is TS 36.102[11] subclause 6.5A.4.4.3.</w:t>
      </w:r>
    </w:p>
    <w:p>
      <w:pPr>
        <w:pStyle w:val="9"/>
        <w:rPr>
          <w:lang w:val="en-US"/>
        </w:rPr>
      </w:pPr>
      <w:r>
        <w:t>6.5A.4.4.</w:t>
      </w:r>
      <w:r>
        <w:rPr>
          <w:lang w:val="en-US"/>
        </w:rPr>
        <w:t>4</w:t>
      </w:r>
      <w:r>
        <w:rPr>
          <w:lang w:val="en-US"/>
        </w:rPr>
        <w:tab/>
      </w:r>
      <w:r>
        <w:rPr>
          <w:lang w:val="en-US"/>
        </w:rPr>
        <w:t>Test description</w:t>
      </w:r>
    </w:p>
    <w:p>
      <w:pPr>
        <w:pStyle w:val="9"/>
      </w:pPr>
      <w:r>
        <w:rPr>
          <w:rFonts w:hint="eastAsia"/>
        </w:rPr>
        <w:t>6.5A</w:t>
      </w:r>
      <w:r>
        <w:t>.4.4.4.1</w:t>
      </w:r>
      <w:r>
        <w:tab/>
      </w:r>
      <w: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E-UTRA bands specified in clause 5.2A. All of these configurations shall be tested with applicable test parameters for each channel bandwidth and are shown in Table 6.5A.4.4.4.1-1 to Table 6.5A.4.4.4.1-2a. The details of the uplink reference measurement channels (RMCs) are specified in Annexe A.2. </w:t>
      </w:r>
      <w:r>
        <w:rPr>
          <w:rFonts w:cs="v5.0.0"/>
          <w:lang w:eastAsia="en-GB"/>
        </w:rPr>
        <w:t>Configurations of PDSCH and MPDCCH before measurement are specified in Annex C.2.</w:t>
      </w:r>
    </w:p>
    <w:p>
      <w:pPr>
        <w:pStyle w:val="113"/>
        <w:keepNext/>
        <w:keepLines/>
        <w:spacing w:before="60"/>
        <w:jc w:val="center"/>
        <w:rPr>
          <w:lang w:eastAsia="en-GB"/>
        </w:rPr>
      </w:pPr>
      <w:r>
        <w:rPr>
          <w:lang w:eastAsia="en-GB"/>
        </w:rPr>
        <w:t>Table 6.5A.4.4.4.1-1: Test Configuration Table (network signalled value "NS_02N")</w:t>
      </w:r>
    </w:p>
    <w:tbl>
      <w:tblPr>
        <w:tblStyle w:val="8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354"/>
        <w:gridCol w:w="992"/>
        <w:gridCol w:w="2734"/>
        <w:gridCol w:w="1304"/>
        <w:gridCol w:w="3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lang w:eastAsia="en-GB"/>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Channel Bandwidths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54" w:type="dxa"/>
            <w:shd w:val="clear" w:color="auto" w:fill="auto"/>
            <w:vAlign w:val="center"/>
          </w:tcPr>
          <w:p>
            <w:pPr>
              <w:keepNext/>
              <w:keepLines/>
              <w:spacing w:after="0"/>
              <w:jc w:val="center"/>
              <w:rPr>
                <w:rFonts w:ascii="Arial" w:hAnsi="Arial"/>
                <w:b/>
                <w:sz w:val="18"/>
              </w:rPr>
            </w:pPr>
          </w:p>
        </w:tc>
        <w:tc>
          <w:tcPr>
            <w:tcW w:w="992" w:type="dxa"/>
            <w:shd w:val="clear" w:color="auto" w:fill="auto"/>
            <w:vAlign w:val="center"/>
          </w:tcPr>
          <w:p>
            <w:pPr>
              <w:keepNext/>
              <w:keepLines/>
              <w:spacing w:after="0"/>
              <w:jc w:val="center"/>
              <w:rPr>
                <w:rFonts w:ascii="Arial" w:hAnsi="Arial"/>
                <w:b/>
                <w:sz w:val="18"/>
              </w:rPr>
            </w:pPr>
          </w:p>
        </w:tc>
        <w:tc>
          <w:tcPr>
            <w:tcW w:w="2734" w:type="dxa"/>
            <w:shd w:val="clear" w:color="auto" w:fill="auto"/>
            <w:vAlign w:val="center"/>
          </w:tcPr>
          <w:p>
            <w:pPr>
              <w:keepNext/>
              <w:keepLines/>
              <w:spacing w:after="0"/>
              <w:jc w:val="center"/>
              <w:rPr>
                <w:rFonts w:ascii="Arial" w:hAnsi="Arial"/>
                <w:b/>
                <w:sz w:val="18"/>
              </w:rPr>
            </w:pPr>
            <w:r>
              <w:rPr>
                <w:rFonts w:ascii="Arial" w:hAnsi="Arial"/>
                <w:b/>
                <w:sz w:val="18"/>
              </w:rPr>
              <w:t>Downlink Configuration</w:t>
            </w:r>
          </w:p>
        </w:tc>
        <w:tc>
          <w:tcPr>
            <w:tcW w:w="4474" w:type="dxa"/>
            <w:gridSpan w:val="2"/>
            <w:shd w:val="clear" w:color="auto" w:fill="auto"/>
            <w:vAlign w:val="cente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54"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Configuration ID</w:t>
            </w:r>
          </w:p>
        </w:tc>
        <w:tc>
          <w:tcPr>
            <w:tcW w:w="992"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Ch BW</w:t>
            </w:r>
          </w:p>
        </w:tc>
        <w:tc>
          <w:tcPr>
            <w:tcW w:w="2734" w:type="dxa"/>
            <w:vMerge w:val="restart"/>
            <w:shd w:val="clear" w:color="auto" w:fill="auto"/>
            <w:vAlign w:val="center"/>
          </w:tcPr>
          <w:p>
            <w:pPr>
              <w:keepNext/>
              <w:keepLines/>
              <w:spacing w:after="0"/>
              <w:jc w:val="center"/>
              <w:rPr>
                <w:rFonts w:ascii="Arial" w:hAnsi="Arial"/>
                <w:sz w:val="18"/>
              </w:rPr>
            </w:pPr>
            <w:r>
              <w:rPr>
                <w:rFonts w:ascii="Arial" w:hAnsi="Arial"/>
                <w:sz w:val="18"/>
              </w:rPr>
              <w:t>N/A</w:t>
            </w:r>
          </w:p>
        </w:tc>
        <w:tc>
          <w:tcPr>
            <w:tcW w:w="1304"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Mod'n</w:t>
            </w:r>
          </w:p>
        </w:tc>
        <w:tc>
          <w:tcPr>
            <w:tcW w:w="3170" w:type="dxa"/>
            <w:shd w:val="clear" w:color="auto" w:fill="auto"/>
            <w:vAlign w:val="center"/>
          </w:tcPr>
          <w:p>
            <w:pPr>
              <w:keepNext/>
              <w:keepLines/>
              <w:spacing w:after="0"/>
              <w:jc w:val="center"/>
              <w:rPr>
                <w:rFonts w:ascii="Arial" w:hAnsi="Arial"/>
                <w:b/>
                <w:bCs/>
                <w:sz w:val="18"/>
              </w:rPr>
            </w:pPr>
            <w:r>
              <w:rPr>
                <w:rFonts w:ascii="Arial" w:hAnsi="Arial"/>
                <w:b/>
                <w:bCs/>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70" w:hRule="atLeast"/>
        </w:trPr>
        <w:tc>
          <w:tcPr>
            <w:tcW w:w="1354"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992"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2734" w:type="dxa"/>
            <w:vMerge w:val="continue"/>
            <w:tcBorders>
              <w:bottom w:val="single" w:color="auto" w:sz="4" w:space="0"/>
            </w:tcBorders>
            <w:vAlign w:val="center"/>
          </w:tcPr>
          <w:p>
            <w:pPr>
              <w:keepNext/>
              <w:keepLines/>
              <w:spacing w:after="0"/>
              <w:jc w:val="center"/>
              <w:rPr>
                <w:rFonts w:ascii="Arial" w:hAnsi="Arial"/>
                <w:sz w:val="18"/>
              </w:rPr>
            </w:pPr>
          </w:p>
        </w:tc>
        <w:tc>
          <w:tcPr>
            <w:tcW w:w="1304" w:type="dxa"/>
            <w:vMerge w:val="continue"/>
            <w:tcBorders>
              <w:bottom w:val="single" w:color="auto" w:sz="4" w:space="0"/>
            </w:tcBorders>
            <w:shd w:val="clear" w:color="auto" w:fill="auto"/>
            <w:vAlign w:val="center"/>
          </w:tcPr>
          <w:p>
            <w:pPr>
              <w:keepNext/>
              <w:keepLines/>
              <w:spacing w:after="0"/>
              <w:jc w:val="center"/>
              <w:rPr>
                <w:rFonts w:ascii="Arial" w:hAnsi="Arial"/>
                <w:b/>
                <w:bCs/>
                <w:sz w:val="18"/>
              </w:rPr>
            </w:pPr>
          </w:p>
        </w:tc>
        <w:tc>
          <w:tcPr>
            <w:tcW w:w="3170" w:type="dxa"/>
            <w:tcBorders>
              <w:bottom w:val="single" w:color="auto" w:sz="4" w:space="0"/>
            </w:tcBorders>
            <w:shd w:val="clear" w:color="auto" w:fill="auto"/>
            <w:vAlign w:val="center"/>
          </w:tcPr>
          <w:p>
            <w:pPr>
              <w:keepNext/>
              <w:keepLines/>
              <w:spacing w:after="0"/>
              <w:jc w:val="center"/>
              <w:rPr>
                <w:rFonts w:ascii="Arial" w:hAnsi="Arial"/>
                <w:b/>
                <w:bCs/>
                <w:sz w:val="18"/>
              </w:rPr>
            </w:pPr>
            <w:r>
              <w:rPr>
                <w:rFonts w:ascii="Arial" w:hAnsi="Arial"/>
                <w:b/>
                <w:bCs/>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54" w:type="dxa"/>
            <w:shd w:val="clear" w:color="auto" w:fill="auto"/>
            <w:vAlign w:val="center"/>
          </w:tcPr>
          <w:p>
            <w:pPr>
              <w:keepNext/>
              <w:keepLines/>
              <w:spacing w:after="0"/>
              <w:jc w:val="center"/>
              <w:rPr>
                <w:rFonts w:ascii="Arial" w:hAnsi="Arial"/>
                <w:sz w:val="18"/>
              </w:rPr>
            </w:pPr>
            <w:r>
              <w:rPr>
                <w:rFonts w:ascii="Arial" w:hAnsi="Arial"/>
                <w:sz w:val="18"/>
              </w:rPr>
              <w:t>1</w:t>
            </w:r>
          </w:p>
        </w:tc>
        <w:tc>
          <w:tcPr>
            <w:tcW w:w="992"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1304"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3170" w:type="dxa"/>
            <w:shd w:val="clear" w:color="auto" w:fill="auto"/>
            <w:vAlign w:val="center"/>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54"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2</w:t>
            </w:r>
          </w:p>
        </w:tc>
        <w:tc>
          <w:tcPr>
            <w:tcW w:w="992"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1</w:t>
            </w:r>
            <w:r>
              <w:rPr>
                <w:rFonts w:ascii="Arial" w:hAnsi="Arial" w:eastAsiaTheme="minorEastAsia"/>
                <w:sz w:val="18"/>
              </w:rPr>
              <w:t>.4 MHz</w:t>
            </w:r>
          </w:p>
        </w:tc>
        <w:tc>
          <w:tcPr>
            <w:tcW w:w="2734" w:type="dxa"/>
            <w:vMerge w:val="continue"/>
            <w:shd w:val="clear" w:color="auto" w:fill="auto"/>
            <w:vAlign w:val="center"/>
          </w:tcPr>
          <w:p>
            <w:pPr>
              <w:keepNext/>
              <w:keepLines/>
              <w:spacing w:after="0"/>
              <w:jc w:val="center"/>
              <w:rPr>
                <w:rFonts w:ascii="Arial" w:hAnsi="Arial"/>
                <w:sz w:val="18"/>
              </w:rPr>
            </w:pPr>
          </w:p>
        </w:tc>
        <w:tc>
          <w:tcPr>
            <w:tcW w:w="1304"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Q</w:t>
            </w:r>
            <w:r>
              <w:rPr>
                <w:rFonts w:ascii="Arial" w:hAnsi="Arial" w:eastAsiaTheme="minorEastAsia"/>
                <w:sz w:val="18"/>
              </w:rPr>
              <w:t>PSK</w:t>
            </w:r>
          </w:p>
        </w:tc>
        <w:tc>
          <w:tcPr>
            <w:tcW w:w="3170"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54" w:type="dxa"/>
            <w:shd w:val="clear" w:color="auto" w:fill="auto"/>
            <w:vAlign w:val="center"/>
          </w:tcPr>
          <w:p>
            <w:pPr>
              <w:keepNext/>
              <w:keepLines/>
              <w:spacing w:after="0"/>
              <w:jc w:val="center"/>
              <w:rPr>
                <w:rFonts w:ascii="Arial" w:hAnsi="Arial"/>
                <w:sz w:val="18"/>
              </w:rPr>
            </w:pPr>
            <w:r>
              <w:rPr>
                <w:rFonts w:ascii="Arial" w:hAnsi="Arial"/>
                <w:sz w:val="18"/>
              </w:rPr>
              <w:t>3</w:t>
            </w:r>
          </w:p>
        </w:tc>
        <w:tc>
          <w:tcPr>
            <w:tcW w:w="992"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1304"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3170" w:type="dxa"/>
            <w:shd w:val="clear" w:color="auto" w:fill="auto"/>
            <w:vAlign w:val="center"/>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shd w:val="clear" w:color="auto" w:fill="auto"/>
            <w:vAlign w:val="center"/>
          </w:tcPr>
          <w:p>
            <w:pPr>
              <w:keepNext/>
              <w:keepLines/>
              <w:spacing w:after="0"/>
              <w:ind w:left="578" w:hanging="578"/>
              <w:rPr>
                <w:rFonts w:ascii="Arial" w:hAnsi="Arial"/>
                <w:sz w:val="18"/>
                <w:lang w:eastAsia="sv-SE"/>
              </w:rPr>
            </w:pPr>
            <w:r>
              <w:rPr>
                <w:rFonts w:ascii="Arial" w:hAnsi="Arial"/>
                <w:sz w:val="18"/>
              </w:rPr>
              <w:t xml:space="preserve">Note 1: </w:t>
            </w:r>
            <w:r>
              <w:rPr>
                <w:rFonts w:ascii="Arial" w:hAnsi="Arial"/>
                <w:sz w:val="18"/>
                <w:lang w:eastAsia="sv-SE"/>
              </w:rPr>
              <w:t>The RB</w:t>
            </w:r>
            <w:r>
              <w:rPr>
                <w:rFonts w:ascii="Arial" w:hAnsi="Arial"/>
                <w:sz w:val="18"/>
                <w:vertAlign w:val="subscript"/>
                <w:lang w:eastAsia="sv-SE"/>
              </w:rPr>
              <w:t>start</w:t>
            </w:r>
            <w:r>
              <w:rPr>
                <w:rFonts w:ascii="Arial" w:hAnsi="Arial"/>
                <w:sz w:val="18"/>
                <w:lang w:eastAsia="sv-SE"/>
              </w:rPr>
              <w:t xml:space="preserve"> of partial RB allocation shall be RB#0.</w:t>
            </w:r>
          </w:p>
        </w:tc>
      </w:tr>
    </w:tbl>
    <w:p>
      <w:pPr>
        <w:rPr>
          <w:lang w:eastAsia="en-GB"/>
        </w:rPr>
      </w:pPr>
    </w:p>
    <w:p>
      <w:pPr>
        <w:pStyle w:val="113"/>
      </w:pPr>
      <w:r>
        <w:rPr>
          <w:bCs/>
          <w:lang w:eastAsia="en-GB"/>
        </w:rPr>
        <w:t xml:space="preserve">Table 6.5A.4.4.4.1-1a: </w:t>
      </w:r>
      <w:r>
        <w:t>Test Configuration Table, subPRB allocation (network signalled value “NS_02N”)</w:t>
      </w:r>
    </w:p>
    <w:tbl>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 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lang w:eastAsia="en-GB"/>
        </w:rPr>
      </w:pPr>
    </w:p>
    <w:p>
      <w:pPr>
        <w:pStyle w:val="113"/>
        <w:keepNext/>
        <w:keepLines/>
        <w:spacing w:before="60"/>
        <w:jc w:val="center"/>
        <w:rPr>
          <w:lang w:eastAsia="en-GB"/>
        </w:rPr>
      </w:pPr>
      <w:r>
        <w:rPr>
          <w:lang w:eastAsia="en-GB"/>
        </w:rPr>
        <w:t>Table 6.5A.4.4.4.1-2: Test Configuration Table (network signalled value "NS_24")</w:t>
      </w:r>
    </w:p>
    <w:tbl>
      <w:tblPr>
        <w:tblStyle w:val="89"/>
        <w:tblW w:w="0" w:type="auto"/>
        <w:tblInd w:w="-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212"/>
        <w:gridCol w:w="1134"/>
        <w:gridCol w:w="2734"/>
        <w:gridCol w:w="2153"/>
        <w:gridCol w:w="2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lang w:eastAsia="en-GB"/>
              </w:rP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080" w:type="dxa"/>
            <w:gridSpan w:val="3"/>
            <w:shd w:val="clear" w:color="auto" w:fill="auto"/>
            <w:vAlign w:val="center"/>
          </w:tcPr>
          <w:p>
            <w:pPr>
              <w:keepNext/>
              <w:keepLines/>
              <w:spacing w:after="0"/>
              <w:rPr>
                <w:rFonts w:ascii="Arial" w:hAnsi="Arial"/>
                <w:sz w:val="18"/>
              </w:rPr>
            </w:pPr>
            <w:r>
              <w:rPr>
                <w:rFonts w:ascii="Arial" w:hAnsi="Arial"/>
                <w:bCs/>
                <w:sz w:val="18"/>
              </w:rPr>
              <w:t>Test Channel Bandwidths as specified in</w:t>
            </w:r>
          </w:p>
          <w:p>
            <w:pPr>
              <w:keepNext/>
              <w:keepLines/>
              <w:spacing w:after="0"/>
              <w:rPr>
                <w:rFonts w:ascii="Arial" w:hAnsi="Arial"/>
                <w:sz w:val="18"/>
              </w:rPr>
            </w:pPr>
            <w:r>
              <w:rPr>
                <w:rFonts w:ascii="Arial" w:hAnsi="Arial"/>
                <w:sz w:val="18"/>
              </w:rPr>
              <w:t>TS 36.508 [12] subclause 4.3.1</w:t>
            </w:r>
          </w:p>
        </w:tc>
        <w:tc>
          <w:tcPr>
            <w:tcW w:w="4474" w:type="dxa"/>
            <w:gridSpan w:val="2"/>
            <w:shd w:val="clear" w:color="auto" w:fill="auto"/>
            <w:vAlign w:val="center"/>
          </w:tcPr>
          <w:p>
            <w:pPr>
              <w:keepNext/>
              <w:keepLines/>
              <w:spacing w:after="0"/>
              <w:rPr>
                <w:rFonts w:ascii="Arial" w:hAnsi="Arial"/>
                <w:sz w:val="18"/>
              </w:rPr>
            </w:pPr>
            <w:r>
              <w:rPr>
                <w:rFonts w:ascii="Arial" w:hAnsi="Arial"/>
                <w:sz w:val="18"/>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shd w:val="clear" w:color="auto" w:fill="auto"/>
            <w:vAlign w:val="center"/>
          </w:tcPr>
          <w:p>
            <w:pPr>
              <w:keepNext/>
              <w:keepLines/>
              <w:spacing w:after="0"/>
              <w:jc w:val="center"/>
              <w:rPr>
                <w:rFonts w:ascii="Arial" w:hAnsi="Arial"/>
                <w:b/>
                <w:sz w:val="18"/>
              </w:rPr>
            </w:pPr>
            <w:r>
              <w:rPr>
                <w:rFonts w:ascii="Arial" w:hAnsi="Arial"/>
                <w:b/>
                <w:sz w:val="18"/>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keepNext/>
              <w:keepLines/>
              <w:spacing w:after="0"/>
              <w:jc w:val="center"/>
              <w:rPr>
                <w:rFonts w:ascii="Arial" w:hAnsi="Arial"/>
                <w:b/>
                <w:sz w:val="18"/>
              </w:rPr>
            </w:pPr>
          </w:p>
        </w:tc>
        <w:tc>
          <w:tcPr>
            <w:tcW w:w="1134" w:type="dxa"/>
            <w:shd w:val="clear" w:color="auto" w:fill="auto"/>
            <w:vAlign w:val="center"/>
          </w:tcPr>
          <w:p>
            <w:pPr>
              <w:keepNext/>
              <w:keepLines/>
              <w:spacing w:after="0"/>
              <w:jc w:val="center"/>
              <w:rPr>
                <w:rFonts w:ascii="Arial" w:hAnsi="Arial"/>
                <w:b/>
                <w:sz w:val="18"/>
              </w:rPr>
            </w:pPr>
          </w:p>
        </w:tc>
        <w:tc>
          <w:tcPr>
            <w:tcW w:w="2734" w:type="dxa"/>
            <w:shd w:val="clear" w:color="auto" w:fill="auto"/>
            <w:vAlign w:val="center"/>
          </w:tcPr>
          <w:p>
            <w:pPr>
              <w:keepNext/>
              <w:keepLines/>
              <w:spacing w:after="0"/>
              <w:jc w:val="center"/>
              <w:rPr>
                <w:rFonts w:ascii="Arial" w:hAnsi="Arial"/>
                <w:b/>
                <w:sz w:val="18"/>
              </w:rPr>
            </w:pPr>
            <w:r>
              <w:rPr>
                <w:rFonts w:ascii="Arial" w:hAnsi="Arial"/>
                <w:b/>
                <w:sz w:val="18"/>
              </w:rPr>
              <w:t>Downlink Configuration</w:t>
            </w:r>
          </w:p>
        </w:tc>
        <w:tc>
          <w:tcPr>
            <w:tcW w:w="4474" w:type="dxa"/>
            <w:gridSpan w:val="2"/>
            <w:shd w:val="clear" w:color="auto" w:fill="auto"/>
            <w:vAlign w:val="cente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Configuration ID</w:t>
            </w:r>
          </w:p>
        </w:tc>
        <w:tc>
          <w:tcPr>
            <w:tcW w:w="1134"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Ch BW</w:t>
            </w:r>
          </w:p>
        </w:tc>
        <w:tc>
          <w:tcPr>
            <w:tcW w:w="2734" w:type="dxa"/>
            <w:vMerge w:val="restart"/>
            <w:shd w:val="clear" w:color="auto" w:fill="auto"/>
            <w:vAlign w:val="center"/>
          </w:tcPr>
          <w:p>
            <w:pPr>
              <w:keepNext/>
              <w:keepLines/>
              <w:spacing w:after="0"/>
              <w:jc w:val="center"/>
              <w:rPr>
                <w:rFonts w:ascii="Arial" w:hAnsi="Arial"/>
                <w:sz w:val="18"/>
              </w:rPr>
            </w:pPr>
            <w:r>
              <w:rPr>
                <w:rFonts w:ascii="Arial" w:hAnsi="Arial"/>
                <w:sz w:val="18"/>
              </w:rPr>
              <w:t>N/A</w:t>
            </w:r>
          </w:p>
        </w:tc>
        <w:tc>
          <w:tcPr>
            <w:tcW w:w="2153" w:type="dxa"/>
            <w:vMerge w:val="restart"/>
            <w:shd w:val="clear" w:color="auto" w:fill="auto"/>
            <w:vAlign w:val="center"/>
          </w:tcPr>
          <w:p>
            <w:pPr>
              <w:keepNext/>
              <w:keepLines/>
              <w:spacing w:after="0"/>
              <w:jc w:val="center"/>
              <w:rPr>
                <w:rFonts w:ascii="Arial" w:hAnsi="Arial"/>
                <w:b/>
                <w:bCs/>
                <w:sz w:val="18"/>
              </w:rPr>
            </w:pPr>
            <w:r>
              <w:rPr>
                <w:rFonts w:ascii="Arial" w:hAnsi="Arial"/>
                <w:b/>
                <w:bCs/>
                <w:sz w:val="18"/>
              </w:rPr>
              <w:t>Mod'n</w:t>
            </w:r>
          </w:p>
        </w:tc>
        <w:tc>
          <w:tcPr>
            <w:tcW w:w="2321" w:type="dxa"/>
            <w:shd w:val="clear" w:color="auto" w:fill="auto"/>
            <w:vAlign w:val="center"/>
          </w:tcPr>
          <w:p>
            <w:pPr>
              <w:keepNext/>
              <w:keepLines/>
              <w:spacing w:after="0"/>
              <w:jc w:val="center"/>
              <w:rPr>
                <w:rFonts w:ascii="Arial" w:hAnsi="Arial"/>
                <w:b/>
                <w:bCs/>
                <w:sz w:val="18"/>
              </w:rPr>
            </w:pPr>
            <w:r>
              <w:rPr>
                <w:rFonts w:ascii="Arial" w:hAnsi="Arial"/>
                <w:b/>
                <w:bCs/>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470" w:hRule="atLeast"/>
        </w:trPr>
        <w:tc>
          <w:tcPr>
            <w:tcW w:w="1212"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1134" w:type="dxa"/>
            <w:vMerge w:val="continue"/>
            <w:tcBorders>
              <w:bottom w:val="single" w:color="auto" w:sz="4" w:space="0"/>
            </w:tcBorders>
            <w:shd w:val="clear" w:color="auto" w:fill="auto"/>
            <w:vAlign w:val="center"/>
          </w:tcPr>
          <w:p>
            <w:pPr>
              <w:keepNext/>
              <w:keepLines/>
              <w:spacing w:after="0"/>
              <w:jc w:val="center"/>
              <w:rPr>
                <w:rFonts w:ascii="Arial" w:hAnsi="Arial"/>
                <w:sz w:val="18"/>
              </w:rPr>
            </w:pPr>
          </w:p>
        </w:tc>
        <w:tc>
          <w:tcPr>
            <w:tcW w:w="2734" w:type="dxa"/>
            <w:vMerge w:val="continue"/>
            <w:tcBorders>
              <w:bottom w:val="single" w:color="auto" w:sz="4" w:space="0"/>
            </w:tcBorders>
            <w:vAlign w:val="center"/>
          </w:tcPr>
          <w:p>
            <w:pPr>
              <w:keepNext/>
              <w:keepLines/>
              <w:spacing w:after="0"/>
              <w:jc w:val="center"/>
              <w:rPr>
                <w:rFonts w:ascii="Arial" w:hAnsi="Arial"/>
                <w:sz w:val="18"/>
              </w:rPr>
            </w:pPr>
          </w:p>
        </w:tc>
        <w:tc>
          <w:tcPr>
            <w:tcW w:w="2153" w:type="dxa"/>
            <w:vMerge w:val="continue"/>
            <w:tcBorders>
              <w:bottom w:val="single" w:color="auto" w:sz="4" w:space="0"/>
            </w:tcBorders>
            <w:shd w:val="clear" w:color="auto" w:fill="auto"/>
            <w:vAlign w:val="center"/>
          </w:tcPr>
          <w:p>
            <w:pPr>
              <w:keepNext/>
              <w:keepLines/>
              <w:spacing w:after="0"/>
              <w:jc w:val="center"/>
              <w:rPr>
                <w:rFonts w:ascii="Arial" w:hAnsi="Arial"/>
                <w:b/>
                <w:bCs/>
                <w:sz w:val="18"/>
              </w:rPr>
            </w:pPr>
          </w:p>
        </w:tc>
        <w:tc>
          <w:tcPr>
            <w:tcW w:w="2321" w:type="dxa"/>
            <w:tcBorders>
              <w:bottom w:val="single" w:color="auto" w:sz="4" w:space="0"/>
            </w:tcBorders>
            <w:shd w:val="clear" w:color="auto" w:fill="auto"/>
            <w:vAlign w:val="center"/>
          </w:tcPr>
          <w:p>
            <w:pPr>
              <w:keepNext/>
              <w:keepLines/>
              <w:spacing w:after="0"/>
              <w:jc w:val="center"/>
              <w:rPr>
                <w:rFonts w:ascii="Arial" w:hAnsi="Arial"/>
                <w:b/>
                <w:bCs/>
                <w:sz w:val="18"/>
              </w:rPr>
            </w:pPr>
            <w:r>
              <w:rPr>
                <w:rFonts w:ascii="Arial" w:hAnsi="Arial"/>
                <w:b/>
                <w:bCs/>
                <w:sz w:val="18"/>
              </w:rP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keepNext/>
              <w:keepLines/>
              <w:spacing w:after="0"/>
              <w:jc w:val="center"/>
              <w:rPr>
                <w:rFonts w:ascii="Arial" w:hAnsi="Arial"/>
                <w:sz w:val="18"/>
              </w:rPr>
            </w:pPr>
            <w:r>
              <w:rPr>
                <w:rFonts w:ascii="Arial" w:hAnsi="Arial"/>
                <w:sz w:val="18"/>
              </w:rPr>
              <w:t>1</w:t>
            </w:r>
          </w:p>
        </w:tc>
        <w:tc>
          <w:tcPr>
            <w:tcW w:w="1134"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2153"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2321" w:type="dxa"/>
            <w:shd w:val="clear" w:color="auto" w:fill="auto"/>
            <w:vAlign w:val="center"/>
          </w:tcPr>
          <w:p>
            <w:pPr>
              <w:keepNext/>
              <w:keepLines/>
              <w:spacing w:after="0"/>
              <w:jc w:val="center"/>
              <w:rPr>
                <w:rFonts w:ascii="Arial" w:hAnsi="Arial"/>
                <w:sz w:val="18"/>
              </w:rPr>
            </w:pPr>
            <w:r>
              <w:rPr>
                <w:rFonts w:ascii="Arial" w:hAnsi="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keepNext/>
              <w:keepLines/>
              <w:spacing w:after="0"/>
              <w:jc w:val="center"/>
              <w:rPr>
                <w:rFonts w:ascii="Arial" w:hAnsi="Arial"/>
                <w:sz w:val="18"/>
              </w:rPr>
            </w:pPr>
            <w:r>
              <w:rPr>
                <w:rFonts w:hint="eastAsia" w:ascii="Arial" w:hAnsi="Arial"/>
                <w:sz w:val="18"/>
              </w:rPr>
              <w:t>2</w:t>
            </w:r>
          </w:p>
        </w:tc>
        <w:tc>
          <w:tcPr>
            <w:tcW w:w="1134" w:type="dxa"/>
            <w:shd w:val="clear" w:color="auto" w:fill="auto"/>
            <w:vAlign w:val="center"/>
          </w:tcPr>
          <w:p>
            <w:pPr>
              <w:keepNext/>
              <w:keepLines/>
              <w:spacing w:after="0"/>
              <w:jc w:val="center"/>
              <w:rPr>
                <w:rFonts w:ascii="Arial" w:hAnsi="Arial" w:eastAsiaTheme="minorEastAsia"/>
                <w:sz w:val="18"/>
              </w:rPr>
            </w:pPr>
            <w:r>
              <w:rPr>
                <w:rFonts w:hint="eastAsia" w:ascii="Arial" w:hAnsi="Arial"/>
                <w:sz w:val="18"/>
              </w:rPr>
              <w:t>1</w:t>
            </w:r>
            <w:r>
              <w:rPr>
                <w:rFonts w:ascii="Arial" w:hAnsi="Arial"/>
                <w:sz w:val="18"/>
              </w:rPr>
              <w:t>.4 MHz</w:t>
            </w:r>
          </w:p>
        </w:tc>
        <w:tc>
          <w:tcPr>
            <w:tcW w:w="2734" w:type="dxa"/>
            <w:vMerge w:val="continue"/>
            <w:shd w:val="clear" w:color="auto" w:fill="auto"/>
            <w:vAlign w:val="center"/>
          </w:tcPr>
          <w:p>
            <w:pPr>
              <w:keepNext/>
              <w:keepLines/>
              <w:spacing w:after="0"/>
              <w:jc w:val="center"/>
              <w:rPr>
                <w:rFonts w:ascii="Arial" w:hAnsi="Arial"/>
                <w:sz w:val="18"/>
              </w:rPr>
            </w:pPr>
          </w:p>
        </w:tc>
        <w:tc>
          <w:tcPr>
            <w:tcW w:w="2153"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Q</w:t>
            </w:r>
            <w:r>
              <w:rPr>
                <w:rFonts w:ascii="Arial" w:hAnsi="Arial" w:eastAsiaTheme="minorEastAsia"/>
                <w:sz w:val="18"/>
              </w:rPr>
              <w:t>PSK</w:t>
            </w:r>
          </w:p>
        </w:tc>
        <w:tc>
          <w:tcPr>
            <w:tcW w:w="2321" w:type="dxa"/>
            <w:shd w:val="clear" w:color="auto" w:fill="auto"/>
            <w:vAlign w:val="center"/>
          </w:tcPr>
          <w:p>
            <w:pPr>
              <w:keepNext/>
              <w:keepLines/>
              <w:spacing w:after="0"/>
              <w:jc w:val="center"/>
              <w:rPr>
                <w:rFonts w:ascii="Arial" w:hAnsi="Arial" w:eastAsiaTheme="minorEastAsia"/>
                <w:sz w:val="18"/>
              </w:rPr>
            </w:pPr>
            <w:r>
              <w:rPr>
                <w:rFonts w:hint="eastAsia" w:ascii="Arial" w:hAnsi="Arial" w:eastAsiaTheme="minorEastAsia"/>
                <w:sz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212" w:type="dxa"/>
            <w:shd w:val="clear" w:color="auto" w:fill="auto"/>
            <w:vAlign w:val="center"/>
          </w:tcPr>
          <w:p>
            <w:pPr>
              <w:keepNext/>
              <w:keepLines/>
              <w:spacing w:after="0"/>
              <w:jc w:val="center"/>
              <w:rPr>
                <w:rFonts w:ascii="Arial" w:hAnsi="Arial"/>
                <w:sz w:val="18"/>
              </w:rPr>
            </w:pPr>
            <w:r>
              <w:rPr>
                <w:rFonts w:ascii="Arial" w:hAnsi="Arial"/>
                <w:sz w:val="18"/>
              </w:rPr>
              <w:t>3</w:t>
            </w:r>
          </w:p>
        </w:tc>
        <w:tc>
          <w:tcPr>
            <w:tcW w:w="1134" w:type="dxa"/>
            <w:shd w:val="clear" w:color="auto" w:fill="auto"/>
            <w:vAlign w:val="center"/>
          </w:tcPr>
          <w:p>
            <w:pPr>
              <w:keepNext/>
              <w:keepLines/>
              <w:spacing w:after="0"/>
              <w:jc w:val="center"/>
              <w:rPr>
                <w:rFonts w:ascii="Arial" w:hAnsi="Arial"/>
                <w:sz w:val="18"/>
              </w:rPr>
            </w:pPr>
            <w:r>
              <w:rPr>
                <w:rFonts w:ascii="Arial" w:hAnsi="Arial"/>
                <w:sz w:val="18"/>
              </w:rPr>
              <w:t>1.4 MHz</w:t>
            </w:r>
          </w:p>
        </w:tc>
        <w:tc>
          <w:tcPr>
            <w:tcW w:w="2734" w:type="dxa"/>
            <w:vMerge w:val="continue"/>
            <w:shd w:val="clear" w:color="auto" w:fill="auto"/>
            <w:vAlign w:val="center"/>
          </w:tcPr>
          <w:p>
            <w:pPr>
              <w:keepNext/>
              <w:keepLines/>
              <w:spacing w:after="0"/>
              <w:jc w:val="center"/>
              <w:rPr>
                <w:rFonts w:ascii="Arial" w:hAnsi="Arial"/>
                <w:sz w:val="18"/>
              </w:rPr>
            </w:pPr>
          </w:p>
        </w:tc>
        <w:tc>
          <w:tcPr>
            <w:tcW w:w="2153" w:type="dxa"/>
            <w:shd w:val="clear" w:color="auto" w:fill="auto"/>
            <w:vAlign w:val="center"/>
          </w:tcPr>
          <w:p>
            <w:pPr>
              <w:keepNext/>
              <w:keepLines/>
              <w:spacing w:after="0"/>
              <w:jc w:val="center"/>
              <w:rPr>
                <w:rFonts w:ascii="Arial" w:hAnsi="Arial"/>
                <w:sz w:val="18"/>
              </w:rPr>
            </w:pPr>
            <w:r>
              <w:rPr>
                <w:rFonts w:ascii="Arial" w:hAnsi="Arial"/>
                <w:sz w:val="18"/>
              </w:rPr>
              <w:t>QPSK</w:t>
            </w:r>
          </w:p>
        </w:tc>
        <w:tc>
          <w:tcPr>
            <w:tcW w:w="2321" w:type="dxa"/>
            <w:shd w:val="clear" w:color="auto" w:fill="auto"/>
            <w:vAlign w:val="center"/>
          </w:tcPr>
          <w:p>
            <w:pPr>
              <w:keepNext/>
              <w:keepLines/>
              <w:spacing w:after="0"/>
              <w:jc w:val="center"/>
              <w:rPr>
                <w:rFonts w:ascii="Arial" w:hAnsi="Arial"/>
                <w:sz w:val="18"/>
              </w:rPr>
            </w:pPr>
            <w:r>
              <w:rPr>
                <w:rFonts w:ascii="Arial" w:hAnsi="Arial"/>
                <w:sz w:val="18"/>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shd w:val="clear" w:color="auto" w:fill="auto"/>
            <w:vAlign w:val="center"/>
          </w:tcPr>
          <w:p>
            <w:pPr>
              <w:keepNext/>
              <w:keepLines/>
              <w:spacing w:after="0"/>
              <w:ind w:left="578" w:hanging="578"/>
              <w:rPr>
                <w:rFonts w:ascii="Arial" w:hAnsi="Arial"/>
                <w:sz w:val="18"/>
                <w:lang w:eastAsia="sv-SE"/>
              </w:rPr>
            </w:pPr>
            <w:r>
              <w:rPr>
                <w:rFonts w:ascii="Arial" w:hAnsi="Arial"/>
                <w:sz w:val="18"/>
              </w:rPr>
              <w:t xml:space="preserve">Note 1: </w:t>
            </w:r>
            <w:r>
              <w:rPr>
                <w:lang w:eastAsia="sv-SE"/>
              </w:rPr>
              <w:t>The RB</w:t>
            </w:r>
            <w:r>
              <w:rPr>
                <w:vertAlign w:val="subscript"/>
                <w:lang w:eastAsia="sv-SE"/>
              </w:rPr>
              <w:t>start</w:t>
            </w:r>
            <w:r>
              <w:rPr>
                <w:lang w:eastAsia="sv-SE"/>
              </w:rPr>
              <w:t xml:space="preserve"> of partial RB allocation shall be RB#0</w:t>
            </w:r>
            <w:r>
              <w:rPr>
                <w:rFonts w:ascii="Arial" w:hAnsi="Arial"/>
                <w:sz w:val="18"/>
                <w:lang w:eastAsia="sv-SE"/>
              </w:rPr>
              <w:t>.</w:t>
            </w:r>
          </w:p>
        </w:tc>
      </w:tr>
    </w:tbl>
    <w:p>
      <w:pPr>
        <w:rPr>
          <w:lang w:eastAsia="en-GB"/>
        </w:rPr>
      </w:pPr>
    </w:p>
    <w:p>
      <w:pPr>
        <w:pStyle w:val="113"/>
      </w:pPr>
      <w:r>
        <w:t>Table 6.5A.4.4.4.1-2a: Test Configuration Table, subPRB allocation (network signalled value "NS_24")</w:t>
      </w:r>
    </w:p>
    <w:tbl>
      <w:tblPr>
        <w:tblStyle w:val="89"/>
        <w:tblpPr w:leftFromText="180" w:rightFromText="180" w:vertAnchor="text" w:tblpY="1"/>
        <w:tblOverlap w:val="never"/>
        <w:tblW w:w="95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70" w:type="dxa"/>
          <w:bottom w:w="0" w:type="dxa"/>
          <w:right w:w="70" w:type="dxa"/>
        </w:tblCellMar>
      </w:tblPr>
      <w:tblGrid>
        <w:gridCol w:w="1320"/>
        <w:gridCol w:w="1124"/>
        <w:gridCol w:w="2695"/>
        <w:gridCol w:w="1286"/>
        <w:gridCol w:w="3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t>Test Environment as specified in</w:t>
            </w:r>
          </w:p>
          <w:p>
            <w:pPr>
              <w:pStyle w:val="103"/>
            </w:pPr>
            <w:r>
              <w:t>TS 36.508 [12] subclause 4.1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Frequencies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5139" w:type="dxa"/>
            <w:gridSpan w:val="3"/>
            <w:tcBorders>
              <w:top w:val="single" w:color="auto" w:sz="4" w:space="0"/>
              <w:left w:val="single" w:color="auto" w:sz="4" w:space="0"/>
              <w:bottom w:val="single" w:color="auto" w:sz="4" w:space="0"/>
              <w:right w:val="single" w:color="auto" w:sz="4" w:space="0"/>
            </w:tcBorders>
            <w:vAlign w:val="center"/>
          </w:tcPr>
          <w:p>
            <w:pPr>
              <w:pStyle w:val="103"/>
            </w:pPr>
            <w:r>
              <w:rPr>
                <w:bCs/>
              </w:rPr>
              <w:t>Test Channel Bandwidths as specified in</w:t>
            </w:r>
          </w:p>
          <w:p>
            <w:pPr>
              <w:pStyle w:val="103"/>
            </w:pPr>
            <w:r>
              <w:t>TS 36.508 [12] subclause 4.3.1</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3"/>
            </w:pPr>
            <w: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04"/>
            </w:pPr>
            <w:r>
              <w:t xml:space="preserve">Test Parameters for Channel Bandwidths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2695" w:type="dxa"/>
            <w:tcBorders>
              <w:top w:val="single" w:color="auto" w:sz="4" w:space="0"/>
              <w:left w:val="single" w:color="auto" w:sz="4" w:space="0"/>
              <w:bottom w:val="single" w:color="auto" w:sz="4" w:space="0"/>
              <w:right w:val="single" w:color="auto" w:sz="4" w:space="0"/>
            </w:tcBorders>
            <w:vAlign w:val="center"/>
          </w:tcPr>
          <w:p>
            <w:pPr>
              <w:pStyle w:val="104"/>
            </w:pPr>
            <w:r>
              <w:t>Downlink Configuration</w:t>
            </w:r>
          </w:p>
        </w:tc>
        <w:tc>
          <w:tcPr>
            <w:tcW w:w="4415" w:type="dxa"/>
            <w:gridSpan w:val="2"/>
            <w:tcBorders>
              <w:top w:val="single" w:color="auto" w:sz="4" w:space="0"/>
              <w:left w:val="single" w:color="auto" w:sz="4" w:space="0"/>
              <w:bottom w:val="single" w:color="auto" w:sz="4" w:space="0"/>
              <w:right w:val="single" w:color="auto" w:sz="4" w:space="0"/>
            </w:tcBorders>
            <w:vAlign w:val="center"/>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4"/>
            </w:pPr>
            <w:r>
              <w:t>Configuration ID</w:t>
            </w:r>
          </w:p>
        </w:tc>
        <w:tc>
          <w:tcPr>
            <w:tcW w:w="1124" w:type="dxa"/>
            <w:tcBorders>
              <w:top w:val="single" w:color="auto" w:sz="4" w:space="0"/>
              <w:left w:val="single" w:color="auto" w:sz="4" w:space="0"/>
              <w:bottom w:val="single" w:color="auto" w:sz="4" w:space="0"/>
              <w:right w:val="single" w:color="auto" w:sz="4" w:space="0"/>
            </w:tcBorders>
            <w:vAlign w:val="center"/>
          </w:tcPr>
          <w:p>
            <w:pPr>
              <w:pStyle w:val="104"/>
            </w:pPr>
            <w:r>
              <w:t>Ch BW</w:t>
            </w:r>
          </w:p>
        </w:tc>
        <w:tc>
          <w:tcPr>
            <w:tcW w:w="2695" w:type="dxa"/>
            <w:vMerge w:val="restart"/>
            <w:tcBorders>
              <w:top w:val="single" w:color="auto" w:sz="4" w:space="0"/>
              <w:left w:val="single" w:color="auto" w:sz="4" w:space="0"/>
              <w:bottom w:val="single" w:color="auto" w:sz="4" w:space="0"/>
              <w:right w:val="single" w:color="auto" w:sz="4" w:space="0"/>
            </w:tcBorders>
            <w:vAlign w:val="center"/>
          </w:tcPr>
          <w:p>
            <w:pPr>
              <w:pStyle w:val="105"/>
            </w:pPr>
            <w:r>
              <w:t>N/A</w:t>
            </w:r>
          </w:p>
        </w:tc>
        <w:tc>
          <w:tcPr>
            <w:tcW w:w="1286" w:type="dxa"/>
            <w:tcBorders>
              <w:top w:val="single" w:color="auto" w:sz="4" w:space="0"/>
              <w:left w:val="single" w:color="auto" w:sz="4" w:space="0"/>
              <w:bottom w:val="single" w:color="auto" w:sz="4" w:space="0"/>
              <w:right w:val="single" w:color="auto" w:sz="4" w:space="0"/>
            </w:tcBorders>
            <w:vAlign w:val="center"/>
          </w:tcPr>
          <w:p>
            <w:pPr>
              <w:pStyle w:val="104"/>
            </w:pPr>
            <w:r>
              <w:t>Mod'n</w:t>
            </w:r>
          </w:p>
        </w:tc>
        <w:tc>
          <w:tcPr>
            <w:tcW w:w="3129" w:type="dxa"/>
            <w:tcBorders>
              <w:top w:val="single" w:color="auto" w:sz="4" w:space="0"/>
              <w:left w:val="single" w:color="auto" w:sz="4" w:space="0"/>
              <w:bottom w:val="single" w:color="auto" w:sz="4" w:space="0"/>
              <w:right w:val="single" w:color="auto" w:sz="4" w:space="0"/>
            </w:tcBorders>
            <w:vAlign w:val="center"/>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trPr>
        <w:tc>
          <w:tcPr>
            <w:tcW w:w="1320" w:type="dxa"/>
            <w:vMerge w:val="restart"/>
            <w:tcBorders>
              <w:top w:val="single" w:color="auto" w:sz="4" w:space="0"/>
              <w:left w:val="single" w:color="auto" w:sz="4" w:space="0"/>
              <w:bottom w:val="single" w:color="auto" w:sz="4" w:space="0"/>
              <w:right w:val="single" w:color="auto" w:sz="4" w:space="0"/>
            </w:tcBorders>
            <w:vAlign w:val="center"/>
          </w:tcPr>
          <w:p>
            <w:pPr>
              <w:pStyle w:val="104"/>
            </w:pPr>
          </w:p>
        </w:tc>
        <w:tc>
          <w:tcPr>
            <w:tcW w:w="1124"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1286"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restart"/>
            <w:tcBorders>
              <w:top w:val="single" w:color="auto" w:sz="4" w:space="0"/>
              <w:left w:val="single" w:color="auto" w:sz="4" w:space="0"/>
              <w:bottom w:val="single" w:color="auto" w:sz="4" w:space="0"/>
              <w:right w:val="single" w:color="auto" w:sz="4" w:space="0"/>
            </w:tcBorders>
            <w:vAlign w:val="center"/>
          </w:tcPr>
          <w:p>
            <w:pPr>
              <w:pStyle w:val="104"/>
            </w:pPr>
            <w:r>
              <w:t>FDD and HD-FDD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0"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pStyle w:val="104"/>
              <w:rPr>
                <w:rFonts w:ascii="CG Times (WN)" w:hAnsi="CG Times (WN)"/>
                <w:lang w:eastAsia="en-GB"/>
              </w:rPr>
            </w:pPr>
          </w:p>
        </w:tc>
        <w:tc>
          <w:tcPr>
            <w:tcW w:w="3129" w:type="dxa"/>
            <w:vMerge w:val="continue"/>
            <w:tcBorders>
              <w:top w:val="single" w:color="auto" w:sz="4" w:space="0"/>
              <w:left w:val="single" w:color="auto" w:sz="4" w:space="0"/>
              <w:bottom w:val="single" w:color="auto" w:sz="4" w:space="0"/>
              <w:right w:val="single" w:color="auto" w:sz="4" w:space="0"/>
            </w:tcBorders>
            <w:vAlign w:val="center"/>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1320" w:type="dxa"/>
            <w:tcBorders>
              <w:top w:val="single" w:color="auto" w:sz="4" w:space="0"/>
              <w:left w:val="single" w:color="auto" w:sz="4" w:space="0"/>
              <w:bottom w:val="single" w:color="auto" w:sz="4" w:space="0"/>
              <w:right w:val="single" w:color="auto" w:sz="4" w:space="0"/>
            </w:tcBorders>
            <w:vAlign w:val="center"/>
          </w:tcPr>
          <w:p>
            <w:pPr>
              <w:pStyle w:val="105"/>
            </w:pPr>
            <w:r>
              <w:t>1</w:t>
            </w:r>
          </w:p>
        </w:tc>
        <w:tc>
          <w:tcPr>
            <w:tcW w:w="1124" w:type="dxa"/>
            <w:tcBorders>
              <w:top w:val="single" w:color="auto" w:sz="4" w:space="0"/>
              <w:left w:val="single" w:color="auto" w:sz="4" w:space="0"/>
              <w:bottom w:val="single" w:color="auto" w:sz="4" w:space="0"/>
              <w:right w:val="single" w:color="auto" w:sz="4" w:space="0"/>
            </w:tcBorders>
          </w:tcPr>
          <w:p>
            <w:pPr>
              <w:pStyle w:val="105"/>
            </w:pPr>
            <w:r>
              <w:t>1.4MHz</w:t>
            </w:r>
          </w:p>
        </w:tc>
        <w:tc>
          <w:tcPr>
            <w:tcW w:w="2695" w:type="dxa"/>
            <w:tcBorders>
              <w:top w:val="single" w:color="auto" w:sz="4" w:space="0"/>
              <w:left w:val="single" w:color="auto" w:sz="4" w:space="0"/>
              <w:bottom w:val="single" w:color="auto" w:sz="4" w:space="0"/>
              <w:right w:val="single" w:color="auto" w:sz="4" w:space="0"/>
            </w:tcBorders>
            <w:vAlign w:val="center"/>
          </w:tcPr>
          <w:p>
            <w:pPr>
              <w:pStyle w:val="105"/>
            </w:pPr>
          </w:p>
        </w:tc>
        <w:tc>
          <w:tcPr>
            <w:tcW w:w="1286" w:type="dxa"/>
            <w:tcBorders>
              <w:top w:val="single" w:color="auto" w:sz="4" w:space="0"/>
              <w:left w:val="single" w:color="auto" w:sz="4" w:space="0"/>
              <w:bottom w:val="single" w:color="auto" w:sz="4" w:space="0"/>
              <w:right w:val="single" w:color="auto" w:sz="4" w:space="0"/>
            </w:tcBorders>
            <w:vAlign w:val="center"/>
          </w:tcPr>
          <w:p>
            <w:pPr>
              <w:pStyle w:val="105"/>
            </w:pPr>
            <w:r>
              <w:t>QPSK</w:t>
            </w:r>
          </w:p>
        </w:tc>
        <w:tc>
          <w:tcPr>
            <w:tcW w:w="3129" w:type="dxa"/>
            <w:tcBorders>
              <w:top w:val="single" w:color="auto" w:sz="4" w:space="0"/>
              <w:left w:val="single" w:color="auto" w:sz="4" w:space="0"/>
              <w:bottom w:val="single" w:color="auto" w:sz="4" w:space="0"/>
              <w:right w:val="single" w:color="auto" w:sz="4" w:space="0"/>
            </w:tcBorders>
            <w:vAlign w:val="center"/>
          </w:tcPr>
          <w:p>
            <w:pPr>
              <w:pStyle w:val="105"/>
            </w:pPr>
            <w:r>
              <w:t>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c>
          <w:tcPr>
            <w:tcW w:w="9554" w:type="dxa"/>
            <w:gridSpan w:val="5"/>
            <w:tcBorders>
              <w:top w:val="single" w:color="auto" w:sz="4" w:space="0"/>
              <w:left w:val="single" w:color="auto" w:sz="4" w:space="0"/>
              <w:bottom w:val="single" w:color="auto" w:sz="4" w:space="0"/>
              <w:right w:val="single" w:color="auto" w:sz="4" w:space="0"/>
            </w:tcBorders>
            <w:vAlign w:val="center"/>
          </w:tcPr>
          <w:p>
            <w:pPr>
              <w:pStyle w:val="118"/>
              <w:rPr>
                <w:lang w:eastAsia="sv-SE"/>
              </w:rPr>
            </w:pPr>
            <w:r>
              <w:rPr>
                <w:lang w:eastAsia="sv-SE"/>
              </w:rPr>
              <w:t>Note 1:</w:t>
            </w:r>
            <w:r>
              <w:rPr>
                <w:lang w:eastAsia="sv-SE"/>
              </w:rPr>
              <w:tab/>
            </w:r>
            <w:r>
              <w:rPr>
                <w:lang w:eastAsia="sv-SE"/>
              </w:rPr>
              <w:t>the SC</w:t>
            </w:r>
            <w:r>
              <w:rPr>
                <w:vertAlign w:val="subscript"/>
                <w:lang w:eastAsia="sv-SE"/>
              </w:rPr>
              <w:t>start</w:t>
            </w:r>
            <w:r>
              <w:rPr>
                <w:lang w:eastAsia="sv-SE"/>
              </w:rPr>
              <w:t xml:space="preserve"> shall be 0. </w:t>
            </w:r>
          </w:p>
        </w:tc>
      </w:tr>
    </w:tbl>
    <w:p>
      <w:pPr>
        <w:rPr>
          <w:lang w:eastAsia="en-GB"/>
        </w:rPr>
      </w:pPr>
    </w:p>
    <w:p>
      <w:pPr>
        <w:rPr>
          <w:lang w:eastAsia="en-GB"/>
        </w:rPr>
      </w:pPr>
    </w:p>
    <w:p>
      <w:pPr>
        <w:rPr>
          <w:lang w:eastAsia="en-GB"/>
        </w:rPr>
      </w:pPr>
    </w:p>
    <w:p>
      <w:pPr>
        <w:rPr>
          <w:lang w:eastAsia="en-GB"/>
        </w:rPr>
      </w:pPr>
    </w:p>
    <w:p>
      <w:pPr>
        <w:rPr>
          <w:lang w:eastAsia="en-GB"/>
        </w:rPr>
      </w:pPr>
    </w:p>
    <w:p>
      <w:pPr>
        <w:rPr>
          <w:lang w:eastAsia="en-GB"/>
        </w:rPr>
      </w:pPr>
    </w:p>
    <w:p>
      <w:pPr>
        <w:rPr>
          <w:lang w:eastAsia="en-GB"/>
        </w:rPr>
      </w:pPr>
    </w:p>
    <w:p>
      <w:pPr>
        <w:rPr>
          <w:lang w:eastAsia="en-GB"/>
        </w:rPr>
      </w:pPr>
    </w:p>
    <w:p>
      <w:pPr>
        <w:rPr>
          <w:lang w:eastAsia="en-GB"/>
        </w:rPr>
      </w:pPr>
    </w:p>
    <w:p>
      <w:pPr>
        <w:ind w:left="568" w:hanging="284"/>
        <w:rPr>
          <w:lang w:eastAsia="en-GB"/>
        </w:rPr>
      </w:pPr>
      <w:r>
        <w:rPr>
          <w:lang w:eastAsia="en-GB"/>
        </w:rPr>
        <w:t>1.</w:t>
      </w:r>
      <w:r>
        <w:rPr>
          <w:lang w:eastAsia="en-GB"/>
        </w:rPr>
        <w:tab/>
      </w:r>
      <w:r>
        <w:rPr>
          <w:lang w:eastAsia="en-GB"/>
        </w:rPr>
        <w:t>Connect SS to the UE antenna connectors as shown in TS 36.508[12] Annex A Figure A.7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The UL Reference Measurement channels are set according to Table 6.5A.4.4.4.1-1 to Table 6.5A.4.4.4.1-2a.</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lang w:eastAsia="en-GB"/>
        </w:rPr>
        <w:t xml:space="preserve">Ensure the UE is in State 3A-RF-CE according to TS 36.508 [12] clause </w:t>
      </w:r>
      <w:r>
        <w:rPr>
          <w:rFonts w:eastAsia="MS Mincho"/>
          <w:lang w:eastAsia="en-GB"/>
        </w:rPr>
        <w:t>5.2A.2AA</w:t>
      </w:r>
      <w:r>
        <w:rPr>
          <w:lang w:eastAsia="en-GB"/>
        </w:rPr>
        <w:t>. Message contents are defined in clause 6.5A.4.4.4.3.</w:t>
      </w:r>
    </w:p>
    <w:p>
      <w:pPr>
        <w:pStyle w:val="9"/>
      </w:pPr>
      <w:r>
        <w:rPr>
          <w:rFonts w:hint="eastAsia"/>
        </w:rPr>
        <w:t>6.5A</w:t>
      </w:r>
      <w:r>
        <w:t>.4.4.4.2</w:t>
      </w:r>
      <w:r>
        <w:tab/>
      </w:r>
      <w:r>
        <w:t>Test procedure</w:t>
      </w:r>
    </w:p>
    <w:p>
      <w:pPr>
        <w:ind w:left="583" w:leftChars="150" w:hanging="283"/>
        <w:rPr>
          <w:lang w:eastAsia="en-GB"/>
        </w:rPr>
      </w:pPr>
      <w:r>
        <w:rPr>
          <w:lang w:eastAsia="en-GB"/>
        </w:rPr>
        <w:t>1.</w:t>
      </w:r>
      <w:r>
        <w:rPr>
          <w:lang w:eastAsia="en-GB"/>
        </w:rPr>
        <w:tab/>
      </w:r>
      <w:r>
        <w:rPr>
          <w:lang w:eastAsia="en-GB"/>
        </w:rPr>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pPr>
        <w:ind w:left="583" w:leftChars="150" w:hanging="283"/>
        <w:rPr>
          <w:lang w:eastAsia="en-GB"/>
        </w:rPr>
      </w:pPr>
      <w:r>
        <w:rPr>
          <w:lang w:eastAsia="en-GB"/>
        </w:rPr>
        <w:t>2.</w:t>
      </w:r>
      <w:r>
        <w:rPr>
          <w:lang w:eastAsia="en-GB"/>
        </w:rPr>
        <w:tab/>
      </w:r>
      <w:r>
        <w:rPr>
          <w:lang w:eastAsia="en-GB"/>
        </w:rPr>
        <w:t>Send continuously uplink power control "up" commands in the uplink scheduling information to the UE to ensure that the UE transmits at P</w:t>
      </w:r>
      <w:r>
        <w:rPr>
          <w:vertAlign w:val="baseline"/>
          <w:lang w:eastAsia="en-GB"/>
        </w:rPr>
        <w:t>UMAX level</w:t>
      </w:r>
      <w:r>
        <w:rPr>
          <w:lang w:eastAsia="en-GB"/>
        </w:rPr>
        <w:t>.</w:t>
      </w:r>
    </w:p>
    <w:p>
      <w:pPr>
        <w:ind w:left="583" w:leftChars="150" w:hanging="283"/>
        <w:rPr>
          <w:lang w:eastAsia="en-GB"/>
        </w:rPr>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pPr>
        <w:pStyle w:val="111"/>
        <w:rPr>
          <w:rFonts w:hint="eastAsia" w:eastAsia="宋体"/>
          <w:lang w:val="en-US" w:eastAsia="zh-CN"/>
        </w:rPr>
      </w:pPr>
      <w:r>
        <w:rPr>
          <w:lang w:eastAsia="en-GB"/>
        </w:rPr>
        <w:t>4.</w:t>
      </w:r>
      <w:r>
        <w:rPr>
          <w:lang w:eastAsia="en-GB"/>
        </w:rPr>
        <w:tab/>
      </w:r>
      <w:r>
        <w:rPr>
          <w:lang w:eastAsia="en-GB"/>
        </w:rPr>
        <w:t xml:space="preserve">Measure the power of the transmitted signal with a measurement filter of bandwidths according to Table 6.5A.4.4.3.1-1 to 6.5A.4.4.3.2-1 as appropriate. The centre frequency of the filter shall be stepped in contiguous steps according to the same table. The measured power shall be verified for each step. The measurement period shall capture the active </w:t>
      </w:r>
      <w:r>
        <w:rPr>
          <w:rFonts w:eastAsia="Times New Roman"/>
          <w:lang w:eastAsia="en-GB"/>
        </w:rPr>
        <w:t>time slot</w:t>
      </w:r>
      <w:r>
        <w:rPr>
          <w:lang w:eastAsia="en-GB"/>
        </w:rPr>
        <w:t>s. During measurement the spectrum analyser shall be set to 'Detector' = RMS.</w:t>
      </w:r>
    </w:p>
    <w:p>
      <w:pPr>
        <w:pStyle w:val="9"/>
      </w:pPr>
      <w:r>
        <w:rPr>
          <w:rFonts w:hint="eastAsia"/>
        </w:rPr>
        <w:t>6.5A</w:t>
      </w:r>
      <w:r>
        <w:t>.4.4.4.3</w:t>
      </w:r>
      <w:r>
        <w:tab/>
      </w:r>
      <w:r>
        <w:t>Message contents</w:t>
      </w:r>
    </w:p>
    <w:p>
      <w:r>
        <w:t>Message contents are same as in clause 6.2A.3.4.3.</w:t>
      </w:r>
    </w:p>
    <w:p>
      <w:pPr>
        <w:pStyle w:val="9"/>
        <w:rPr>
          <w:lang w:val="en-US"/>
        </w:rPr>
      </w:pPr>
      <w:r>
        <w:t>6.5A.4.4.</w:t>
      </w:r>
      <w:r>
        <w:rPr>
          <w:lang w:val="en-US"/>
        </w:rPr>
        <w:t>5</w:t>
      </w:r>
      <w:r>
        <w:rPr>
          <w:lang w:val="en-US"/>
        </w:rPr>
        <w:tab/>
      </w:r>
      <w:r>
        <w:rPr>
          <w:lang w:val="en-US"/>
        </w:rPr>
        <w:t>Test requirement</w:t>
      </w:r>
    </w:p>
    <w:p>
      <w:pPr>
        <w:rPr>
          <w:lang w:val="en-US"/>
        </w:rPr>
      </w:pPr>
      <w:r>
        <w:rPr>
          <w:lang w:val="en-US"/>
        </w:rPr>
        <w:t>The measured UE mean power in the channel bandwidth, derived in step 3, shall fulfil requirements in Tables 6.2A.3.5-1 to 6.2A.3.5-2a as appropriate,</w:t>
      </w:r>
    </w:p>
    <w:p>
      <w:pPr>
        <w:rPr>
          <w:lang w:val="en-US"/>
        </w:rPr>
      </w:pPr>
      <w:r>
        <w:rPr>
          <w:lang w:val="en-US"/>
        </w:rPr>
        <w:t>Test requirements for Additional Spurious Emissions are the same as the minimum requirements and are not repeated in this section.</w:t>
      </w:r>
    </w:p>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Pr>
        <w:pStyle w:val="4"/>
      </w:pPr>
      <w:bookmarkStart w:id="551" w:name="_Toc3003"/>
      <w:bookmarkStart w:id="552" w:name="_Toc6983"/>
      <w:bookmarkStart w:id="553" w:name="_Toc7662"/>
      <w:bookmarkStart w:id="554" w:name="_Toc121162861"/>
      <w:bookmarkStart w:id="555" w:name="_Toc120570069"/>
      <w:r>
        <w:t>6.5B</w:t>
      </w:r>
      <w:r>
        <w:tab/>
      </w:r>
      <w:r>
        <w:t>Output RF spectrum emissions for category NB1 and NB2</w:t>
      </w:r>
      <w:bookmarkEnd w:id="551"/>
      <w:bookmarkEnd w:id="552"/>
      <w:bookmarkEnd w:id="553"/>
      <w:bookmarkEnd w:id="554"/>
      <w:bookmarkEnd w:id="555"/>
    </w:p>
    <w:p>
      <w:pPr>
        <w:pStyle w:val="5"/>
      </w:pPr>
      <w:bookmarkStart w:id="556" w:name="_Toc10084"/>
      <w:bookmarkStart w:id="557" w:name="_Toc120570070"/>
      <w:bookmarkStart w:id="558" w:name="_Toc121162862"/>
      <w:bookmarkStart w:id="559" w:name="_Toc7942"/>
      <w:bookmarkStart w:id="560" w:name="_Toc22870"/>
      <w:r>
        <w:t>6.5B.1</w:t>
      </w:r>
      <w:r>
        <w:tab/>
      </w:r>
      <w:r>
        <w:t>General</w:t>
      </w:r>
      <w:bookmarkEnd w:id="556"/>
      <w:bookmarkEnd w:id="557"/>
      <w:bookmarkEnd w:id="558"/>
      <w:bookmarkEnd w:id="559"/>
      <w:bookmarkEnd w:id="560"/>
    </w:p>
    <w:p>
      <w:pPr>
        <w:rPr>
          <w:lang w:val="en-US"/>
        </w:rPr>
      </w:pPr>
      <w:r>
        <w:t>The definitions in clause 6.5 shall apply</w:t>
      </w:r>
      <w:r>
        <w:rPr>
          <w:lang w:val="en-US"/>
        </w:rPr>
        <w:t>.</w:t>
      </w:r>
    </w:p>
    <w:p>
      <w:pPr>
        <w:pStyle w:val="5"/>
      </w:pPr>
      <w:bookmarkStart w:id="561" w:name="_Toc31308"/>
      <w:bookmarkStart w:id="562" w:name="_Toc121162863"/>
      <w:bookmarkStart w:id="563" w:name="_Toc120570071"/>
      <w:bookmarkStart w:id="564" w:name="_Toc6613"/>
      <w:bookmarkStart w:id="565" w:name="_Toc25821"/>
      <w:r>
        <w:t>6.5B.</w:t>
      </w:r>
      <w:r>
        <w:rPr>
          <w:rFonts w:hint="eastAsia"/>
          <w:lang w:eastAsia="zh-TW"/>
        </w:rPr>
        <w:t>2</w:t>
      </w:r>
      <w:r>
        <w:tab/>
      </w:r>
      <w:r>
        <w:t>Occupied bandwidth for category NB1 and NB2</w:t>
      </w:r>
      <w:bookmarkEnd w:id="463"/>
      <w:bookmarkEnd w:id="561"/>
      <w:bookmarkEnd w:id="562"/>
      <w:bookmarkEnd w:id="563"/>
      <w:bookmarkEnd w:id="564"/>
      <w:bookmarkEnd w:id="565"/>
    </w:p>
    <w:p>
      <w:pPr>
        <w:keepLines/>
        <w:ind w:left="1135" w:hanging="851"/>
        <w:rPr>
          <w:i/>
          <w:color w:val="FF0000"/>
        </w:rPr>
      </w:pPr>
      <w:r>
        <w:rPr>
          <w:i/>
          <w:color w:val="FF0000"/>
        </w:rPr>
        <w:t>Editor’s Note: This clause is incomplete. The following aspects are either missing or not yet determined:</w:t>
      </w:r>
    </w:p>
    <w:p>
      <w:pPr>
        <w:keepLines/>
        <w:ind w:left="1135" w:hanging="851"/>
        <w:rPr>
          <w:i/>
          <w:color w:val="FF0000"/>
        </w:rPr>
      </w:pPr>
      <w:r>
        <w:rPr>
          <w:i/>
          <w:color w:val="FF0000"/>
        </w:rPr>
        <w:t>- Addition to applicability spec is pending</w:t>
      </w:r>
    </w:p>
    <w:p>
      <w:pPr>
        <w:keepLines/>
        <w:ind w:left="1135" w:hanging="851"/>
        <w:rPr>
          <w:i/>
          <w:color w:val="FF0000"/>
        </w:rPr>
      </w:pPr>
      <w:r>
        <w:rPr>
          <w:i/>
          <w:color w:val="FF0000"/>
        </w:rPr>
        <w:t>- Initial condition and call setup procedure to support satellite access are TBD</w:t>
      </w:r>
    </w:p>
    <w:p>
      <w:pPr>
        <w:keepLines/>
        <w:ind w:left="1135" w:hanging="851"/>
        <w:rPr>
          <w:i/>
          <w:color w:val="FF0000"/>
        </w:rPr>
      </w:pPr>
      <w:r>
        <w:rPr>
          <w:i/>
          <w:color w:val="FF0000"/>
        </w:rPr>
        <w:t>- Message exceptions specific to satellite access is TBD</w:t>
      </w:r>
    </w:p>
    <w:p>
      <w:pPr>
        <w:keepLines/>
        <w:ind w:left="1135" w:hanging="851"/>
        <w:rPr>
          <w:i/>
          <w:color w:val="FF0000"/>
        </w:rPr>
      </w:pPr>
      <w:r>
        <w:rPr>
          <w:i/>
          <w:color w:val="FF0000"/>
        </w:rPr>
        <w:t>- Test Points analysis is TBD</w:t>
      </w:r>
    </w:p>
    <w:p>
      <w:pPr>
        <w:keepLines/>
        <w:ind w:left="1135" w:hanging="851"/>
        <w:rPr>
          <w:i/>
          <w:color w:val="FF0000"/>
        </w:rPr>
      </w:pPr>
      <w:r>
        <w:rPr>
          <w:i/>
          <w:color w:val="FF0000"/>
        </w:rPr>
        <w:t>- Test configuration is TBD</w:t>
      </w:r>
    </w:p>
    <w:p>
      <w:pPr>
        <w:keepLines/>
        <w:ind w:left="1135" w:hanging="851"/>
        <w:rPr>
          <w:rFonts w:eastAsia="PMingLiU"/>
          <w:i/>
          <w:color w:val="FF0000"/>
          <w:lang w:eastAsia="zh-TW"/>
        </w:rPr>
      </w:pPr>
      <w:r>
        <w:rPr>
          <w:i/>
          <w:color w:val="FF0000"/>
        </w:rPr>
        <w:t>- Annex F MU/TT is TBD</w:t>
      </w:r>
    </w:p>
    <w:p>
      <w:pPr>
        <w:pStyle w:val="9"/>
        <w:rPr>
          <w:lang w:eastAsia="en-GB"/>
        </w:rPr>
      </w:pPr>
      <w:bookmarkStart w:id="566" w:name="_Hlk140755284"/>
      <w:r>
        <w:rPr>
          <w:lang w:eastAsia="en-GB"/>
        </w:rPr>
        <w:t>6.</w:t>
      </w:r>
      <w:bookmarkStart w:id="567" w:name="_Hlk140754848"/>
      <w:r>
        <w:rPr>
          <w:lang w:eastAsia="en-GB"/>
        </w:rPr>
        <w:t>5B.2</w:t>
      </w:r>
      <w:bookmarkEnd w:id="567"/>
      <w:r>
        <w:rPr>
          <w:lang w:eastAsia="en-GB"/>
        </w:rPr>
        <w:t>.1</w:t>
      </w:r>
      <w:r>
        <w:rPr>
          <w:lang w:eastAsia="en-GB"/>
        </w:rPr>
        <w:tab/>
      </w:r>
      <w:r>
        <w:rPr>
          <w:lang w:eastAsia="en-GB"/>
        </w:rPr>
        <w:t>Test purpose</w:t>
      </w:r>
    </w:p>
    <w:p>
      <w:pPr>
        <w:rPr>
          <w:lang w:eastAsia="en-GB"/>
        </w:rPr>
      </w:pPr>
      <w:r>
        <w:rPr>
          <w:lang w:eastAsia="en-GB"/>
        </w:rPr>
        <w:t>To verify that the UE occupied bandwidth for all transmission bandwidth configurations supported by the UE are less than their specific limits.</w:t>
      </w:r>
    </w:p>
    <w:bookmarkEnd w:id="566"/>
    <w:p>
      <w:pPr>
        <w:pStyle w:val="9"/>
        <w:rPr>
          <w:lang w:eastAsia="en-GB"/>
        </w:rPr>
      </w:pPr>
      <w:r>
        <w:rPr>
          <w:lang w:eastAsia="en-GB"/>
        </w:rPr>
        <w:t>6.5B.2.2</w:t>
      </w:r>
      <w:r>
        <w:rPr>
          <w:lang w:eastAsia="en-GB"/>
        </w:rPr>
        <w:tab/>
      </w:r>
      <w:r>
        <w:rPr>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rPr>
          <w:lang w:eastAsia="en-GB"/>
        </w:rPr>
      </w:pPr>
      <w:r>
        <w:rPr>
          <w:lang w:eastAsia="en-GB"/>
        </w:rPr>
        <w:t>6.5B.2.3</w:t>
      </w:r>
      <w:r>
        <w:rPr>
          <w:lang w:eastAsia="en-GB"/>
        </w:rPr>
        <w:tab/>
      </w:r>
      <w:r>
        <w:rPr>
          <w:lang w:eastAsia="en-GB"/>
        </w:rPr>
        <w:t>Minimum conformance requirements</w:t>
      </w:r>
    </w:p>
    <w:p>
      <w:pPr>
        <w:rPr>
          <w:kern w:val="24"/>
          <w:lang w:eastAsia="en-GB"/>
        </w:rPr>
      </w:pPr>
      <w:r>
        <w:rPr>
          <w:lang w:eastAsia="en-GB"/>
        </w:rPr>
        <w:t xml:space="preserve">The occupied bandwidth is defined as the bandwidth containing 99 % of the total integrated mean power of the transmitted spectrum on the assigned channel at the transmit antenna connector. </w:t>
      </w:r>
      <w:r>
        <w:rPr>
          <w:rFonts w:eastAsia="ヒラギノ角ゴ Pro W3"/>
          <w:kern w:val="24"/>
          <w:lang w:eastAsia="en-GB"/>
        </w:rPr>
        <w:t>Occupied bandwidth shall be less than the channel bandwidth of category NB1</w:t>
      </w:r>
      <w:r>
        <w:rPr>
          <w:kern w:val="24"/>
          <w:lang w:eastAsia="en-GB"/>
        </w:rPr>
        <w:t xml:space="preserve"> and NB2 that is 200 kHz. </w:t>
      </w:r>
    </w:p>
    <w:p>
      <w:pPr>
        <w:rPr>
          <w:lang w:eastAsia="en-GB"/>
        </w:rPr>
      </w:pPr>
      <w:r>
        <w:rPr>
          <w:lang w:eastAsia="en-GB"/>
        </w:rPr>
        <w:t>The normative reference for this requirement is TS 36.102[11] clause 6.5B.2.</w:t>
      </w:r>
    </w:p>
    <w:p>
      <w:pPr>
        <w:pStyle w:val="9"/>
        <w:rPr>
          <w:lang w:eastAsia="en-GB"/>
        </w:rPr>
      </w:pPr>
      <w:r>
        <w:rPr>
          <w:lang w:eastAsia="en-GB"/>
        </w:rPr>
        <w:t>6.5B.2.4</w:t>
      </w:r>
      <w:r>
        <w:rPr>
          <w:lang w:eastAsia="en-GB"/>
        </w:rPr>
        <w:tab/>
      </w:r>
      <w:r>
        <w:rPr>
          <w:lang w:eastAsia="en-GB"/>
        </w:rPr>
        <w:t>Test description</w:t>
      </w:r>
    </w:p>
    <w:p>
      <w:pPr>
        <w:pStyle w:val="9"/>
        <w:rPr>
          <w:lang w:eastAsia="en-GB"/>
        </w:rPr>
      </w:pPr>
      <w:r>
        <w:rPr>
          <w:lang w:eastAsia="en-GB"/>
        </w:rPr>
        <w:t>6.5B.2.4.1</w:t>
      </w:r>
      <w:r>
        <w:rPr>
          <w:lang w:eastAsia="en-GB"/>
        </w:rPr>
        <w:tab/>
      </w:r>
      <w:r>
        <w:rPr>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shown in table 6.5B.2.4.1-1. The details of the uplink reference measurement channels (RMCs) are specified in Annex A.2.4. 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6.5B.2.4.1-1: Test Configuration Table</w:t>
      </w:r>
      <w:r>
        <w:rPr>
          <w:rFonts w:ascii="Arial" w:hAnsi="Arial"/>
          <w:b/>
        </w:rPr>
        <w:t xml:space="preserv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lang w:eastAsia="en-GB"/>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w:t>
            </w:r>
            <w:r>
              <w:t xml:space="preserve">[12] </w:t>
            </w:r>
            <w:r>
              <w:rPr>
                <w:rFonts w:ascii="Arial" w:hAnsi="Arial"/>
                <w:sz w:val="18"/>
              </w:rPr>
              <w:t>subclause 8.1.1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cs="v5.0.0"/>
                <w:bCs/>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w:t>
            </w:r>
            <w:r>
              <w:t>[12]</w:t>
            </w:r>
            <w:r>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eastAsia="微软雅黑" w:cs="Arial"/>
                <w:sz w:val="18"/>
                <w:lang w:eastAsia="en-GB"/>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jc w:val="center"/>
        </w:trPr>
        <w:tc>
          <w:tcPr>
            <w:tcW w:w="1522" w:type="dxa"/>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N/A</w:t>
            </w: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vertAlign w:val="superscript"/>
                <w:lang w:eastAsia="en-GB"/>
              </w:rPr>
            </w:pPr>
            <w:r>
              <w:rPr>
                <w:rFonts w:ascii="Arial" w:hAnsi="Arial" w:cs="Arial"/>
                <w:sz w:val="18"/>
                <w:lang w:eastAsia="en-GB"/>
              </w:rPr>
              <w:t>3 (Note 1)</w:t>
            </w:r>
          </w:p>
        </w:tc>
        <w:tc>
          <w:tcPr>
            <w:tcW w:w="0" w:type="auto"/>
            <w:vMerge w:val="continue"/>
            <w:shd w:val="clear" w:color="auto" w:fill="FFFFFF"/>
            <w:vAlign w:val="center"/>
          </w:tcPr>
          <w:p>
            <w:pPr>
              <w:rPr>
                <w:rFonts w:ascii="Arial" w:hAnsi="Arial"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rPr>
              <w:t>12@0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ind w:left="851" w:hanging="851"/>
              <w:rPr>
                <w:rFonts w:ascii="Arial" w:hAnsi="Arial"/>
                <w:sz w:val="18"/>
              </w:rPr>
            </w:pPr>
            <w:r>
              <w:rPr>
                <w:rFonts w:ascii="Arial" w:hAnsi="Arial"/>
                <w:sz w:val="18"/>
              </w:rPr>
              <w:t>Note 1: Applicable to UE supporting UL multi-tone transmissions</w:t>
            </w:r>
          </w:p>
        </w:tc>
      </w:tr>
    </w:tbl>
    <w:p>
      <w:pPr>
        <w:rPr>
          <w:lang w:eastAsia="en-GB"/>
        </w:rPr>
      </w:pPr>
    </w:p>
    <w:p>
      <w:pPr>
        <w:ind w:left="568" w:hanging="284"/>
        <w:rPr>
          <w:lang w:eastAsia="en-GB"/>
        </w:rPr>
      </w:pPr>
      <w:r>
        <w:rPr>
          <w:lang w:eastAsia="en-GB"/>
        </w:rPr>
        <w:t>1.</w:t>
      </w:r>
      <w:r>
        <w:rPr>
          <w:lang w:eastAsia="en-GB"/>
        </w:rPr>
        <w:tab/>
      </w:r>
      <w:r>
        <w:rPr>
          <w:lang w:eastAsia="en-GB"/>
        </w:rPr>
        <w:t>Connect the SS to the UE antenna connectors as shown in TS </w:t>
      </w:r>
      <w:bookmarkStart w:id="568" w:name="_Hlk140762136"/>
      <w:r>
        <w:rPr>
          <w:lang w:eastAsia="en-GB"/>
        </w:rPr>
        <w:t>36.508 [12]</w:t>
      </w:r>
      <w:bookmarkEnd w:id="568"/>
      <w:r>
        <w:rPr>
          <w:lang w:eastAsia="en-GB"/>
        </w:rPr>
        <w:t>Annex A, Figure A.3 using only main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8.1.4.3.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H.4.0</w:t>
      </w:r>
      <w:r>
        <w:t xml:space="preserve"> </w:t>
      </w:r>
    </w:p>
    <w:p>
      <w:pPr>
        <w:ind w:left="568" w:hanging="284"/>
        <w:rPr>
          <w:lang w:eastAsia="en-GB"/>
        </w:rPr>
      </w:pPr>
      <w:r>
        <w:rPr>
          <w:lang w:eastAsia="en-GB"/>
        </w:rPr>
        <w:t>4.</w:t>
      </w:r>
      <w:r>
        <w:rPr>
          <w:lang w:eastAsia="en-GB"/>
        </w:rPr>
        <w:tab/>
      </w:r>
      <w:r>
        <w:rPr>
          <w:lang w:eastAsia="en-GB"/>
        </w:rPr>
        <w:t>The UL Reference Measurement channels are set according to Table 6.5B.2.4.1-1.</w:t>
      </w:r>
    </w:p>
    <w:p>
      <w:pPr>
        <w:ind w:left="568" w:hanging="284"/>
        <w:rPr>
          <w:lang w:eastAsia="en-GB"/>
        </w:rPr>
      </w:pPr>
      <w:r>
        <w:rPr>
          <w:lang w:eastAsia="en-GB"/>
        </w:rPr>
        <w:t>5.</w:t>
      </w:r>
      <w:r>
        <w:rPr>
          <w:lang w:eastAsia="en-GB"/>
        </w:rPr>
        <w:tab/>
      </w:r>
      <w:r>
        <w:rPr>
          <w:lang w:eastAsia="en-GB"/>
        </w:rPr>
        <w:t>Propagation conditions are set according to</w:t>
      </w:r>
      <w:r>
        <w:t xml:space="preserve"> </w:t>
      </w:r>
      <w:r>
        <w:rPr>
          <w:lang w:eastAsia="en-GB"/>
        </w:rPr>
        <w:t>Annex B.0.</w:t>
      </w:r>
    </w:p>
    <w:p>
      <w:pPr>
        <w:ind w:left="568" w:hanging="284"/>
        <w:rPr>
          <w:lang w:eastAsia="en-GB"/>
        </w:rPr>
      </w:pPr>
      <w:r>
        <w:rPr>
          <w:lang w:eastAsia="en-GB"/>
        </w:rPr>
        <w:t>6.</w:t>
      </w:r>
      <w:r>
        <w:rPr>
          <w:lang w:eastAsia="en-GB"/>
        </w:rPr>
        <w:tab/>
      </w:r>
      <w:r>
        <w:rPr>
          <w:lang w:eastAsia="en-GB"/>
        </w:rPr>
        <w:t xml:space="preserve">Ensure the UE is in State 2A-NB with CP CIoT Optimisation according to </w:t>
      </w:r>
      <w:bookmarkStart w:id="569" w:name="_Hlk140762463"/>
      <w:r>
        <w:rPr>
          <w:lang w:eastAsia="en-GB"/>
        </w:rPr>
        <w:t>TS 36.508 [12]</w:t>
      </w:r>
      <w:bookmarkEnd w:id="569"/>
      <w:r>
        <w:rPr>
          <w:lang w:eastAsia="en-GB"/>
        </w:rPr>
        <w:t xml:space="preserve"> clause 8.1.5. Message contents are defined in clause 6.5B.2.4.3.</w:t>
      </w:r>
    </w:p>
    <w:p>
      <w:pPr>
        <w:pStyle w:val="9"/>
        <w:rPr>
          <w:lang w:eastAsia="en-GB"/>
        </w:rPr>
      </w:pPr>
      <w:r>
        <w:rPr>
          <w:lang w:eastAsia="en-GB"/>
        </w:rPr>
        <w:t>6.5B.2.4.2</w:t>
      </w:r>
      <w:r>
        <w:rPr>
          <w:lang w:eastAsia="en-GB"/>
        </w:rPr>
        <w:tab/>
      </w:r>
      <w:r>
        <w:rPr>
          <w:lang w:eastAsia="en-GB"/>
        </w:rPr>
        <w:t>Test procedure</w:t>
      </w:r>
    </w:p>
    <w:p>
      <w:pPr>
        <w:ind w:left="568" w:hanging="284"/>
        <w:rPr>
          <w:lang w:eastAsia="en-GB"/>
        </w:rPr>
      </w:pPr>
      <w:r>
        <w:rPr>
          <w:lang w:eastAsia="en-GB"/>
        </w:rPr>
        <w:t>1.</w:t>
      </w:r>
      <w:r>
        <w:rPr>
          <w:lang w:eastAsia="en-GB"/>
        </w:rPr>
        <w:tab/>
      </w:r>
      <w:r>
        <w:rPr>
          <w:lang w:eastAsia="en-GB"/>
        </w:rPr>
        <w:t>SS sends uplink scheduling information via NPDCCH DCI format N0 for C_RNTI to schedule the UL RMC according to Table 6.5B.2.4.1-1.Since the UE has no payload and no loopback data to send, the UE sends uplink MAC padding bits on the UL RMC</w:t>
      </w:r>
      <w:r>
        <w:rPr>
          <w:rFonts w:eastAsia="MS Mincho"/>
          <w:lang w:eastAsia="en-GB"/>
        </w:rPr>
        <w:t>.</w:t>
      </w:r>
      <w:r>
        <w:rPr>
          <w:lang w:eastAsia="en-GB"/>
        </w:rPr>
        <w:t xml:space="preserve"> (UE should be already transmitting P</w:t>
      </w:r>
      <w:r>
        <w:rPr>
          <w:vertAlign w:val="subscript"/>
          <w:lang w:eastAsia="en-GB"/>
        </w:rPr>
        <w:t>UMAX</w:t>
      </w:r>
      <w:r>
        <w:rPr>
          <w:lang w:eastAsia="en-GB"/>
        </w:rPr>
        <w:t xml:space="preserve"> after Initial Conditions setting).</w:t>
      </w:r>
    </w:p>
    <w:p>
      <w:pPr>
        <w:ind w:left="568" w:hanging="284"/>
        <w:rPr>
          <w:lang w:eastAsia="en-GB"/>
        </w:rPr>
      </w:pPr>
      <w:r>
        <w:rPr>
          <w:lang w:eastAsia="en-GB"/>
        </w:rPr>
        <w:t>2.</w:t>
      </w:r>
      <w:r>
        <w:rPr>
          <w:lang w:eastAsia="en-GB"/>
        </w:rPr>
        <w:tab/>
      </w:r>
      <w:r>
        <w:rPr>
          <w:lang w:eastAsia="en-GB"/>
        </w:rPr>
        <w:t>Measure the power spectrum distribution within two times or more range over the requirement for Occupied Bandwidth specification centring on the current carrier frequency. The characteristic of the filter shall be approximately Gaussian (typical spectrum analyzer filter). Other methods to measure the power spectrum distribution are allowed. The measurement duration is at least</w:t>
      </w:r>
      <w:r>
        <w:rPr>
          <w:b/>
          <w:lang w:eastAsia="en-GB"/>
        </w:rPr>
        <w:t xml:space="preserve"> </w:t>
      </w:r>
      <w:r>
        <w:rPr>
          <w:lang w:eastAsia="en-GB"/>
        </w:rPr>
        <w:t>one sub-frame</w:t>
      </w:r>
      <w:r>
        <w:rPr>
          <w:b/>
          <w:lang w:eastAsia="en-GB"/>
        </w:rPr>
        <w:t xml:space="preserve"> (</w:t>
      </w:r>
      <w:r>
        <w:rPr>
          <w:lang w:eastAsia="en-GB"/>
        </w:rPr>
        <w:t xml:space="preserve">1ms) for 15 KHz channel spacing, and at least a 2ms slot (excluding the 2304Ts gap when UE is not transmitting) respectively for the 3.75 KHz channel spacing. </w:t>
      </w:r>
    </w:p>
    <w:p>
      <w:pPr>
        <w:ind w:left="568" w:hanging="284"/>
        <w:rPr>
          <w:lang w:eastAsia="en-GB"/>
        </w:rPr>
      </w:pPr>
      <w:r>
        <w:rPr>
          <w:lang w:eastAsia="en-GB"/>
        </w:rPr>
        <w:t>3.</w:t>
      </w:r>
      <w:r>
        <w:rPr>
          <w:lang w:eastAsia="en-GB"/>
        </w:rPr>
        <w:tab/>
      </w:r>
      <w:r>
        <w:rPr>
          <w:lang w:eastAsia="en-GB"/>
        </w:rPr>
        <w:t>Calculate the total power within the range of all frequencies measured in '2)' and save this value as "Total Power".</w:t>
      </w:r>
    </w:p>
    <w:p>
      <w:pPr>
        <w:ind w:left="568" w:hanging="284"/>
        <w:rPr>
          <w:lang w:eastAsia="en-GB"/>
        </w:rPr>
      </w:pPr>
      <w:r>
        <w:rPr>
          <w:lang w:eastAsia="en-GB"/>
        </w:rPr>
        <w:t>4.</w:t>
      </w:r>
      <w:r>
        <w:rPr>
          <w:lang w:eastAsia="en-GB"/>
        </w:rPr>
        <w:tab/>
      </w:r>
      <w:r>
        <w:rPr>
          <w:lang w:eastAsia="en-GB"/>
        </w:rPr>
        <w:t>Sum up the power upward from the lower boundary of the measured frequency range in '2)' and seek the limit frequency point by which this sum becomes 0,5 % of "Total Power" and save this point as "Lower Frequency".</w:t>
      </w:r>
    </w:p>
    <w:p>
      <w:pPr>
        <w:ind w:left="568" w:hanging="284"/>
        <w:rPr>
          <w:lang w:eastAsia="en-GB"/>
        </w:rPr>
      </w:pPr>
      <w:r>
        <w:rPr>
          <w:lang w:eastAsia="en-GB"/>
        </w:rPr>
        <w:t>5.</w:t>
      </w:r>
      <w:r>
        <w:rPr>
          <w:lang w:eastAsia="en-GB"/>
        </w:rPr>
        <w:tab/>
      </w:r>
      <w:r>
        <w:rPr>
          <w:lang w:eastAsia="en-GB"/>
        </w:rPr>
        <w:t>Sum up the power downward from the upper boundary of the measured frequency range in '2)' and seek the limit frequency point by which this sum becomes 0,5 % of "Total Power" and save this point as "Upper Frequency".</w:t>
      </w:r>
    </w:p>
    <w:p>
      <w:pPr>
        <w:ind w:left="568" w:hanging="284"/>
        <w:rPr>
          <w:lang w:eastAsia="en-GB"/>
        </w:rPr>
      </w:pPr>
      <w:r>
        <w:rPr>
          <w:lang w:eastAsia="en-GB"/>
        </w:rPr>
        <w:t>6.</w:t>
      </w:r>
      <w:r>
        <w:rPr>
          <w:lang w:eastAsia="en-GB"/>
        </w:rPr>
        <w:tab/>
      </w:r>
      <w:r>
        <w:rPr>
          <w:lang w:eastAsia="en-GB"/>
        </w:rPr>
        <w:t xml:space="preserve">Calculate the difference ("Upper Frequency " </w:t>
      </w:r>
      <w:r>
        <w:rPr>
          <w:lang w:eastAsia="en-GB"/>
        </w:rPr>
        <w:fldChar w:fldCharType="begin"/>
      </w:r>
      <w:r>
        <w:rPr>
          <w:lang w:eastAsia="en-GB"/>
        </w:rPr>
        <w:instrText xml:space="preserve">symbol 45 \f "Symbol" \s 10</w:instrText>
      </w:r>
      <w:r>
        <w:rPr>
          <w:lang w:eastAsia="en-GB"/>
        </w:rPr>
        <w:fldChar w:fldCharType="end"/>
      </w:r>
      <w:r>
        <w:rPr>
          <w:lang w:eastAsia="en-GB"/>
        </w:rPr>
        <w:t xml:space="preserve"> "Lower Frequency" = "Occupied Bandwidth") using the limit frequencies obtained in '4)' or '5)'.</w:t>
      </w:r>
    </w:p>
    <w:p>
      <w:pPr>
        <w:keepLines/>
        <w:ind w:left="1135" w:hanging="851"/>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pStyle w:val="9"/>
        <w:rPr>
          <w:lang w:eastAsia="en-GB"/>
        </w:rPr>
      </w:pPr>
      <w:r>
        <w:rPr>
          <w:lang w:eastAsia="en-GB"/>
        </w:rPr>
        <w:t>6.5B.2.4.3</w:t>
      </w:r>
      <w:r>
        <w:rPr>
          <w:lang w:eastAsia="en-GB"/>
        </w:rPr>
        <w:tab/>
      </w:r>
      <w:r>
        <w:rPr>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6.5B.2.5</w:t>
      </w:r>
      <w:r>
        <w:rPr>
          <w:lang w:eastAsia="en-GB"/>
        </w:rPr>
        <w:tab/>
      </w:r>
      <w:r>
        <w:rPr>
          <w:lang w:eastAsia="en-GB"/>
        </w:rPr>
        <w:t>Test requirement</w:t>
      </w:r>
    </w:p>
    <w:p>
      <w:pPr>
        <w:rPr>
          <w:lang w:eastAsia="en-GB"/>
        </w:rPr>
      </w:pPr>
      <w:r>
        <w:rPr>
          <w:lang w:eastAsia="en-GB"/>
        </w:rPr>
        <w:t>The measured Occupied Bandwidth shall not exceed 200kHz.</w:t>
      </w:r>
    </w:p>
    <w:p>
      <w:pPr>
        <w:pStyle w:val="5"/>
      </w:pPr>
      <w:bookmarkStart w:id="570" w:name="_Toc5945"/>
      <w:bookmarkStart w:id="571" w:name="_Toc28992"/>
      <w:bookmarkStart w:id="572" w:name="_Toc19156"/>
      <w:bookmarkStart w:id="573" w:name="_Toc120570072"/>
      <w:bookmarkStart w:id="574" w:name="_Toc121162864"/>
      <w:bookmarkStart w:id="575" w:name="_Toc111062063"/>
      <w:r>
        <w:t>6.5B.3</w:t>
      </w:r>
      <w:r>
        <w:tab/>
      </w:r>
      <w:r>
        <w:t>Out of band emission</w:t>
      </w:r>
      <w:r>
        <w:rPr>
          <w:rFonts w:hint="eastAsia"/>
        </w:rPr>
        <w:t xml:space="preserve"> for </w:t>
      </w:r>
      <w:r>
        <w:t>category NB1 and NB2</w:t>
      </w:r>
      <w:bookmarkEnd w:id="570"/>
      <w:bookmarkEnd w:id="571"/>
      <w:bookmarkEnd w:id="572"/>
      <w:bookmarkEnd w:id="573"/>
      <w:bookmarkEnd w:id="574"/>
      <w:bookmarkEnd w:id="575"/>
    </w:p>
    <w:p>
      <w:pPr>
        <w:pStyle w:val="6"/>
      </w:pPr>
      <w:bookmarkStart w:id="576" w:name="_Toc17786"/>
      <w:bookmarkStart w:id="577" w:name="_Toc10663"/>
      <w:bookmarkStart w:id="578" w:name="_Toc120570073"/>
      <w:bookmarkStart w:id="579" w:name="_Toc121162865"/>
      <w:bookmarkStart w:id="580" w:name="_Toc31227"/>
      <w:r>
        <w:t>6.5B.3.1</w:t>
      </w:r>
      <w:r>
        <w:tab/>
      </w:r>
      <w:r>
        <w:t>General</w:t>
      </w:r>
      <w:bookmarkEnd w:id="576"/>
      <w:bookmarkEnd w:id="577"/>
      <w:bookmarkEnd w:id="578"/>
      <w:bookmarkEnd w:id="579"/>
      <w:bookmarkEnd w:id="580"/>
    </w:p>
    <w:p>
      <w:pPr>
        <w:rPr>
          <w:lang w:val="en-US"/>
        </w:rPr>
      </w:pPr>
      <w:r>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lang w:val="en-US"/>
        </w:rPr>
        <w:t>.</w:t>
      </w:r>
    </w:p>
    <w:p>
      <w:pPr>
        <w:pStyle w:val="6"/>
      </w:pPr>
      <w:bookmarkStart w:id="581" w:name="_Toc111062064"/>
      <w:bookmarkStart w:id="582" w:name="_Toc5743"/>
      <w:bookmarkStart w:id="583" w:name="_Toc21715"/>
      <w:bookmarkStart w:id="584" w:name="_Toc2510"/>
      <w:bookmarkStart w:id="585" w:name="_Toc121162866"/>
      <w:bookmarkStart w:id="586" w:name="_Toc120570074"/>
      <w:r>
        <w:t>6.5B.3.2</w:t>
      </w:r>
      <w:r>
        <w:tab/>
      </w:r>
      <w:r>
        <w:t>Spectrum emission mask</w:t>
      </w:r>
      <w:bookmarkEnd w:id="581"/>
      <w:bookmarkEnd w:id="582"/>
      <w:bookmarkEnd w:id="583"/>
      <w:bookmarkEnd w:id="584"/>
      <w:bookmarkEnd w:id="585"/>
      <w:bookmarkEnd w:id="586"/>
    </w:p>
    <w:p>
      <w:pPr>
        <w:keepLines/>
        <w:ind w:left="1135" w:hanging="851"/>
        <w:rPr>
          <w:i/>
          <w:color w:val="FF0000"/>
        </w:rPr>
      </w:pPr>
      <w:r>
        <w:rPr>
          <w:i/>
          <w:color w:val="FF0000"/>
        </w:rPr>
        <w:t>Editor’s Note: This clause is incomplete. The following aspects are either missing or not yet determined:</w:t>
      </w:r>
    </w:p>
    <w:p>
      <w:pPr>
        <w:keepLines/>
        <w:ind w:left="1135" w:hanging="851"/>
        <w:rPr>
          <w:i/>
          <w:color w:val="FF0000"/>
        </w:rPr>
      </w:pPr>
      <w:r>
        <w:rPr>
          <w:i/>
          <w:color w:val="FF0000"/>
        </w:rPr>
        <w:t>- Addition to applicability spec is pending</w:t>
      </w:r>
    </w:p>
    <w:p>
      <w:pPr>
        <w:keepLines/>
        <w:ind w:left="1135" w:hanging="851"/>
        <w:rPr>
          <w:i/>
          <w:color w:val="FF0000"/>
        </w:rPr>
      </w:pPr>
      <w:r>
        <w:rPr>
          <w:i/>
          <w:color w:val="FF0000"/>
        </w:rPr>
        <w:t>- Initial condition and call setup procedure to support satellite access are TBD</w:t>
      </w:r>
    </w:p>
    <w:p>
      <w:pPr>
        <w:keepLines/>
        <w:ind w:left="1135" w:hanging="851"/>
        <w:rPr>
          <w:i/>
          <w:color w:val="FF0000"/>
        </w:rPr>
      </w:pPr>
      <w:r>
        <w:rPr>
          <w:i/>
          <w:color w:val="FF0000"/>
        </w:rPr>
        <w:t>- Message exceptions specific to satellite access is TBD</w:t>
      </w:r>
    </w:p>
    <w:p>
      <w:pPr>
        <w:keepLines/>
        <w:ind w:left="1135" w:hanging="851"/>
        <w:rPr>
          <w:i/>
          <w:color w:val="FF0000"/>
        </w:rPr>
      </w:pPr>
      <w:r>
        <w:rPr>
          <w:i/>
          <w:color w:val="FF0000"/>
        </w:rPr>
        <w:t>- Test Points analysis is TBD</w:t>
      </w:r>
    </w:p>
    <w:p>
      <w:pPr>
        <w:keepLines/>
        <w:ind w:left="1135" w:hanging="851"/>
        <w:rPr>
          <w:i/>
          <w:color w:val="FF0000"/>
        </w:rPr>
      </w:pPr>
      <w:r>
        <w:rPr>
          <w:i/>
          <w:color w:val="FF0000"/>
        </w:rPr>
        <w:t>- Test configuration is TBD</w:t>
      </w:r>
    </w:p>
    <w:p>
      <w:pPr>
        <w:keepLines/>
        <w:ind w:left="1135" w:hanging="851"/>
        <w:rPr>
          <w:rFonts w:eastAsia="PMingLiU"/>
          <w:i/>
          <w:color w:val="FF0000"/>
          <w:lang w:eastAsia="zh-TW"/>
        </w:rPr>
      </w:pPr>
      <w:r>
        <w:rPr>
          <w:i/>
          <w:color w:val="FF0000"/>
        </w:rPr>
        <w:t>- Annex F MU/TT is TBD</w:t>
      </w:r>
    </w:p>
    <w:p>
      <w:pPr>
        <w:keepNext/>
        <w:keepLines/>
        <w:spacing w:before="120"/>
        <w:ind w:left="1985" w:hanging="1985"/>
        <w:rPr>
          <w:rFonts w:ascii="Arial" w:hAnsi="Arial"/>
          <w:lang w:eastAsia="en-GB"/>
        </w:rPr>
      </w:pPr>
      <w:r>
        <w:rPr>
          <w:rFonts w:ascii="Arial" w:hAnsi="Arial"/>
          <w:lang w:eastAsia="en-GB"/>
        </w:rPr>
        <w:t>6.</w:t>
      </w:r>
      <w:bookmarkStart w:id="587" w:name="_Hlk140766567"/>
      <w:r>
        <w:rPr>
          <w:rFonts w:ascii="Arial" w:hAnsi="Arial"/>
          <w:lang w:eastAsia="en-GB"/>
        </w:rPr>
        <w:t>5B.3.2</w:t>
      </w:r>
      <w:bookmarkEnd w:id="587"/>
      <w:r>
        <w:rPr>
          <w:rFonts w:ascii="Arial" w:hAnsi="Arial"/>
          <w:lang w:eastAsia="en-GB"/>
        </w:rPr>
        <w:t>.1</w:t>
      </w:r>
      <w:r>
        <w:rPr>
          <w:rFonts w:ascii="Arial" w:hAnsi="Arial"/>
          <w:lang w:eastAsia="en-GB"/>
        </w:rPr>
        <w:tab/>
      </w:r>
      <w:r>
        <w:rPr>
          <w:rFonts w:ascii="Arial" w:hAnsi="Arial"/>
          <w:lang w:eastAsia="en-GB"/>
        </w:rPr>
        <w:t>Test purpose</w:t>
      </w:r>
    </w:p>
    <w:p>
      <w:pPr>
        <w:rPr>
          <w:lang w:eastAsia="en-GB"/>
        </w:rPr>
      </w:pPr>
      <w:r>
        <w:rPr>
          <w:lang w:eastAsia="en-GB"/>
        </w:rPr>
        <w:t>To verify that the power of the category NB1 and NB2 UE emission shall not exceed specified level for the specified channel bandwidth.</w:t>
      </w:r>
    </w:p>
    <w:p>
      <w:pPr>
        <w:keepNext/>
        <w:keepLines/>
        <w:spacing w:before="120"/>
        <w:ind w:left="1985" w:hanging="1985"/>
        <w:rPr>
          <w:rFonts w:ascii="Arial" w:hAnsi="Arial"/>
          <w:lang w:eastAsia="en-GB"/>
        </w:rPr>
      </w:pPr>
      <w:r>
        <w:rPr>
          <w:rFonts w:ascii="Arial" w:hAnsi="Arial"/>
          <w:lang w:eastAsia="en-GB"/>
        </w:rPr>
        <w:t>6.5B.3.2.2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w:t>
      </w:r>
      <w:bookmarkStart w:id="588" w:name="_Hlk140766713"/>
      <w:r>
        <w:rPr>
          <w:rFonts w:ascii="Arial" w:hAnsi="Arial"/>
          <w:lang w:eastAsia="en-GB"/>
        </w:rPr>
        <w:t>5B.3.2</w:t>
      </w:r>
      <w:bookmarkEnd w:id="588"/>
      <w:r>
        <w:rPr>
          <w:rFonts w:ascii="Arial" w:hAnsi="Arial"/>
          <w:lang w:eastAsia="en-GB"/>
        </w:rPr>
        <w:t>.3</w:t>
      </w:r>
      <w:r>
        <w:rPr>
          <w:rFonts w:ascii="Arial" w:hAnsi="Arial"/>
          <w:lang w:eastAsia="en-GB"/>
        </w:rPr>
        <w:tab/>
      </w:r>
      <w:r>
        <w:rPr>
          <w:rFonts w:ascii="Arial" w:hAnsi="Arial"/>
          <w:lang w:eastAsia="en-GB"/>
        </w:rPr>
        <w:t>Minimum conformance requirements</w:t>
      </w:r>
    </w:p>
    <w:p>
      <w:pPr>
        <w:rPr>
          <w:snapToGrid w:val="0"/>
          <w:lang w:eastAsia="en-GB"/>
        </w:rPr>
      </w:pPr>
      <w:r>
        <w:rPr>
          <w:lang w:eastAsia="en-GB"/>
        </w:rPr>
        <w:t>The spectrum emission mask of the category NB1 and NB2 UE applies to frequencies (Δf</w:t>
      </w:r>
      <w:r>
        <w:rPr>
          <w:vertAlign w:val="subscript"/>
          <w:lang w:eastAsia="en-GB"/>
        </w:rPr>
        <w:t>OOB</w:t>
      </w:r>
      <w:r>
        <w:rPr>
          <w:snapToGrid w:val="0"/>
          <w:lang w:eastAsia="en-GB"/>
        </w:rPr>
        <w:t>)</w:t>
      </w:r>
      <w:r>
        <w:rPr>
          <w:lang w:eastAsia="en-GB"/>
        </w:rPr>
        <w:t xml:space="preserve"> starting from the </w:t>
      </w:r>
      <w:r>
        <w:rPr>
          <w:lang w:eastAsia="en-GB"/>
        </w:rPr>
        <w:sym w:font="Symbol" w:char="F0B1"/>
      </w:r>
      <w:r>
        <w:rPr>
          <w:lang w:eastAsia="en-GB"/>
        </w:rPr>
        <w:t xml:space="preserve"> edge of the assigned category NB1 or NB2 channel bandwidth. For frequencies greater than (Δf</w:t>
      </w:r>
      <w:r>
        <w:rPr>
          <w:vertAlign w:val="subscript"/>
          <w:lang w:eastAsia="en-GB"/>
        </w:rPr>
        <w:t>OOB</w:t>
      </w:r>
      <w:r>
        <w:rPr>
          <w:snapToGrid w:val="0"/>
          <w:lang w:eastAsia="en-GB"/>
        </w:rPr>
        <w:t xml:space="preserve">) as specified in Table </w:t>
      </w:r>
      <w:r>
        <w:rPr>
          <w:lang w:eastAsia="en-GB"/>
        </w:rPr>
        <w:t>6.</w:t>
      </w:r>
      <w:r>
        <w:t xml:space="preserve"> </w:t>
      </w:r>
      <w:r>
        <w:rPr>
          <w:lang w:eastAsia="en-GB"/>
        </w:rPr>
        <w:t>5B.3.2.3</w:t>
      </w:r>
      <w:r>
        <w:rPr>
          <w:snapToGrid w:val="0"/>
          <w:lang w:eastAsia="en-GB"/>
        </w:rPr>
        <w:t xml:space="preserve">-1 the spurious requirements in </w:t>
      </w:r>
      <w:bookmarkStart w:id="589" w:name="_Hlk140767242"/>
      <w:r>
        <w:rPr>
          <w:snapToGrid w:val="0"/>
          <w:lang w:eastAsia="en-GB"/>
        </w:rPr>
        <w:t>TS 36.521-1[14] sub-clause 6.6.3</w:t>
      </w:r>
      <w:bookmarkEnd w:id="589"/>
      <w:r>
        <w:rPr>
          <w:snapToGrid w:val="0"/>
          <w:lang w:eastAsia="en-GB"/>
        </w:rPr>
        <w:t xml:space="preserve"> are applicable.</w:t>
      </w:r>
    </w:p>
    <w:p>
      <w:pPr>
        <w:rPr>
          <w:rFonts w:cs="v5.0.0"/>
          <w:lang w:eastAsia="en-GB"/>
        </w:rPr>
      </w:pPr>
      <w:r>
        <w:rPr>
          <w:rFonts w:cs="v5.0.0"/>
          <w:lang w:eastAsia="en-GB"/>
        </w:rPr>
        <w:t xml:space="preserve">The power of any </w:t>
      </w:r>
      <w:r>
        <w:rPr>
          <w:lang w:eastAsia="en-GB"/>
        </w:rPr>
        <w:t xml:space="preserve">category NB1 or NB2 </w:t>
      </w:r>
      <w:r>
        <w:rPr>
          <w:rFonts w:cs="v5.0.0"/>
          <w:lang w:eastAsia="en-GB"/>
        </w:rPr>
        <w:t xml:space="preserve">UE emission shall not exceed the levels specified in Table </w:t>
      </w:r>
      <w:r>
        <w:rPr>
          <w:lang w:eastAsia="en-GB"/>
        </w:rPr>
        <w:t>6.5B.3.2.3</w:t>
      </w:r>
      <w:r>
        <w:rPr>
          <w:rFonts w:cs="v5.0.0"/>
          <w:lang w:eastAsia="en-GB"/>
        </w:rPr>
        <w:t>-1.</w:t>
      </w:r>
    </w:p>
    <w:p>
      <w:pPr>
        <w:keepNext/>
        <w:keepLines/>
        <w:spacing w:before="60"/>
        <w:jc w:val="center"/>
        <w:rPr>
          <w:rFonts w:ascii="Arial" w:hAnsi="Arial"/>
          <w:b/>
          <w:lang w:eastAsia="en-GB"/>
        </w:rPr>
      </w:pPr>
      <w:r>
        <w:rPr>
          <w:rFonts w:ascii="Arial" w:hAnsi="Arial"/>
          <w:b/>
          <w:lang w:eastAsia="en-GB"/>
        </w:rPr>
        <w:t>Table 6.5B.3.2.3-1: category NB1 and NB2 UE spectrum emission mask</w:t>
      </w:r>
    </w:p>
    <w:tbl>
      <w:tblPr>
        <w:tblStyle w:val="89"/>
        <w:tblW w:w="4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1182"/>
        <w:gridCol w:w="14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1512"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lang w:eastAsia="en-GB"/>
              </w:rPr>
              <w:t xml:space="preserve"> </w:t>
            </w:r>
            <w:r>
              <w:rPr>
                <w:rFonts w:ascii="Arial" w:hAnsi="Arial"/>
                <w:b/>
                <w:sz w:val="18"/>
              </w:rPr>
              <w:t>(</w:t>
            </w:r>
            <w:r>
              <w:rPr>
                <w:rFonts w:ascii="Arial" w:hAnsi="Arial"/>
                <w:b/>
                <w:sz w:val="18"/>
                <w:lang w:eastAsia="en-GB"/>
              </w:rPr>
              <w:t>k</w:t>
            </w:r>
            <w:r>
              <w:rPr>
                <w:rFonts w:ascii="Arial" w:hAnsi="Arial"/>
                <w:b/>
                <w:sz w:val="18"/>
              </w:rPr>
              <w:t>Hz)</w:t>
            </w:r>
          </w:p>
        </w:tc>
        <w:tc>
          <w:tcPr>
            <w:tcW w:w="1182" w:type="dxa"/>
          </w:tcPr>
          <w:p>
            <w:pPr>
              <w:keepNext/>
              <w:keepLines/>
              <w:spacing w:after="0"/>
              <w:jc w:val="center"/>
              <w:rPr>
                <w:rFonts w:ascii="Arial" w:hAnsi="Arial"/>
                <w:b/>
                <w:sz w:val="18"/>
                <w:lang w:eastAsia="en-GB"/>
              </w:rPr>
            </w:pPr>
            <w:r>
              <w:rPr>
                <w:rFonts w:ascii="Arial" w:hAnsi="Arial"/>
                <w:b/>
                <w:sz w:val="18"/>
                <w:lang w:eastAsia="en-GB"/>
              </w:rPr>
              <w:t>Emission limit (dBm)</w:t>
            </w:r>
          </w:p>
        </w:tc>
        <w:tc>
          <w:tcPr>
            <w:tcW w:w="1417" w:type="dxa"/>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b/>
                <w:sz w:val="18"/>
                <w:lang w:eastAsia="en-GB"/>
              </w:rPr>
            </w:pPr>
            <w:r>
              <w:rPr>
                <w:rFonts w:ascii="Arial" w:hAnsi="Arial"/>
                <w:sz w:val="18"/>
              </w:rPr>
              <w:sym w:font="Symbol" w:char="F0B1"/>
            </w:r>
            <w:r>
              <w:rPr>
                <w:rFonts w:ascii="Arial" w:hAnsi="Arial"/>
                <w:sz w:val="18"/>
              </w:rPr>
              <w:t xml:space="preserve"> 0</w:t>
            </w:r>
          </w:p>
        </w:tc>
        <w:tc>
          <w:tcPr>
            <w:tcW w:w="1182" w:type="dxa"/>
          </w:tcPr>
          <w:p>
            <w:pPr>
              <w:keepNext/>
              <w:keepLines/>
              <w:spacing w:after="0"/>
              <w:jc w:val="center"/>
              <w:rPr>
                <w:rFonts w:ascii="Arial" w:hAnsi="Arial"/>
                <w:sz w:val="18"/>
                <w:lang w:eastAsia="en-GB"/>
              </w:rPr>
            </w:pPr>
            <w:r>
              <w:rPr>
                <w:rFonts w:ascii="Arial" w:hAnsi="Arial"/>
                <w:sz w:val="18"/>
                <w:lang w:eastAsia="en-GB"/>
              </w:rPr>
              <w:t>26</w:t>
            </w:r>
          </w:p>
        </w:tc>
        <w:tc>
          <w:tcPr>
            <w:tcW w:w="1417" w:type="dxa"/>
          </w:tcPr>
          <w:p>
            <w:pPr>
              <w:keepNext/>
              <w:keepLines/>
              <w:spacing w:after="0"/>
              <w:jc w:val="center"/>
              <w:rPr>
                <w:rFonts w:ascii="Arial" w:hAnsi="Arial"/>
                <w:b/>
                <w:sz w:val="18"/>
              </w:rPr>
            </w:pPr>
            <w:r>
              <w:rPr>
                <w:rFonts w:ascii="Arial" w:hAnsi="Arial"/>
                <w:sz w:val="18"/>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1</w:t>
            </w:r>
            <w:r>
              <w:rPr>
                <w:rFonts w:ascii="Arial" w:hAnsi="Arial"/>
                <w:sz w:val="18"/>
                <w:lang w:eastAsia="en-GB"/>
              </w:rPr>
              <w:t>00</w:t>
            </w:r>
          </w:p>
        </w:tc>
        <w:tc>
          <w:tcPr>
            <w:tcW w:w="1182" w:type="dxa"/>
          </w:tcPr>
          <w:p>
            <w:pPr>
              <w:keepNext/>
              <w:keepLines/>
              <w:spacing w:after="0"/>
              <w:jc w:val="center"/>
              <w:rPr>
                <w:rFonts w:ascii="Arial" w:hAnsi="Arial"/>
                <w:sz w:val="18"/>
                <w:lang w:eastAsia="en-GB"/>
              </w:rPr>
            </w:pPr>
            <w:r>
              <w:rPr>
                <w:rFonts w:ascii="Arial" w:hAnsi="Arial"/>
                <w:sz w:val="18"/>
                <w:lang w:eastAsia="en-GB"/>
              </w:rPr>
              <w:t>-5</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1</w:t>
            </w:r>
            <w:r>
              <w:rPr>
                <w:rFonts w:ascii="Arial" w:hAnsi="Arial"/>
                <w:sz w:val="18"/>
                <w:lang w:eastAsia="en-GB"/>
              </w:rPr>
              <w:t>50</w:t>
            </w:r>
          </w:p>
        </w:tc>
        <w:tc>
          <w:tcPr>
            <w:tcW w:w="1182" w:type="dxa"/>
          </w:tcPr>
          <w:p>
            <w:pPr>
              <w:keepNext/>
              <w:keepLines/>
              <w:spacing w:after="0"/>
              <w:jc w:val="center"/>
              <w:rPr>
                <w:rFonts w:ascii="Arial" w:hAnsi="Arial"/>
                <w:sz w:val="18"/>
                <w:lang w:eastAsia="en-GB"/>
              </w:rPr>
            </w:pPr>
            <w:r>
              <w:rPr>
                <w:rFonts w:ascii="Arial" w:hAnsi="Arial"/>
                <w:sz w:val="18"/>
                <w:lang w:eastAsia="en-GB"/>
              </w:rPr>
              <w:t>-8</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w:t>
            </w:r>
            <w:r>
              <w:rPr>
                <w:rFonts w:ascii="Arial" w:hAnsi="Arial"/>
                <w:sz w:val="18"/>
                <w:lang w:eastAsia="en-GB"/>
              </w:rPr>
              <w:t>300</w:t>
            </w:r>
          </w:p>
        </w:tc>
        <w:tc>
          <w:tcPr>
            <w:tcW w:w="1182" w:type="dxa"/>
          </w:tcPr>
          <w:p>
            <w:pPr>
              <w:keepNext/>
              <w:keepLines/>
              <w:spacing w:after="0"/>
              <w:jc w:val="center"/>
              <w:rPr>
                <w:rFonts w:ascii="Arial" w:hAnsi="Arial"/>
                <w:sz w:val="18"/>
                <w:lang w:eastAsia="en-GB"/>
              </w:rPr>
            </w:pPr>
            <w:r>
              <w:rPr>
                <w:rFonts w:ascii="Arial" w:hAnsi="Arial"/>
                <w:sz w:val="18"/>
                <w:lang w:eastAsia="en-GB"/>
              </w:rPr>
              <w:t>-29</w:t>
            </w:r>
          </w:p>
        </w:tc>
        <w:tc>
          <w:tcPr>
            <w:tcW w:w="1417"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12" w:type="dxa"/>
          </w:tcPr>
          <w:p>
            <w:pPr>
              <w:keepNext/>
              <w:keepLines/>
              <w:spacing w:after="0"/>
              <w:jc w:val="center"/>
              <w:rPr>
                <w:rFonts w:ascii="Arial" w:hAnsi="Arial"/>
                <w:sz w:val="18"/>
                <w:lang w:eastAsia="en-GB"/>
              </w:rPr>
            </w:pPr>
            <w:r>
              <w:rPr>
                <w:rFonts w:ascii="Arial" w:hAnsi="Arial"/>
                <w:sz w:val="18"/>
              </w:rPr>
              <w:sym w:font="Symbol" w:char="F0B1"/>
            </w:r>
            <w:r>
              <w:rPr>
                <w:rFonts w:ascii="Arial" w:hAnsi="Arial"/>
                <w:sz w:val="18"/>
              </w:rPr>
              <w:t xml:space="preserve"> </w:t>
            </w:r>
            <w:r>
              <w:rPr>
                <w:rFonts w:ascii="Arial" w:hAnsi="Arial"/>
                <w:sz w:val="18"/>
                <w:lang w:eastAsia="en-GB"/>
              </w:rPr>
              <w:t>500-1700</w:t>
            </w:r>
          </w:p>
        </w:tc>
        <w:tc>
          <w:tcPr>
            <w:tcW w:w="1182" w:type="dxa"/>
          </w:tcPr>
          <w:p>
            <w:pPr>
              <w:keepNext/>
              <w:keepLines/>
              <w:spacing w:after="0"/>
              <w:jc w:val="center"/>
              <w:rPr>
                <w:rFonts w:ascii="Arial" w:hAnsi="Arial"/>
                <w:sz w:val="18"/>
                <w:lang w:eastAsia="en-GB"/>
              </w:rPr>
            </w:pPr>
            <w:r>
              <w:rPr>
                <w:rFonts w:ascii="Arial" w:hAnsi="Arial"/>
                <w:sz w:val="18"/>
                <w:lang w:eastAsia="en-GB"/>
              </w:rPr>
              <w:t>-35</w:t>
            </w:r>
          </w:p>
        </w:tc>
        <w:tc>
          <w:tcPr>
            <w:tcW w:w="1417" w:type="dxa"/>
          </w:tcPr>
          <w:p>
            <w:pPr>
              <w:keepNext/>
              <w:keepLines/>
              <w:spacing w:after="0"/>
              <w:jc w:val="center"/>
              <w:rPr>
                <w:rFonts w:ascii="Arial" w:hAnsi="Arial"/>
                <w:sz w:val="18"/>
              </w:rPr>
            </w:pPr>
            <w:r>
              <w:rPr>
                <w:rFonts w:ascii="Arial" w:hAnsi="Arial"/>
                <w:sz w:val="18"/>
              </w:rPr>
              <w:t>30 kHz</w:t>
            </w:r>
          </w:p>
        </w:tc>
      </w:tr>
    </w:tbl>
    <w:p>
      <w:pPr>
        <w:rPr>
          <w:snapToGrid w:val="0"/>
          <w:lang w:eastAsia="en-GB"/>
        </w:rPr>
      </w:pPr>
    </w:p>
    <w:p>
      <w:pPr>
        <w:rPr>
          <w:snapToGrid w:val="0"/>
          <w:lang w:eastAsia="en-GB"/>
        </w:rPr>
      </w:pPr>
      <w:r>
        <w:rPr>
          <w:snapToGrid w:val="0"/>
          <w:lang w:eastAsia="en-GB"/>
        </w:rPr>
        <w:t>In addition to the spectrum emission mask requirement in</w:t>
      </w:r>
      <w:r>
        <w:rPr>
          <w:lang w:eastAsia="en-GB"/>
        </w:rPr>
        <w:t xml:space="preserve"> Table 6.5B.3.2.3-1</w:t>
      </w:r>
      <w:r>
        <w:rPr>
          <w:snapToGrid w:val="0"/>
          <w:lang w:eastAsia="en-GB"/>
        </w:rPr>
        <w:t xml:space="preserve"> a category NB1 or NB2 UE shall also meet the applicable E-UTRA spectrum emission mask requirement in TS 36.521-1[14] sub-clause 6.6.2. E-UTRA spectrum emission requirement applies for frequencies that are Foffset away from edge of NB1 or NB2 channel edge as defined in </w:t>
      </w:r>
      <w:r>
        <w:rPr>
          <w:lang w:eastAsia="en-GB"/>
        </w:rPr>
        <w:t xml:space="preserve">Table </w:t>
      </w:r>
      <w:bookmarkStart w:id="590" w:name="_Hlk140767369"/>
      <w:r>
        <w:rPr>
          <w:lang w:eastAsia="en-GB"/>
        </w:rPr>
        <w:t>6.5B.3.2.3-2</w:t>
      </w:r>
      <w:bookmarkEnd w:id="590"/>
      <w:r>
        <w:rPr>
          <w:snapToGrid w:val="0"/>
          <w:lang w:eastAsia="en-GB"/>
        </w:rPr>
        <w:t>.</w:t>
      </w:r>
    </w:p>
    <w:p>
      <w:pPr>
        <w:keepNext/>
        <w:keepLines/>
        <w:spacing w:before="60"/>
        <w:jc w:val="center"/>
        <w:rPr>
          <w:rFonts w:ascii="Arial" w:hAnsi="Arial"/>
          <w:b/>
          <w:lang w:eastAsia="en-GB"/>
        </w:rPr>
      </w:pPr>
      <w:r>
        <w:rPr>
          <w:rFonts w:ascii="Arial" w:hAnsi="Arial"/>
          <w:b/>
          <w:lang w:eastAsia="en-GB"/>
        </w:rPr>
        <w:t>Table 6.5B.3.2.3-2: Foffset for category NB1 and NB2 UE spectrum emission mask</w:t>
      </w:r>
    </w:p>
    <w:tbl>
      <w:tblPr>
        <w:tblStyle w:val="89"/>
        <w:tblW w:w="39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2"/>
        <w:gridCol w:w="24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512" w:type="dxa"/>
          </w:tcPr>
          <w:p>
            <w:pPr>
              <w:keepNext/>
              <w:keepLines/>
              <w:spacing w:after="0"/>
              <w:jc w:val="center"/>
              <w:rPr>
                <w:rFonts w:ascii="Arial" w:hAnsi="Arial"/>
                <w:b/>
                <w:sz w:val="18"/>
              </w:rPr>
            </w:pPr>
            <w:r>
              <w:rPr>
                <w:rFonts w:ascii="Arial" w:hAnsi="Arial"/>
                <w:b/>
                <w:sz w:val="18"/>
              </w:rPr>
              <w:t>Channel BW</w:t>
            </w:r>
            <w:r>
              <w:rPr>
                <w:rFonts w:ascii="Arial" w:hAnsi="Arial"/>
                <w:b/>
                <w:sz w:val="18"/>
                <w:lang w:eastAsia="en-GB"/>
              </w:rPr>
              <w:t xml:space="preserve"> </w:t>
            </w:r>
            <w:r>
              <w:rPr>
                <w:rFonts w:ascii="Arial" w:hAnsi="Arial"/>
                <w:b/>
                <w:sz w:val="18"/>
              </w:rPr>
              <w:t>(MHz)</w:t>
            </w:r>
          </w:p>
        </w:tc>
        <w:tc>
          <w:tcPr>
            <w:tcW w:w="2463" w:type="dxa"/>
          </w:tcPr>
          <w:p>
            <w:pPr>
              <w:keepNext/>
              <w:keepLines/>
              <w:spacing w:after="0"/>
              <w:jc w:val="center"/>
              <w:rPr>
                <w:rFonts w:ascii="Arial" w:hAnsi="Arial"/>
                <w:b/>
                <w:sz w:val="18"/>
                <w:lang w:eastAsia="en-GB"/>
              </w:rPr>
            </w:pPr>
            <w:r>
              <w:rPr>
                <w:rFonts w:ascii="Arial" w:hAnsi="Arial"/>
                <w:b/>
                <w:sz w:val="18"/>
                <w:lang w:eastAsia="en-GB"/>
              </w:rPr>
              <w:t>Foffset</w:t>
            </w:r>
          </w:p>
          <w:p>
            <w:pPr>
              <w:keepNext/>
              <w:keepLines/>
              <w:spacing w:after="0"/>
              <w:jc w:val="center"/>
              <w:rPr>
                <w:rFonts w:ascii="Arial" w:hAnsi="Arial"/>
                <w:b/>
                <w:sz w:val="18"/>
                <w:lang w:eastAsia="en-GB"/>
              </w:rPr>
            </w:pPr>
            <w:r>
              <w:rPr>
                <w:rFonts w:ascii="Arial" w:hAnsi="Arial"/>
                <w:b/>
                <w:sz w:val="18"/>
                <w:lang w:eastAsia="en-GB"/>
              </w:rPr>
              <w:t>[kHz]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1.4</w:t>
            </w:r>
          </w:p>
        </w:tc>
        <w:tc>
          <w:tcPr>
            <w:tcW w:w="2463" w:type="dxa"/>
          </w:tcPr>
          <w:p>
            <w:pPr>
              <w:keepNext/>
              <w:keepLines/>
              <w:spacing w:after="0"/>
              <w:jc w:val="center"/>
              <w:rPr>
                <w:rFonts w:ascii="Arial" w:hAnsi="Arial"/>
                <w:sz w:val="18"/>
                <w:lang w:eastAsia="en-GB"/>
              </w:rPr>
            </w:pPr>
            <w:r>
              <w:rPr>
                <w:rFonts w:ascii="Arial" w:hAnsi="Arial"/>
                <w:sz w:val="18"/>
              </w:rPr>
              <w:t>165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3</w:t>
            </w:r>
          </w:p>
        </w:tc>
        <w:tc>
          <w:tcPr>
            <w:tcW w:w="2463" w:type="dxa"/>
          </w:tcPr>
          <w:p>
            <w:pPr>
              <w:keepNext/>
              <w:keepLines/>
              <w:spacing w:after="0"/>
              <w:jc w:val="center"/>
              <w:rPr>
                <w:rFonts w:ascii="Arial" w:hAnsi="Arial"/>
                <w:sz w:val="18"/>
                <w:lang w:eastAsia="en-GB"/>
              </w:rPr>
            </w:pPr>
            <w:r>
              <w:rPr>
                <w:rFonts w:ascii="Arial" w:hAnsi="Arial"/>
                <w:sz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5</w:t>
            </w:r>
          </w:p>
        </w:tc>
        <w:tc>
          <w:tcPr>
            <w:tcW w:w="2463" w:type="dxa"/>
          </w:tcPr>
          <w:p>
            <w:pPr>
              <w:keepNext/>
              <w:keepLines/>
              <w:spacing w:after="0"/>
              <w:jc w:val="center"/>
              <w:rPr>
                <w:rFonts w:ascii="Arial" w:hAnsi="Arial"/>
                <w:sz w:val="18"/>
                <w:lang w:eastAsia="en-GB"/>
              </w:rPr>
            </w:pPr>
            <w:r>
              <w:rPr>
                <w:rFonts w:ascii="Arial" w:hAnsi="Arial"/>
                <w:sz w:val="18"/>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10</w:t>
            </w:r>
          </w:p>
        </w:tc>
        <w:tc>
          <w:tcPr>
            <w:tcW w:w="2463" w:type="dxa"/>
          </w:tcPr>
          <w:p>
            <w:pPr>
              <w:keepNext/>
              <w:keepLines/>
              <w:spacing w:after="0"/>
              <w:jc w:val="center"/>
              <w:rPr>
                <w:rFonts w:ascii="Arial" w:hAnsi="Arial"/>
                <w:sz w:val="18"/>
                <w:lang w:eastAsia="en-GB"/>
              </w:rPr>
            </w:pPr>
            <w:r>
              <w:rPr>
                <w:rFonts w:ascii="Arial" w:hAnsi="Arial"/>
                <w:sz w:val="18"/>
              </w:rPr>
              <w:t>225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15</w:t>
            </w:r>
          </w:p>
        </w:tc>
        <w:tc>
          <w:tcPr>
            <w:tcW w:w="2463" w:type="dxa"/>
          </w:tcPr>
          <w:p>
            <w:pPr>
              <w:keepNext/>
              <w:keepLines/>
              <w:spacing w:after="0"/>
              <w:jc w:val="center"/>
              <w:rPr>
                <w:rFonts w:ascii="Arial" w:hAnsi="Arial"/>
                <w:sz w:val="18"/>
                <w:lang w:eastAsia="en-GB"/>
              </w:rPr>
            </w:pPr>
            <w:r>
              <w:rPr>
                <w:rFonts w:ascii="Arial" w:hAnsi="Arial"/>
                <w:sz w:val="18"/>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12" w:type="dxa"/>
          </w:tcPr>
          <w:p>
            <w:pPr>
              <w:keepNext/>
              <w:keepLines/>
              <w:spacing w:after="0"/>
              <w:jc w:val="center"/>
              <w:rPr>
                <w:rFonts w:ascii="Arial" w:hAnsi="Arial"/>
                <w:sz w:val="18"/>
                <w:lang w:eastAsia="en-GB"/>
              </w:rPr>
            </w:pPr>
            <w:r>
              <w:rPr>
                <w:rFonts w:ascii="Arial" w:hAnsi="Arial"/>
                <w:sz w:val="18"/>
                <w:lang w:eastAsia="en-GB"/>
              </w:rPr>
              <w:t>20</w:t>
            </w:r>
          </w:p>
        </w:tc>
        <w:tc>
          <w:tcPr>
            <w:tcW w:w="2463" w:type="dxa"/>
          </w:tcPr>
          <w:p>
            <w:pPr>
              <w:keepNext/>
              <w:keepLines/>
              <w:spacing w:after="0"/>
              <w:jc w:val="center"/>
              <w:rPr>
                <w:rFonts w:ascii="Arial" w:hAnsi="Arial"/>
                <w:sz w:val="18"/>
                <w:lang w:eastAsia="en-GB"/>
              </w:rPr>
            </w:pPr>
            <w:r>
              <w:rPr>
                <w:rFonts w:ascii="Arial" w:hAnsi="Arial"/>
                <w:sz w:val="18"/>
              </w:rPr>
              <w:t>245</w:t>
            </w:r>
          </w:p>
        </w:tc>
      </w:tr>
    </w:tbl>
    <w:p>
      <w:pPr>
        <w:rPr>
          <w:snapToGrid w:val="0"/>
          <w:lang w:eastAsia="en-GB"/>
        </w:rPr>
      </w:pPr>
    </w:p>
    <w:p>
      <w:pPr>
        <w:keepLines/>
        <w:ind w:left="1135" w:hanging="851"/>
        <w:rPr>
          <w:snapToGrid w:val="0"/>
          <w:lang w:eastAsia="en-GB"/>
        </w:rPr>
      </w:pPr>
      <w:r>
        <w:rPr>
          <w:snapToGrid w:val="0"/>
          <w:lang w:eastAsia="en-GB"/>
        </w:rPr>
        <w:t xml:space="preserve">NOTE: Foffset in Table </w:t>
      </w:r>
      <w:bookmarkStart w:id="591" w:name="_Hlk140767619"/>
      <w:r>
        <w:rPr>
          <w:lang w:eastAsia="en-GB"/>
        </w:rPr>
        <w:t>6.5B.3.2</w:t>
      </w:r>
      <w:bookmarkEnd w:id="591"/>
      <w:r>
        <w:rPr>
          <w:lang w:eastAsia="en-GB"/>
        </w:rPr>
        <w:t>.3-2</w:t>
      </w:r>
      <w:r>
        <w:rPr>
          <w:snapToGrid w:val="0"/>
          <w:lang w:eastAsia="en-GB"/>
        </w:rPr>
        <w:t xml:space="preserve"> is used to guarantee co-existence for guard-band operation.</w:t>
      </w:r>
    </w:p>
    <w:p>
      <w:pPr>
        <w:rPr>
          <w:lang w:eastAsia="en-GB"/>
        </w:rPr>
      </w:pPr>
      <w:r>
        <w:rPr>
          <w:lang w:eastAsia="en-GB"/>
        </w:rPr>
        <w:t>The normative reference for this requirement is TS 36.102[11] clause 6.5B.3.2.</w:t>
      </w:r>
    </w:p>
    <w:p>
      <w:pPr>
        <w:pStyle w:val="9"/>
        <w:rPr>
          <w:lang w:eastAsia="en-GB"/>
        </w:rPr>
      </w:pPr>
      <w:r>
        <w:rPr>
          <w:lang w:eastAsia="en-GB"/>
        </w:rPr>
        <w:t>6.</w:t>
      </w:r>
      <w:bookmarkStart w:id="592" w:name="_Hlk140767700"/>
      <w:r>
        <w:rPr>
          <w:lang w:eastAsia="en-GB"/>
        </w:rPr>
        <w:t>5B.3.2</w:t>
      </w:r>
      <w:bookmarkEnd w:id="592"/>
      <w:r>
        <w:rPr>
          <w:lang w:eastAsia="en-GB"/>
        </w:rPr>
        <w:t>.4</w:t>
      </w:r>
      <w:r>
        <w:rPr>
          <w:lang w:eastAsia="en-GB"/>
        </w:rPr>
        <w:tab/>
      </w:r>
      <w:r>
        <w:rPr>
          <w:lang w:eastAsia="en-GB"/>
        </w:rPr>
        <w:t>Test description</w:t>
      </w:r>
    </w:p>
    <w:p>
      <w:pPr>
        <w:keepNext/>
        <w:keepLines/>
        <w:spacing w:before="120"/>
        <w:ind w:left="1985" w:hanging="1985"/>
        <w:rPr>
          <w:rFonts w:ascii="Arial" w:hAnsi="Arial"/>
          <w:lang w:eastAsia="en-GB"/>
        </w:rPr>
      </w:pPr>
      <w:r>
        <w:rPr>
          <w:rFonts w:ascii="Arial" w:hAnsi="Arial"/>
          <w:lang w:eastAsia="en-GB"/>
        </w:rPr>
        <w:t>6.5B.3.2.4.1</w:t>
      </w:r>
      <w:r>
        <w:rPr>
          <w:rFonts w:ascii="Arial" w:hAnsi="Arial"/>
          <w:lang w:eastAsia="en-GB"/>
        </w:rPr>
        <w:tab/>
      </w:r>
      <w:r>
        <w:rPr>
          <w:rFonts w:ascii="Arial" w:hAnsi="Arial"/>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6.5B.3.2.4.1-1: Test Configuration Table</w:t>
      </w:r>
      <w:r>
        <w:rPr>
          <w:rFonts w:ascii="Arial" w:hAnsi="Arial"/>
          <w:b/>
        </w:rPr>
        <w:t xml:space="preserv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cs="v5.0.0"/>
                <w:bCs/>
                <w:sz w:val="18"/>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pPr>
              <w:keepNext/>
              <w:keepLines/>
              <w:spacing w:after="0"/>
              <w:rPr>
                <w:rFonts w:ascii="Arial" w:hAnsi="Arial"/>
                <w:sz w:val="18"/>
              </w:rPr>
            </w:pPr>
            <w:r>
              <w:rPr>
                <w:rFonts w:ascii="Arial" w:hAnsi="Arial" w:eastAsia="微软雅黑" w:cs="Arial"/>
                <w:sz w:val="18"/>
                <w:lang w:eastAsia="en-GB"/>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cantSplit/>
          <w:jc w:val="center"/>
        </w:trPr>
        <w:tc>
          <w:tcPr>
            <w:tcW w:w="9340" w:type="dxa"/>
            <w:gridSpan w:val="5"/>
            <w:shd w:val="clear" w:color="auto" w:fill="FFFFFF"/>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22" w:type="dxa"/>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pPr>
              <w:keepNext/>
              <w:keepLines/>
              <w:spacing w:after="0"/>
              <w:jc w:val="center"/>
              <w:rPr>
                <w:rFonts w:ascii="Arial" w:hAnsi="Arial"/>
                <w:sz w:val="18"/>
              </w:rPr>
            </w:pPr>
            <w:r>
              <w:rPr>
                <w:rFonts w:ascii="Arial" w:hAnsi="Arial"/>
                <w:sz w:val="18"/>
              </w:rPr>
              <w:t>N/A</w:t>
            </w: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1@47</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lang w:eastAsia="en-GB"/>
              </w:rPr>
              <w:t>3.75kHz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3</w:t>
            </w:r>
          </w:p>
        </w:tc>
        <w:tc>
          <w:tcPr>
            <w:tcW w:w="0" w:type="auto"/>
            <w:vMerge w:val="continue"/>
            <w:shd w:val="clear" w:color="auto" w:fill="FFFFFF"/>
            <w:vAlign w:val="center"/>
          </w:tcPr>
          <w:p>
            <w:pPr>
              <w:rPr>
                <w:rFonts w:cs="Arial"/>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4</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1@11</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5</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6</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3@3</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 xml:space="preserve">7 </w:t>
            </w:r>
            <w:r>
              <w:rPr>
                <w:rFonts w:ascii="Arial" w:hAnsi="Arial"/>
                <w:sz w:val="18"/>
                <w:lang w:eastAsia="en-GB"/>
              </w:rPr>
              <w:t>(Note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3@9</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 xml:space="preserve">8 </w:t>
            </w:r>
            <w:r>
              <w:rPr>
                <w:rFonts w:ascii="Arial" w:hAnsi="Arial"/>
                <w:sz w:val="18"/>
                <w:lang w:eastAsia="en-GB"/>
              </w:rPr>
              <w:t>(Note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9</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6@6</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cantSplit/>
          <w:jc w:val="center"/>
        </w:trPr>
        <w:tc>
          <w:tcPr>
            <w:tcW w:w="1522" w:type="dxa"/>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10</w:t>
            </w:r>
            <w:r>
              <w:rPr>
                <w:rFonts w:ascii="Arial" w:hAnsi="Arial"/>
                <w:sz w:val="18"/>
                <w:lang w:eastAsia="en-GB"/>
              </w:rPr>
              <w:t xml:space="preserve"> (Note 1)</w:t>
            </w:r>
          </w:p>
        </w:tc>
        <w:tc>
          <w:tcPr>
            <w:tcW w:w="0" w:type="auto"/>
            <w:vMerge w:val="continue"/>
            <w:shd w:val="clear" w:color="auto" w:fill="FFFFFF"/>
            <w:vAlign w:val="center"/>
          </w:tcPr>
          <w:p>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12@0</w:t>
            </w:r>
          </w:p>
        </w:tc>
        <w:tc>
          <w:tcPr>
            <w:tcW w:w="1352" w:type="dxa"/>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15kHz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PrEx>
        <w:trPr>
          <w:cantSplit/>
          <w:jc w:val="center"/>
        </w:trPr>
        <w:tc>
          <w:tcPr>
            <w:tcW w:w="9340" w:type="dxa"/>
            <w:gridSpan w:val="5"/>
            <w:shd w:val="clear" w:color="auto" w:fill="FFFFFF"/>
          </w:tcPr>
          <w:p>
            <w:pPr>
              <w:keepNext/>
              <w:keepLines/>
              <w:spacing w:after="0"/>
              <w:ind w:left="851" w:hanging="851"/>
              <w:rPr>
                <w:rFonts w:ascii="Arial" w:hAnsi="Arial"/>
                <w:sz w:val="18"/>
              </w:rPr>
            </w:pPr>
            <w:r>
              <w:rPr>
                <w:rFonts w:ascii="Arial" w:hAnsi="Arial"/>
                <w:sz w:val="18"/>
              </w:rPr>
              <w:t xml:space="preserve">Note </w:t>
            </w:r>
            <w:r>
              <w:rPr>
                <w:rFonts w:ascii="Arial" w:hAnsi="Arial"/>
                <w:sz w:val="18"/>
                <w:lang w:eastAsia="en-GB"/>
              </w:rPr>
              <w:t>1</w:t>
            </w:r>
            <w:r>
              <w:rPr>
                <w:rFonts w:ascii="Arial" w:hAnsi="Arial"/>
                <w:sz w:val="18"/>
              </w:rPr>
              <w:t>:</w:t>
            </w:r>
            <w:r>
              <w:rPr>
                <w:rFonts w:ascii="Arial" w:hAnsi="Arial"/>
                <w:sz w:val="18"/>
              </w:rPr>
              <w:tab/>
            </w:r>
            <w:r>
              <w:rPr>
                <w:rFonts w:ascii="Arial" w:hAnsi="Arial"/>
                <w:sz w:val="18"/>
              </w:rPr>
              <w:t xml:space="preserve">The allowed MPR for maximum output power UE might apply is described in clause </w:t>
            </w:r>
            <w:r>
              <w:rPr>
                <w:rFonts w:ascii="Arial" w:hAnsi="Arial"/>
                <w:sz w:val="18"/>
                <w:lang w:eastAsia="en-GB"/>
              </w:rPr>
              <w:t>[</w:t>
            </w:r>
            <w:r>
              <w:rPr>
                <w:rFonts w:ascii="Arial" w:hAnsi="Arial"/>
                <w:sz w:val="18"/>
              </w:rPr>
              <w:t>6.2B.2.3</w:t>
            </w:r>
            <w:r>
              <w:rPr>
                <w:rFonts w:ascii="Arial" w:hAnsi="Arial"/>
                <w:sz w:val="18"/>
                <w:lang w:eastAsia="en-GB"/>
              </w:rPr>
              <w:t>]</w:t>
            </w:r>
            <w:r>
              <w:rPr>
                <w:rFonts w:ascii="Arial" w:hAnsi="Arial"/>
                <w:sz w:val="18"/>
              </w:rPr>
              <w:t>.</w:t>
            </w:r>
          </w:p>
        </w:tc>
      </w:tr>
    </w:tbl>
    <w:p>
      <w:pPr>
        <w:rPr>
          <w:lang w:eastAsia="en-GB"/>
        </w:rPr>
      </w:pPr>
    </w:p>
    <w:p>
      <w:pPr>
        <w:ind w:left="568" w:hanging="284"/>
        <w:rPr>
          <w:lang w:eastAsia="en-GB"/>
        </w:rPr>
      </w:pPr>
      <w:r>
        <w:rPr>
          <w:lang w:eastAsia="en-GB"/>
        </w:rPr>
        <w:t>1.</w:t>
      </w:r>
      <w:r>
        <w:rPr>
          <w:lang w:eastAsia="en-GB"/>
        </w:rPr>
        <w:tab/>
      </w:r>
      <w:r>
        <w:rPr>
          <w:lang w:eastAsia="en-GB"/>
        </w:rPr>
        <w:t>Connect the SS to the UE antenna connectors as shown in Figure TS 36.508 [12] Annex A, Figure A.3 using only main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8.1.4.3.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H.1.1 and H.4.0.</w:t>
      </w:r>
    </w:p>
    <w:p>
      <w:pPr>
        <w:ind w:left="568" w:hanging="284"/>
        <w:rPr>
          <w:lang w:eastAsia="en-GB"/>
        </w:rPr>
      </w:pPr>
      <w:r>
        <w:rPr>
          <w:lang w:eastAsia="en-GB"/>
        </w:rPr>
        <w:t>4.</w:t>
      </w:r>
      <w:r>
        <w:rPr>
          <w:lang w:eastAsia="en-GB"/>
        </w:rPr>
        <w:tab/>
      </w:r>
      <w:r>
        <w:rPr>
          <w:lang w:eastAsia="en-GB"/>
        </w:rPr>
        <w:t>The UL Reference Measurement channels are set according to Table 6.5B.3.2.4.1-1.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lang w:eastAsia="en-GB"/>
        </w:rPr>
        <w:t>Ensure the UE is in State 2A-NB with CP CIoT Optimisation according to TS 36.508 [12] clause 8.1.5. Message contents are defined in clause 6.5B.3.2.4.3.</w:t>
      </w:r>
    </w:p>
    <w:p>
      <w:pPr>
        <w:keepNext/>
        <w:keepLines/>
        <w:spacing w:before="120"/>
        <w:ind w:left="1985" w:hanging="1985"/>
        <w:rPr>
          <w:rFonts w:ascii="Arial" w:hAnsi="Arial"/>
          <w:lang w:eastAsia="en-GB"/>
        </w:rPr>
      </w:pPr>
      <w:r>
        <w:rPr>
          <w:rFonts w:ascii="Arial" w:hAnsi="Arial"/>
          <w:lang w:eastAsia="en-GB"/>
        </w:rPr>
        <w:t>6.5B.3.2.4.2</w:t>
      </w:r>
      <w:r>
        <w:rPr>
          <w:rFonts w:ascii="Arial" w:hAnsi="Arial"/>
          <w:lang w:eastAsia="en-GB"/>
        </w:rPr>
        <w:tab/>
      </w:r>
      <w:r>
        <w:rPr>
          <w:rFonts w:ascii="Arial" w:hAnsi="Arial"/>
          <w:lang w:eastAsia="en-GB"/>
        </w:rPr>
        <w:t>Test procedure</w:t>
      </w:r>
    </w:p>
    <w:p>
      <w:pPr>
        <w:ind w:left="568" w:hanging="284"/>
        <w:rPr>
          <w:lang w:eastAsia="en-GB"/>
        </w:rPr>
      </w:pPr>
      <w:r>
        <w:rPr>
          <w:lang w:eastAsia="en-GB"/>
        </w:rPr>
        <w:t>1.</w:t>
      </w:r>
      <w:r>
        <w:rPr>
          <w:lang w:eastAsia="en-GB"/>
        </w:rPr>
        <w:tab/>
      </w:r>
      <w:r>
        <w:rPr>
          <w:lang w:eastAsia="en-GB"/>
        </w:rPr>
        <w:t>SS sends uplink scheduling information via NPDCCH DCI format N0 for C_RNTI to schedule the UL RMC according to Table 6.5B.3.2.4.1-1. Since the UE has no payload data to send, the UE transmits uplink MAC padding bits on the UL RMC. (UE should be already transmitting P</w:t>
      </w:r>
      <w:r>
        <w:rPr>
          <w:vertAlign w:val="subscript"/>
          <w:lang w:eastAsia="en-GB"/>
        </w:rPr>
        <w:t>UMAX</w:t>
      </w:r>
      <w:r>
        <w:rPr>
          <w:lang w:eastAsia="en-GB"/>
        </w:rPr>
        <w:t xml:space="preserve"> after Initial Conditions setting).</w:t>
      </w:r>
    </w:p>
    <w:p>
      <w:pPr>
        <w:ind w:left="568" w:hanging="284"/>
        <w:rPr>
          <w:lang w:eastAsia="en-GB"/>
        </w:rPr>
      </w:pPr>
      <w:r>
        <w:rPr>
          <w:lang w:eastAsia="en-GB"/>
        </w:rPr>
        <w:t>2.</w:t>
      </w:r>
      <w:r>
        <w:rPr>
          <w:lang w:eastAsia="en-GB"/>
        </w:rPr>
        <w:tab/>
      </w:r>
      <w:r>
        <w:rPr>
          <w:lang w:eastAsia="en-GB"/>
        </w:rPr>
        <w:t xml:space="preserve">Measure the mean power of the UE in the channel bandwidth of the radio access mode according to the test configuration, which shall meet the requirements described in Table </w:t>
      </w:r>
      <w:bookmarkStart w:id="593" w:name="_Hlk140825833"/>
      <w:r>
        <w:rPr>
          <w:lang w:eastAsia="en-GB"/>
        </w:rPr>
        <w:t>6.2B.2.4-1</w:t>
      </w:r>
      <w:bookmarkEnd w:id="593"/>
      <w:r>
        <w:rPr>
          <w:lang w:eastAsia="en-GB"/>
        </w:rPr>
        <w:t>. The measurement duration is at least</w:t>
      </w:r>
      <w:r>
        <w:rPr>
          <w:b/>
          <w:lang w:eastAsia="en-GB"/>
        </w:rPr>
        <w:t xml:space="preserve"> </w:t>
      </w:r>
      <w:r>
        <w:rPr>
          <w:lang w:eastAsia="en-GB"/>
        </w:rPr>
        <w:t>one sub-frame</w:t>
      </w:r>
      <w:r>
        <w:rPr>
          <w:b/>
          <w:lang w:eastAsia="en-GB"/>
        </w:rPr>
        <w:t xml:space="preserve"> (</w:t>
      </w:r>
      <w:r>
        <w:rPr>
          <w:lang w:eastAsia="en-GB"/>
        </w:rPr>
        <w:t>1ms) for 15 KHz channel spacing, and at least a 2ms slot (excluding the 2304Ts gap when UE is not transmitting) respectively for the 3.75 KHz channel spacing.</w:t>
      </w:r>
    </w:p>
    <w:p>
      <w:pPr>
        <w:ind w:left="568" w:hanging="284"/>
        <w:rPr>
          <w:lang w:eastAsia="en-GB"/>
        </w:rPr>
      </w:pPr>
      <w:r>
        <w:rPr>
          <w:lang w:eastAsia="en-GB"/>
        </w:rPr>
        <w:t>3.</w:t>
      </w:r>
      <w:r>
        <w:rPr>
          <w:lang w:eastAsia="en-GB"/>
        </w:rPr>
        <w:tab/>
      </w:r>
      <w:r>
        <w:rPr>
          <w:lang w:eastAsia="en-GB"/>
        </w:rPr>
        <w:t xml:space="preserve">Measure the power of the transmitted signal with a measurement filter of bandwidths according to table </w:t>
      </w:r>
      <w:bookmarkStart w:id="594" w:name="_Hlk140825522"/>
      <w:r>
        <w:rPr>
          <w:lang w:eastAsia="en-GB"/>
        </w:rPr>
        <w:t>6.5B.3.2.5-1</w:t>
      </w:r>
      <w:bookmarkEnd w:id="594"/>
      <w:r>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pPr>
        <w:keepLines/>
        <w:ind w:left="1135" w:hanging="851"/>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lang w:eastAsia="en-GB"/>
        </w:rPr>
      </w:pPr>
      <w:r>
        <w:rPr>
          <w:rFonts w:ascii="Arial" w:hAnsi="Arial"/>
          <w:lang w:eastAsia="en-GB"/>
        </w:rPr>
        <w:t>6.5B.3.2.4.3</w:t>
      </w:r>
      <w:r>
        <w:rPr>
          <w:rFonts w:ascii="Arial" w:hAnsi="Arial"/>
          <w:lang w:eastAsia="en-GB"/>
        </w:rPr>
        <w:tab/>
      </w:r>
      <w:r>
        <w:rPr>
          <w:rFonts w:ascii="Arial" w:hAnsi="Arial"/>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6.5B.3.2.5</w:t>
      </w:r>
      <w:r>
        <w:rPr>
          <w:lang w:eastAsia="en-GB"/>
        </w:rPr>
        <w:tab/>
      </w:r>
      <w:r>
        <w:rPr>
          <w:lang w:eastAsia="en-GB"/>
        </w:rPr>
        <w:t>Test requirements</w:t>
      </w:r>
    </w:p>
    <w:p>
      <w:pPr>
        <w:ind w:right="334"/>
        <w:rPr>
          <w:lang w:eastAsia="en-GB"/>
        </w:rPr>
      </w:pPr>
      <w:r>
        <w:rPr>
          <w:lang w:eastAsia="en-GB"/>
        </w:rPr>
        <w:t xml:space="preserve">The measured UE mean power in the channel bandwidth, derived in step 3, shall fulfil requirements in Table 6.2B.2.4-1 as appropriate, and the power of any UE emission shall fulfil requirements in 6.5B.3.2.5-1 as applicable. </w:t>
      </w:r>
    </w:p>
    <w:p>
      <w:pPr>
        <w:keepNext/>
        <w:keepLines/>
        <w:spacing w:before="60"/>
        <w:jc w:val="center"/>
        <w:rPr>
          <w:rFonts w:ascii="Arial" w:hAnsi="Arial"/>
          <w:b/>
          <w:lang w:eastAsia="en-GB"/>
        </w:rPr>
      </w:pPr>
      <w:r>
        <w:rPr>
          <w:rFonts w:ascii="Arial" w:hAnsi="Arial"/>
          <w:b/>
          <w:lang w:eastAsia="en-GB"/>
        </w:rPr>
        <w:t xml:space="preserve">Table </w:t>
      </w:r>
      <w:bookmarkStart w:id="595" w:name="_Hlk140825864"/>
      <w:r>
        <w:rPr>
          <w:rFonts w:ascii="Arial" w:hAnsi="Arial"/>
          <w:b/>
          <w:lang w:eastAsia="en-GB"/>
        </w:rPr>
        <w:t>6.5B.3.2.5-1</w:t>
      </w:r>
      <w:bookmarkEnd w:id="595"/>
      <w:r>
        <w:rPr>
          <w:rFonts w:ascii="Arial" w:hAnsi="Arial"/>
          <w:b/>
          <w:lang w:eastAsia="en-GB"/>
        </w:rPr>
        <w:t xml:space="preserve">: category NB1 and NB2 UE spectrum emission mask, category NB1/NB2 bands </w:t>
      </w:r>
      <w:r>
        <w:rPr>
          <w:rFonts w:ascii="Arial" w:hAnsi="Arial" w:cs="Arial"/>
          <w:b/>
          <w:lang w:eastAsia="en-GB"/>
        </w:rPr>
        <w:t>≤</w:t>
      </w:r>
      <w:r>
        <w:rPr>
          <w:rFonts w:ascii="Arial" w:hAnsi="Arial"/>
          <w:b/>
          <w:lang w:eastAsia="en-GB"/>
        </w:rPr>
        <w:t xml:space="preserve"> 3GHz</w:t>
      </w:r>
    </w:p>
    <w:tbl>
      <w:tblPr>
        <w:tblStyle w:val="89"/>
        <w:tblW w:w="87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63"/>
        <w:gridCol w:w="373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063" w:type="dxa"/>
          </w:tcPr>
          <w:p>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lang w:eastAsia="en-GB"/>
              </w:rPr>
              <w:t xml:space="preserve"> </w:t>
            </w:r>
            <w:r>
              <w:rPr>
                <w:rFonts w:ascii="Arial" w:hAnsi="Arial"/>
                <w:b/>
                <w:sz w:val="18"/>
              </w:rPr>
              <w:t>(</w:t>
            </w:r>
            <w:r>
              <w:rPr>
                <w:rFonts w:ascii="Arial" w:hAnsi="Arial"/>
                <w:b/>
                <w:sz w:val="18"/>
                <w:lang w:eastAsia="en-GB"/>
              </w:rPr>
              <w:t>k</w:t>
            </w:r>
            <w:r>
              <w:rPr>
                <w:rFonts w:ascii="Arial" w:hAnsi="Arial"/>
                <w:b/>
                <w:sz w:val="18"/>
              </w:rPr>
              <w:t>Hz)</w:t>
            </w:r>
          </w:p>
        </w:tc>
        <w:tc>
          <w:tcPr>
            <w:tcW w:w="3739" w:type="dxa"/>
          </w:tcPr>
          <w:p>
            <w:pPr>
              <w:keepNext/>
              <w:keepLines/>
              <w:spacing w:after="0"/>
              <w:jc w:val="center"/>
              <w:rPr>
                <w:rFonts w:ascii="Arial" w:hAnsi="Arial"/>
                <w:b/>
                <w:sz w:val="18"/>
                <w:lang w:eastAsia="en-GB"/>
              </w:rPr>
            </w:pPr>
            <w:r>
              <w:rPr>
                <w:rFonts w:ascii="Arial" w:hAnsi="Arial"/>
                <w:b/>
                <w:sz w:val="18"/>
              </w:rPr>
              <w:t>Spectrum emission limit (dBm)</w:t>
            </w:r>
          </w:p>
        </w:tc>
        <w:tc>
          <w:tcPr>
            <w:tcW w:w="1982" w:type="dxa"/>
          </w:tcPr>
          <w:p>
            <w:pPr>
              <w:keepNext/>
              <w:keepLines/>
              <w:spacing w:after="0"/>
              <w:jc w:val="center"/>
              <w:rPr>
                <w:rFonts w:ascii="Arial" w:hAnsi="Arial"/>
                <w:b/>
                <w:sz w:val="18"/>
              </w:rPr>
            </w:pPr>
            <w:r>
              <w:rPr>
                <w:rFonts w:ascii="Arial" w:hAnsi="Arial"/>
                <w:b/>
                <w:sz w:val="18"/>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3" w:type="dxa"/>
          </w:tcPr>
          <w:p>
            <w:pPr>
              <w:keepNext/>
              <w:keepLines/>
              <w:spacing w:after="0"/>
              <w:jc w:val="center"/>
              <w:rPr>
                <w:rFonts w:ascii="Arial" w:hAnsi="Arial"/>
                <w:b/>
                <w:sz w:val="18"/>
                <w:lang w:eastAsia="en-GB"/>
              </w:rPr>
            </w:pPr>
            <w:r>
              <w:rPr>
                <w:rFonts w:ascii="Arial" w:hAnsi="Arial"/>
                <w:sz w:val="18"/>
              </w:rPr>
              <w:t>0 -100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(27.5+(F−0)×</m:t>
                </m:r>
                <m:f>
                  <m:fPr>
                    <m:ctrlPr>
                      <w:rPr>
                        <w:rFonts w:ascii="Cambria Math" w:hAnsi="Cambria Math" w:cs="Arial"/>
                        <w:i/>
                        <w:sz w:val="18"/>
                      </w:rPr>
                    </m:ctrlPr>
                  </m:fPr>
                  <m:num>
                    <m:r>
                      <m:rPr/>
                      <w:rPr>
                        <w:rFonts w:ascii="Cambria Math" w:hAnsi="Cambria Math" w:cs="Arial"/>
                        <w:sz w:val="18"/>
                      </w:rPr>
                      <m:t>−3.5−27.5</m:t>
                    </m:r>
                    <m:ctrlPr>
                      <w:rPr>
                        <w:rFonts w:ascii="Cambria Math" w:hAnsi="Cambria Math" w:cs="Arial"/>
                        <w:i/>
                        <w:sz w:val="18"/>
                      </w:rPr>
                    </m:ctrlPr>
                  </m:num>
                  <m:den>
                    <m:r>
                      <m:rPr/>
                      <w:rPr>
                        <w:rFonts w:ascii="Cambria Math" w:hAnsi="Cambria Math" w:cs="Arial"/>
                        <w:sz w:val="18"/>
                      </w:rPr>
                      <m:t>100−0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b/>
                <w:sz w:val="18"/>
              </w:rPr>
            </w:pPr>
            <w:r>
              <w:rPr>
                <w:rFonts w:ascii="Arial" w:hAnsi="Arial"/>
                <w:sz w:val="18"/>
              </w:rPr>
              <w:t xml:space="preserve">30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3063" w:type="dxa"/>
          </w:tcPr>
          <w:p>
            <w:pPr>
              <w:keepNext/>
              <w:keepLines/>
              <w:spacing w:after="0"/>
              <w:jc w:val="center"/>
              <w:rPr>
                <w:rFonts w:ascii="Arial" w:hAnsi="Arial"/>
                <w:sz w:val="18"/>
                <w:lang w:eastAsia="en-GB"/>
              </w:rPr>
            </w:pPr>
            <w:r>
              <w:rPr>
                <w:rFonts w:ascii="Arial" w:hAnsi="Arial"/>
                <w:sz w:val="18"/>
              </w:rPr>
              <w:t>1</w:t>
            </w:r>
            <w:r>
              <w:rPr>
                <w:rFonts w:ascii="Arial" w:hAnsi="Arial"/>
                <w:sz w:val="18"/>
                <w:lang w:eastAsia="en-GB"/>
              </w:rPr>
              <w:t>00 - 150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(−3.5+(F−100)×</m:t>
                </m:r>
                <m:f>
                  <m:fPr>
                    <m:ctrlPr>
                      <w:rPr>
                        <w:rFonts w:ascii="Cambria Math" w:hAnsi="Cambria Math" w:cs="Arial"/>
                        <w:i/>
                        <w:sz w:val="18"/>
                      </w:rPr>
                    </m:ctrlPr>
                  </m:fPr>
                  <m:num>
                    <m:r>
                      <m:rPr/>
                      <w:rPr>
                        <w:rFonts w:ascii="Cambria Math" w:hAnsi="Cambria Math" w:cs="Arial"/>
                        <w:sz w:val="18"/>
                      </w:rPr>
                      <m:t>−6.5−(−3.5)</m:t>
                    </m:r>
                    <m:ctrlPr>
                      <w:rPr>
                        <w:rFonts w:ascii="Cambria Math" w:hAnsi="Cambria Math" w:cs="Arial"/>
                        <w:i/>
                        <w:sz w:val="18"/>
                      </w:rPr>
                    </m:ctrlPr>
                  </m:num>
                  <m:den>
                    <m:r>
                      <m:rPr/>
                      <w:rPr>
                        <w:rFonts w:ascii="Cambria Math" w:hAnsi="Cambria Math" w:cs="Arial"/>
                        <w:sz w:val="18"/>
                      </w:rPr>
                      <m:t>150−100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jc w:val="center"/>
        </w:trPr>
        <w:tc>
          <w:tcPr>
            <w:tcW w:w="3063" w:type="dxa"/>
          </w:tcPr>
          <w:p>
            <w:pPr>
              <w:keepNext/>
              <w:keepLines/>
              <w:spacing w:after="0"/>
              <w:jc w:val="center"/>
              <w:rPr>
                <w:rFonts w:ascii="Arial" w:hAnsi="Arial"/>
                <w:sz w:val="18"/>
                <w:lang w:eastAsia="en-GB"/>
              </w:rPr>
            </w:pPr>
            <w:r>
              <w:rPr>
                <w:rFonts w:ascii="Arial" w:hAnsi="Arial"/>
                <w:sz w:val="18"/>
              </w:rPr>
              <w:t>1</w:t>
            </w:r>
            <w:r>
              <w:rPr>
                <w:rFonts w:ascii="Arial" w:hAnsi="Arial"/>
                <w:sz w:val="18"/>
                <w:lang w:eastAsia="en-GB"/>
              </w:rPr>
              <w:t>50 - 300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(−6.5+(F−150)×</m:t>
                </m:r>
                <m:f>
                  <m:fPr>
                    <m:ctrlPr>
                      <w:rPr>
                        <w:rFonts w:ascii="Cambria Math" w:hAnsi="Cambria Math" w:cs="Arial"/>
                        <w:i/>
                        <w:sz w:val="18"/>
                      </w:rPr>
                    </m:ctrlPr>
                  </m:fPr>
                  <m:num>
                    <m:r>
                      <m:rPr/>
                      <w:rPr>
                        <w:rFonts w:ascii="Cambria Math" w:hAnsi="Cambria Math" w:cs="Arial"/>
                        <w:sz w:val="18"/>
                      </w:rPr>
                      <m:t>−27.5−(−6.5)</m:t>
                    </m:r>
                    <m:ctrlPr>
                      <w:rPr>
                        <w:rFonts w:ascii="Cambria Math" w:hAnsi="Cambria Math" w:cs="Arial"/>
                        <w:i/>
                        <w:sz w:val="18"/>
                      </w:rPr>
                    </m:ctrlPr>
                  </m:num>
                  <m:den>
                    <m:r>
                      <m:rPr/>
                      <w:rPr>
                        <w:rFonts w:ascii="Cambria Math" w:hAnsi="Cambria Math" w:cs="Arial"/>
                        <w:sz w:val="18"/>
                      </w:rPr>
                      <m:t>300−150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3063" w:type="dxa"/>
          </w:tcPr>
          <w:p>
            <w:pPr>
              <w:keepNext/>
              <w:keepLines/>
              <w:spacing w:after="0"/>
              <w:jc w:val="center"/>
              <w:rPr>
                <w:rFonts w:ascii="Arial" w:hAnsi="Arial"/>
                <w:sz w:val="18"/>
                <w:lang w:eastAsia="en-GB"/>
              </w:rPr>
            </w:pPr>
            <w:r>
              <w:rPr>
                <w:rFonts w:ascii="Arial" w:hAnsi="Arial"/>
                <w:sz w:val="18"/>
                <w:lang w:eastAsia="en-GB"/>
              </w:rPr>
              <w:t>300 - 500</w:t>
            </w:r>
          </w:p>
        </w:tc>
        <w:tc>
          <w:tcPr>
            <w:tcW w:w="3739" w:type="dxa"/>
          </w:tcPr>
          <w:p>
            <w:pPr>
              <w:keepNext/>
              <w:keepLines/>
              <w:spacing w:after="0"/>
              <w:jc w:val="center"/>
              <w:rPr>
                <w:rFonts w:ascii="Arial" w:hAnsi="Arial"/>
                <w:sz w:val="18"/>
                <w:lang w:eastAsia="en-GB"/>
              </w:rPr>
            </w:pPr>
            <m:oMathPara>
              <m:oMath>
                <m:r>
                  <m:rPr/>
                  <w:rPr>
                    <w:rFonts w:ascii="Cambria Math" w:hAnsi="Cambria Math" w:cs="Arial"/>
                    <w:sz w:val="18"/>
                  </w:rPr>
                  <m:t>(−27.5+(F−300)×</m:t>
                </m:r>
                <m:f>
                  <m:fPr>
                    <m:ctrlPr>
                      <w:rPr>
                        <w:rFonts w:ascii="Cambria Math" w:hAnsi="Cambria Math" w:cs="Arial"/>
                        <w:i/>
                        <w:sz w:val="18"/>
                      </w:rPr>
                    </m:ctrlPr>
                  </m:fPr>
                  <m:num>
                    <m:r>
                      <m:rPr/>
                      <w:rPr>
                        <w:rFonts w:ascii="Cambria Math" w:hAnsi="Cambria Math" w:cs="Arial"/>
                        <w:sz w:val="18"/>
                      </w:rPr>
                      <m:t>−33.5−(−27.5)</m:t>
                    </m:r>
                    <m:ctrlPr>
                      <w:rPr>
                        <w:rFonts w:ascii="Cambria Math" w:hAnsi="Cambria Math" w:cs="Arial"/>
                        <w:i/>
                        <w:sz w:val="18"/>
                      </w:rPr>
                    </m:ctrlPr>
                  </m:num>
                  <m:den>
                    <m:r>
                      <m:rPr/>
                      <w:rPr>
                        <w:rFonts w:ascii="Cambria Math" w:hAnsi="Cambria Math" w:cs="Arial"/>
                        <w:sz w:val="18"/>
                      </w:rPr>
                      <m:t>500−300</m:t>
                    </m:r>
                    <m:ctrlPr>
                      <w:rPr>
                        <w:rFonts w:ascii="Cambria Math" w:hAnsi="Cambria Math" w:cs="Arial"/>
                        <w:i/>
                        <w:sz w:val="18"/>
                      </w:rPr>
                    </m:ctrlPr>
                  </m:den>
                </m:f>
                <m:r>
                  <m:rPr/>
                  <w:rPr>
                    <w:rFonts w:ascii="Cambria Math" w:hAnsi="Cambria Math" w:cs="Arial"/>
                    <w:sz w:val="18"/>
                  </w:rPr>
                  <m:t>)</m:t>
                </m:r>
              </m:oMath>
            </m:oMathPara>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063" w:type="dxa"/>
          </w:tcPr>
          <w:p>
            <w:pPr>
              <w:keepNext/>
              <w:keepLines/>
              <w:spacing w:after="0"/>
              <w:jc w:val="center"/>
              <w:rPr>
                <w:rFonts w:ascii="Arial" w:hAnsi="Arial"/>
                <w:sz w:val="18"/>
                <w:lang w:eastAsia="en-GB"/>
              </w:rPr>
            </w:pPr>
            <w:r>
              <w:rPr>
                <w:rFonts w:ascii="Arial" w:hAnsi="Arial"/>
                <w:sz w:val="18"/>
                <w:lang w:eastAsia="en-GB"/>
              </w:rPr>
              <w:t>500 - 1700</w:t>
            </w:r>
          </w:p>
        </w:tc>
        <w:tc>
          <w:tcPr>
            <w:tcW w:w="3739" w:type="dxa"/>
          </w:tcPr>
          <w:p>
            <w:pPr>
              <w:keepNext/>
              <w:keepLines/>
              <w:spacing w:after="0"/>
              <w:jc w:val="center"/>
              <w:rPr>
                <w:rFonts w:ascii="Arial" w:hAnsi="Arial"/>
                <w:sz w:val="18"/>
                <w:lang w:eastAsia="en-GB"/>
              </w:rPr>
            </w:pPr>
            <w:r>
              <w:rPr>
                <w:rFonts w:ascii="Arial" w:hAnsi="Arial"/>
                <w:sz w:val="18"/>
                <w:lang w:eastAsia="en-GB"/>
              </w:rPr>
              <w:t>-33.5</w:t>
            </w:r>
          </w:p>
        </w:tc>
        <w:tc>
          <w:tcPr>
            <w:tcW w:w="1982" w:type="dxa"/>
          </w:tcPr>
          <w:p>
            <w:pPr>
              <w:keepNext/>
              <w:keepLines/>
              <w:spacing w:after="0"/>
              <w:jc w:val="center"/>
              <w:rPr>
                <w:rFonts w:ascii="Arial" w:hAnsi="Arial"/>
                <w:sz w:val="18"/>
              </w:rPr>
            </w:pPr>
            <w:r>
              <w:rPr>
                <w:rFonts w:ascii="Arial" w:hAnsi="Arial"/>
                <w:sz w:val="18"/>
              </w:rPr>
              <w:t>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84" w:type="dxa"/>
            <w:gridSpan w:val="3"/>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The limit shall be calculated for the measurement frequency F given in kHz, cantered in the measurement bandwidth.</w:t>
            </w:r>
          </w:p>
          <w:p>
            <w:pPr>
              <w:keepNext/>
              <w:keepLines/>
              <w:spacing w:after="0"/>
              <w:ind w:left="851" w:hanging="851"/>
              <w:rPr>
                <w:rFonts w:ascii="Arial" w:hAnsi="Arial"/>
                <w:sz w:val="18"/>
                <w:lang w:eastAsia="en-GB"/>
              </w:rPr>
            </w:pPr>
            <w:r>
              <w:rPr>
                <w:rFonts w:ascii="Arial" w:hAnsi="Arial"/>
                <w:sz w:val="18"/>
              </w:rPr>
              <w:t>Note 2:</w:t>
            </w:r>
            <w:r>
              <w:rPr>
                <w:rFonts w:ascii="Arial" w:hAnsi="Arial"/>
                <w:sz w:val="18"/>
              </w:rPr>
              <w:tab/>
            </w:r>
            <w:r>
              <w:rPr>
                <w:rFonts w:ascii="Arial" w:hAnsi="Arial"/>
                <w:sz w:val="18"/>
              </w:rPr>
              <w:t>At the boundary of spectrum emission limit, the first and last measurement position with a 30 kHz filter is the inside of +</w:t>
            </w:r>
            <w:r>
              <w:rPr>
                <w:rFonts w:ascii="Arial" w:hAnsi="Arial"/>
                <w:sz w:val="18"/>
                <w:lang w:eastAsia="en-GB"/>
              </w:rPr>
              <w:t>15 kHz</w:t>
            </w:r>
            <w:r>
              <w:rPr>
                <w:rFonts w:ascii="Arial" w:hAnsi="Arial"/>
                <w:sz w:val="18"/>
              </w:rPr>
              <w:t xml:space="preserve"> and -</w:t>
            </w:r>
            <w:r>
              <w:rPr>
                <w:rFonts w:ascii="Arial" w:hAnsi="Arial"/>
                <w:sz w:val="18"/>
                <w:lang w:eastAsia="en-GB"/>
              </w:rPr>
              <w:t>15 k</w:t>
            </w:r>
            <w:r>
              <w:rPr>
                <w:rFonts w:ascii="Arial" w:hAnsi="Arial"/>
                <w:sz w:val="18"/>
              </w:rPr>
              <w:t>Hz, respectively. The filter shall be stepped to cover the whole range.</w:t>
            </w:r>
          </w:p>
        </w:tc>
      </w:tr>
    </w:tbl>
    <w:p>
      <w:pPr>
        <w:rPr>
          <w:lang w:eastAsia="en-GB"/>
        </w:rPr>
      </w:pPr>
    </w:p>
    <w:p>
      <w:pPr>
        <w:keepLines/>
        <w:ind w:left="1135" w:hanging="851"/>
        <w:rPr>
          <w:lang w:eastAsia="en-GB"/>
        </w:rPr>
      </w:pPr>
      <w:r>
        <w:rPr>
          <w:lang w:eastAsia="en-GB"/>
        </w:rPr>
        <w:t>NOTE 1:</w:t>
      </w:r>
      <w:r>
        <w:rPr>
          <w:lang w:eastAsia="en-GB"/>
        </w:rPr>
        <w:tab/>
      </w:r>
      <w:r>
        <w:rPr>
          <w:lang w:eastAsia="en-GB"/>
        </w:rPr>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pPr>
        <w:keepLines/>
        <w:ind w:left="1135" w:hanging="851"/>
        <w:rPr>
          <w:lang w:eastAsia="en-GB"/>
        </w:rPr>
      </w:pPr>
      <w:r>
        <w:rPr>
          <w:lang w:eastAsia="en-GB"/>
        </w:rPr>
        <w:t>NOTE 2:</w:t>
      </w:r>
      <w:r>
        <w:rPr>
          <w:lang w:eastAsia="en-GB"/>
        </w:rPr>
        <w:tab/>
      </w:r>
      <w:r>
        <w:rPr>
          <w:lang w:eastAsia="en-GB"/>
        </w:rPr>
        <w:t>The minimum requirements in clause 6.5B.3.2.3 have been combined into table 6.5B.3.2.5-1 to reduce testing complexity and test time.</w:t>
      </w:r>
    </w:p>
    <w:p>
      <w:pPr>
        <w:pStyle w:val="6"/>
        <w:rPr>
          <w:snapToGrid w:val="0"/>
        </w:rPr>
      </w:pPr>
      <w:bookmarkStart w:id="596" w:name="_Toc120570075"/>
      <w:bookmarkStart w:id="597" w:name="_Toc18551"/>
      <w:bookmarkStart w:id="598" w:name="_Toc10519"/>
      <w:bookmarkStart w:id="599" w:name="_Toc1229"/>
      <w:bookmarkStart w:id="600" w:name="_Toc111062065"/>
      <w:bookmarkStart w:id="601" w:name="_Toc121162867"/>
      <w:r>
        <w:t>6.5B.3.3</w:t>
      </w:r>
      <w:r>
        <w:tab/>
      </w:r>
      <w:r>
        <w:rPr>
          <w:snapToGrid w:val="0"/>
        </w:rPr>
        <w:t>Additional Spectrum Emission Mask for category NB1 and NB2</w:t>
      </w:r>
      <w:bookmarkEnd w:id="596"/>
      <w:bookmarkEnd w:id="597"/>
      <w:bookmarkEnd w:id="598"/>
      <w:bookmarkEnd w:id="599"/>
      <w:bookmarkEnd w:id="600"/>
      <w:bookmarkEnd w:id="601"/>
    </w:p>
    <w:p>
      <w:r>
        <w:t>The additional spectrum emission mask for category NB1 and NB2 is not applicable.</w:t>
      </w:r>
    </w:p>
    <w:p>
      <w:pPr>
        <w:pStyle w:val="6"/>
      </w:pPr>
      <w:bookmarkStart w:id="602" w:name="_Toc120570076"/>
      <w:bookmarkStart w:id="603" w:name="_Toc30913"/>
      <w:bookmarkStart w:id="604" w:name="_Toc15743"/>
      <w:bookmarkStart w:id="605" w:name="_Toc25813"/>
      <w:bookmarkStart w:id="606" w:name="_Toc111062066"/>
      <w:bookmarkStart w:id="607" w:name="_Toc121162868"/>
      <w:r>
        <w:t>6.5B.3.4</w:t>
      </w:r>
      <w:r>
        <w:tab/>
      </w:r>
      <w:r>
        <w:rPr>
          <w:snapToGrid w:val="0"/>
        </w:rPr>
        <w:t>Adjacent Channel Leakage Ratio for category NB1 and NB2</w:t>
      </w:r>
      <w:bookmarkEnd w:id="602"/>
      <w:bookmarkEnd w:id="603"/>
      <w:bookmarkEnd w:id="604"/>
      <w:bookmarkEnd w:id="605"/>
      <w:bookmarkEnd w:id="606"/>
      <w:bookmarkEnd w:id="607"/>
    </w:p>
    <w:p>
      <w:pPr>
        <w:keepLines/>
        <w:ind w:left="1135" w:hanging="851"/>
        <w:rPr>
          <w:i/>
          <w:color w:val="FF0000"/>
        </w:rPr>
      </w:pPr>
      <w:r>
        <w:rPr>
          <w:i/>
          <w:color w:val="FF0000"/>
        </w:rPr>
        <w:t>Editor’s Note: This clause is incomplete. The following aspects are either missing or not yet determined:</w:t>
      </w:r>
    </w:p>
    <w:p>
      <w:pPr>
        <w:keepLines/>
        <w:ind w:left="1135" w:hanging="851"/>
        <w:rPr>
          <w:i/>
          <w:color w:val="FF0000"/>
        </w:rPr>
      </w:pPr>
      <w:r>
        <w:rPr>
          <w:i/>
          <w:color w:val="FF0000"/>
        </w:rPr>
        <w:t>- Addition to applicability spec is pending</w:t>
      </w:r>
    </w:p>
    <w:p>
      <w:pPr>
        <w:keepLines/>
        <w:ind w:left="1135" w:hanging="851"/>
        <w:rPr>
          <w:i/>
          <w:color w:val="FF0000"/>
        </w:rPr>
      </w:pPr>
      <w:r>
        <w:rPr>
          <w:i/>
          <w:color w:val="FF0000"/>
        </w:rPr>
        <w:t>- Initial condition and call setup procedure to support satellite access are TBD</w:t>
      </w:r>
    </w:p>
    <w:p>
      <w:pPr>
        <w:keepLines/>
        <w:ind w:left="1135" w:hanging="851"/>
        <w:rPr>
          <w:i/>
          <w:color w:val="FF0000"/>
        </w:rPr>
      </w:pPr>
      <w:r>
        <w:rPr>
          <w:i/>
          <w:color w:val="FF0000"/>
        </w:rPr>
        <w:t>- Message exceptions specific to satellite access is TBD</w:t>
      </w:r>
    </w:p>
    <w:p>
      <w:pPr>
        <w:keepLines/>
        <w:ind w:left="1135" w:hanging="851"/>
        <w:rPr>
          <w:i/>
          <w:color w:val="FF0000"/>
        </w:rPr>
      </w:pPr>
      <w:r>
        <w:rPr>
          <w:i/>
          <w:color w:val="FF0000"/>
        </w:rPr>
        <w:t>- Test Points analysis is TBD</w:t>
      </w:r>
    </w:p>
    <w:p>
      <w:pPr>
        <w:keepLines/>
        <w:ind w:left="1135" w:hanging="851"/>
        <w:rPr>
          <w:i/>
          <w:color w:val="FF0000"/>
        </w:rPr>
      </w:pPr>
      <w:r>
        <w:rPr>
          <w:i/>
          <w:color w:val="FF0000"/>
        </w:rPr>
        <w:t>- Test configuration is TBD</w:t>
      </w:r>
    </w:p>
    <w:p>
      <w:pPr>
        <w:keepLines/>
        <w:ind w:left="1135" w:hanging="851"/>
        <w:rPr>
          <w:rFonts w:eastAsia="PMingLiU"/>
          <w:i/>
          <w:color w:val="FF0000"/>
          <w:lang w:eastAsia="zh-TW"/>
        </w:rPr>
      </w:pPr>
      <w:r>
        <w:rPr>
          <w:i/>
          <w:color w:val="FF0000"/>
        </w:rPr>
        <w:t>- Annex F MU/TT is TBD</w:t>
      </w:r>
    </w:p>
    <w:p>
      <w:pPr>
        <w:keepNext/>
        <w:keepLines/>
        <w:spacing w:before="120"/>
        <w:ind w:left="1985" w:hanging="1985"/>
        <w:rPr>
          <w:rFonts w:ascii="Arial" w:hAnsi="Arial"/>
          <w:lang w:eastAsia="en-GB"/>
        </w:rPr>
      </w:pPr>
      <w:r>
        <w:rPr>
          <w:rFonts w:ascii="Arial" w:hAnsi="Arial"/>
          <w:lang w:eastAsia="en-GB"/>
        </w:rPr>
        <w:t>6.</w:t>
      </w:r>
      <w:bookmarkStart w:id="608" w:name="_Hlk140828933"/>
      <w:r>
        <w:rPr>
          <w:rFonts w:ascii="Arial" w:hAnsi="Arial"/>
          <w:lang w:eastAsia="en-GB"/>
        </w:rPr>
        <w:t>5B.3.4</w:t>
      </w:r>
      <w:bookmarkEnd w:id="608"/>
      <w:r>
        <w:rPr>
          <w:rFonts w:ascii="Arial" w:hAnsi="Arial"/>
          <w:lang w:eastAsia="en-GB"/>
        </w:rPr>
        <w:t>.1</w:t>
      </w:r>
      <w:r>
        <w:rPr>
          <w:rFonts w:ascii="Arial" w:hAnsi="Arial"/>
          <w:lang w:eastAsia="en-GB"/>
        </w:rPr>
        <w:tab/>
      </w:r>
      <w:r>
        <w:rPr>
          <w:rFonts w:ascii="Arial" w:hAnsi="Arial"/>
          <w:lang w:eastAsia="en-GB"/>
        </w:rPr>
        <w:t>Test purpose</w:t>
      </w:r>
    </w:p>
    <w:p>
      <w:pPr>
        <w:rPr>
          <w:lang w:eastAsia="en-GB"/>
        </w:rPr>
      </w:pPr>
      <w:r>
        <w:rPr>
          <w:lang w:eastAsia="en-GB"/>
        </w:rPr>
        <w:t>To verify that UE transmitter does not cause unacceptable interference to adjacent channels in terms of Adjacent Channel Leakage power Ratio (ACLR).</w:t>
      </w:r>
    </w:p>
    <w:p>
      <w:pPr>
        <w:keepNext/>
        <w:keepLines/>
        <w:spacing w:before="120"/>
        <w:ind w:left="1985" w:hanging="1985"/>
        <w:rPr>
          <w:rFonts w:ascii="Arial" w:hAnsi="Arial"/>
          <w:lang w:eastAsia="en-GB"/>
        </w:rPr>
      </w:pPr>
      <w:r>
        <w:rPr>
          <w:rFonts w:ascii="Arial" w:hAnsi="Arial"/>
          <w:lang w:eastAsia="en-GB"/>
        </w:rPr>
        <w:t>6.5B.3.4.2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6.5B.3.4.3</w:t>
      </w:r>
      <w:r>
        <w:rPr>
          <w:rFonts w:ascii="Arial" w:hAnsi="Arial"/>
          <w:lang w:eastAsia="en-GB"/>
        </w:rPr>
        <w:tab/>
      </w:r>
      <w:r>
        <w:rPr>
          <w:rFonts w:ascii="Arial" w:hAnsi="Arial"/>
          <w:lang w:eastAsia="en-GB"/>
        </w:rPr>
        <w:t>Minimum conformance requirements</w:t>
      </w:r>
    </w:p>
    <w:p>
      <w:pPr>
        <w:rPr>
          <w:rFonts w:cs="v5.0.0"/>
          <w:lang w:eastAsia="en-GB"/>
        </w:rPr>
      </w:pPr>
      <w:r>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Pr>
          <w:rFonts w:cs="v5.0.0"/>
          <w:lang w:eastAsia="en-GB"/>
        </w:rPr>
        <w:t xml:space="preserve">Table 6.5B.3.4-1. If the measured adjacent channel power is greater than –50dBm then the category NB1 or NB2 UE </w:t>
      </w:r>
      <w:r>
        <w:rPr>
          <w:lang w:eastAsia="en-GB"/>
        </w:rPr>
        <w:t xml:space="preserve">ACLR </w:t>
      </w:r>
      <w:r>
        <w:rPr>
          <w:rFonts w:cs="v5.0.0"/>
          <w:lang w:eastAsia="en-GB"/>
        </w:rPr>
        <w:t>shall be higher than the value specified in Table 6.5B.3.4-1.</w:t>
      </w:r>
      <w:r>
        <w:rPr>
          <w:lang w:eastAsia="en-GB"/>
        </w:rPr>
        <w:t xml:space="preserve"> GSM</w:t>
      </w:r>
      <w:r>
        <w:rPr>
          <w:vertAlign w:val="subscript"/>
          <w:lang w:eastAsia="en-GB"/>
        </w:rPr>
        <w:t xml:space="preserve">ACLR </w:t>
      </w:r>
      <w:r>
        <w:rPr>
          <w:lang w:eastAsia="en-GB"/>
        </w:rPr>
        <w:t>requirement is intended for protection of GSM system. UTRA</w:t>
      </w:r>
      <w:r>
        <w:rPr>
          <w:vertAlign w:val="subscript"/>
          <w:lang w:eastAsia="en-GB"/>
        </w:rPr>
        <w:t xml:space="preserve">ACLR </w:t>
      </w:r>
      <w:r>
        <w:rPr>
          <w:lang w:eastAsia="en-GB"/>
        </w:rPr>
        <w:t>requirement is intended for protection of UTRA and E-UTRA systems.</w:t>
      </w:r>
    </w:p>
    <w:p>
      <w:pPr>
        <w:keepNext/>
        <w:keepLines/>
        <w:spacing w:before="60"/>
        <w:jc w:val="center"/>
        <w:rPr>
          <w:rFonts w:ascii="Arial" w:hAnsi="Arial"/>
          <w:b/>
          <w:lang w:eastAsia="en-GB"/>
        </w:rPr>
      </w:pPr>
      <w:r>
        <w:rPr>
          <w:rFonts w:ascii="Arial" w:hAnsi="Arial"/>
          <w:b/>
          <w:lang w:eastAsia="en-GB"/>
        </w:rPr>
        <w:t>Table 6.5B.3.4-1: category NB1 and NB2 UE ACLR requirements</w:t>
      </w:r>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GSM</w:t>
            </w:r>
            <w:r>
              <w:rPr>
                <w:rFonts w:ascii="Arial" w:hAnsi="Arial"/>
                <w:b/>
                <w:sz w:val="18"/>
                <w:vertAlign w:val="subscript"/>
              </w:rPr>
              <w:t>ACLR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UTRA</w:t>
            </w:r>
            <w:r>
              <w:rPr>
                <w:rFonts w:ascii="Arial" w:hAnsi="Arial"/>
                <w:b/>
                <w:sz w:val="18"/>
                <w:vertAlign w:val="subscript"/>
              </w:rPr>
              <w:t>ACLR</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ACLR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 dB</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37 dB</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centre frequency offset</w:t>
            </w:r>
            <w:r>
              <w:rPr>
                <w:rFonts w:ascii="Arial" w:hAnsi="Arial"/>
                <w:b/>
                <w:sz w:val="18"/>
              </w:rPr>
              <w:br w:type="textWrapping"/>
            </w:r>
            <w:r>
              <w:rPr>
                <w:rFonts w:ascii="Arial" w:hAnsi="Arial"/>
                <w:b/>
                <w:sz w:val="18"/>
              </w:rPr>
              <w:t>from category NB1 or NB2 Channel edge</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±2.5 MHz</w:t>
            </w:r>
          </w:p>
        </w:tc>
      </w:tr>
      <w:tr>
        <w:tblPrEx>
          <w:tblCellMar>
            <w:top w:w="0" w:type="dxa"/>
            <w:left w:w="108" w:type="dxa"/>
            <w:bottom w:w="0" w:type="dxa"/>
            <w:right w:w="108" w:type="dxa"/>
          </w:tblCellMar>
        </w:tblPrEx>
        <w:trPr>
          <w:trHeight w:val="5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measurement bandwidth</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3.84 MHz</w:t>
            </w:r>
          </w:p>
        </w:tc>
      </w:tr>
      <w:tr>
        <w:tblPrEx>
          <w:tblCellMar>
            <w:top w:w="0" w:type="dxa"/>
            <w:left w:w="108" w:type="dxa"/>
            <w:bottom w:w="0" w:type="dxa"/>
            <w:right w:w="108" w:type="dxa"/>
          </w:tblCellMar>
        </w:tblPrEx>
        <w:trPr>
          <w:trHeight w:val="8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Measurement filter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RRC-filter α=0.22</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bandwidth</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filter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r>
    </w:tbl>
    <w:p>
      <w:pPr>
        <w:rPr>
          <w:lang w:eastAsia="en-GB"/>
        </w:rPr>
      </w:pPr>
    </w:p>
    <w:p>
      <w:pPr>
        <w:rPr>
          <w:lang w:eastAsia="en-GB"/>
        </w:rPr>
      </w:pPr>
      <w:r>
        <w:rPr>
          <w:lang w:eastAsia="en-GB"/>
        </w:rPr>
        <w:t>The normative reference for this requirement is TS 36.102[11] subclause 6.5B.3.4.</w:t>
      </w:r>
    </w:p>
    <w:p>
      <w:pPr>
        <w:pStyle w:val="9"/>
        <w:rPr>
          <w:lang w:eastAsia="en-GB"/>
        </w:rPr>
      </w:pPr>
      <w:r>
        <w:rPr>
          <w:lang w:eastAsia="en-GB"/>
        </w:rPr>
        <w:t>6.5B.3.4.4</w:t>
      </w:r>
      <w:r>
        <w:rPr>
          <w:lang w:eastAsia="en-GB"/>
        </w:rPr>
        <w:tab/>
      </w:r>
      <w:r>
        <w:rPr>
          <w:lang w:eastAsia="en-GB"/>
        </w:rPr>
        <w:t>Test description</w:t>
      </w:r>
    </w:p>
    <w:p>
      <w:pPr>
        <w:keepNext/>
        <w:keepLines/>
        <w:spacing w:before="120"/>
        <w:ind w:left="1985" w:hanging="1985"/>
        <w:rPr>
          <w:rFonts w:ascii="Arial" w:hAnsi="Arial"/>
          <w:snapToGrid w:val="0"/>
          <w:lang w:eastAsia="en-GB"/>
        </w:rPr>
      </w:pPr>
      <w:r>
        <w:rPr>
          <w:rFonts w:ascii="Arial" w:hAnsi="Arial"/>
          <w:lang w:eastAsia="en-GB"/>
        </w:rPr>
        <w:t>6.5B.3.4.4.1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 xml:space="preserve">The initial test configurations consist of environmental conditions, test frequencies, and channel bandwidths based on NB-IOT NTN operating bands specified in sub-clause 5.2B.  All of these configurations shall be tested with applicable test parameters shown in table 6.5B.3.4.4.1-1. The details of the uplink reference measurement channels (RMCs) are specified in Annex A.2.4.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6.5B.3.4.4.1-1: Test Configuration Table</w:t>
      </w:r>
      <w:r>
        <w:rPr>
          <w:rFonts w:ascii="Arial" w:hAnsi="Arial"/>
          <w:b/>
        </w:rPr>
        <w:t xml:space="preserve"> for FDD </w:t>
      </w:r>
    </w:p>
    <w:tbl>
      <w:tblPr>
        <w:tblStyle w:val="89"/>
        <w:tblW w:w="9340" w:type="dxa"/>
        <w:jc w:val="center"/>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highlight w:val="green"/>
              </w:rPr>
            </w:pPr>
            <w:r>
              <w:rPr>
                <w:rFonts w:ascii="Arial" w:hAnsi="Arial"/>
                <w:b/>
                <w:sz w:val="18"/>
              </w:rPr>
              <w:t>Initial Conditions</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sz w:val="18"/>
              </w:rPr>
              <w:t>Test Environment as specified in</w:t>
            </w:r>
          </w:p>
          <w:p>
            <w:pPr>
              <w:keepNext/>
              <w:keepLines/>
              <w:spacing w:after="0"/>
              <w:jc w:val="center"/>
              <w:rPr>
                <w:rFonts w:ascii="Arial" w:hAnsi="Arial"/>
                <w:sz w:val="18"/>
              </w:rPr>
            </w:pPr>
            <w:r>
              <w:rPr>
                <w:rFonts w:ascii="Arial" w:hAnsi="Arial"/>
                <w:sz w:val="18"/>
              </w:rPr>
              <w:t>TS 36.508[12] subclause 8.1.1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bCs/>
                <w:sz w:val="18"/>
              </w:rPr>
              <w:t xml:space="preserve">NC, </w:t>
            </w:r>
            <w:r>
              <w:rPr>
                <w:rFonts w:ascii="Arial" w:hAnsi="Arial"/>
                <w:sz w:val="18"/>
              </w:rPr>
              <w:t>TL/VL, TL/VH, TH/VL, TH/VH</w:t>
            </w:r>
          </w:p>
        </w:tc>
      </w:tr>
      <w:tr>
        <w:tblPrEx>
          <w:shd w:val="clear" w:color="auto" w:fill="FFFFFF"/>
          <w:tblCellMar>
            <w:top w:w="0" w:type="dxa"/>
            <w:left w:w="0" w:type="dxa"/>
            <w:bottom w:w="0" w:type="dxa"/>
            <w:right w:w="0" w:type="dxa"/>
          </w:tblCellMar>
        </w:tblPrEx>
        <w:trPr>
          <w:cantSplit/>
          <w:jc w:val="center"/>
        </w:trPr>
        <w:tc>
          <w:tcPr>
            <w:tcW w:w="4138" w:type="dxa"/>
            <w:gridSpan w:val="2"/>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sz w:val="18"/>
              </w:rPr>
              <w:t>Test Frequencies as specified in</w:t>
            </w:r>
          </w:p>
          <w:p>
            <w:pPr>
              <w:keepNext/>
              <w:keepLines/>
              <w:spacing w:after="0"/>
              <w:jc w:val="center"/>
              <w:rPr>
                <w:rFonts w:ascii="Arial" w:hAnsi="Arial"/>
                <w:sz w:val="18"/>
              </w:rPr>
            </w:pPr>
            <w:r>
              <w:rPr>
                <w:rFonts w:ascii="Arial" w:hAnsi="Arial"/>
                <w:sz w:val="18"/>
              </w:rPr>
              <w:t>TS 36.508[12] subclause 8.1.3.1</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eastAsia="微软雅黑" w:cs="Arial"/>
                <w:sz w:val="18"/>
                <w:lang w:eastAsia="en-GB"/>
              </w:rPr>
              <w:t>Frequency ranges defined in Annex K.1.2</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rPr>
            </w:pPr>
            <w:r>
              <w:rPr>
                <w:rFonts w:ascii="Arial" w:hAnsi="Arial"/>
                <w:b/>
                <w:sz w:val="18"/>
              </w:rPr>
              <w:t>Test Parameters</w:t>
            </w:r>
          </w:p>
        </w:tc>
      </w:tr>
      <w:tr>
        <w:tblPrEx>
          <w:shd w:val="clear" w:color="auto" w:fill="FFFFFF"/>
          <w:tblCellMar>
            <w:top w:w="0" w:type="dxa"/>
            <w:left w:w="0" w:type="dxa"/>
            <w:bottom w:w="0" w:type="dxa"/>
            <w:right w:w="0" w:type="dxa"/>
          </w:tblCellMar>
        </w:tblPrEx>
        <w:trPr>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b/>
                <w:sz w:val="18"/>
              </w:rPr>
            </w:pPr>
            <w:r>
              <w:rPr>
                <w:rFonts w:ascii="Arial" w:hAnsi="Arial"/>
                <w:b/>
                <w:sz w:val="18"/>
              </w:rPr>
              <w:t>Configuration ID</w:t>
            </w:r>
          </w:p>
        </w:tc>
        <w:tc>
          <w:tcPr>
            <w:tcW w:w="2616"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Downlink Configuration</w:t>
            </w:r>
          </w:p>
        </w:tc>
        <w:tc>
          <w:tcPr>
            <w:tcW w:w="5202" w:type="dxa"/>
            <w:gridSpan w:val="3"/>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b/>
                <w:sz w:val="18"/>
              </w:rPr>
            </w:pPr>
            <w:r>
              <w:rPr>
                <w:rFonts w:ascii="Arial" w:hAnsi="Arial"/>
                <w:b/>
                <w:sz w:val="18"/>
              </w:rPr>
              <w:t>Uplink Configuration</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p>
        </w:tc>
        <w:tc>
          <w:tcPr>
            <w:tcW w:w="2616" w:type="dxa"/>
            <w:vMerge w:val="restart"/>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vAlign w:val="center"/>
          </w:tcPr>
          <w:p>
            <w:pPr>
              <w:keepNext/>
              <w:keepLines/>
              <w:spacing w:after="0"/>
              <w:jc w:val="center"/>
              <w:rPr>
                <w:rFonts w:ascii="Arial" w:hAnsi="Arial"/>
                <w:sz w:val="18"/>
              </w:rPr>
            </w:pPr>
            <w:r>
              <w:rPr>
                <w:rFonts w:ascii="Arial" w:hAnsi="Arial"/>
                <w:sz w:val="18"/>
              </w:rPr>
              <w:t>N/A</w:t>
            </w: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Modulation</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Sub-carrier spacing (kHz)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cs="Arial"/>
                <w:sz w:val="18"/>
                <w:lang w:eastAsia="en-GB"/>
              </w:rPr>
              <w:t>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sz w:val="18"/>
              </w:rPr>
            </w:pPr>
            <w:r>
              <w:rPr>
                <w:rFonts w:ascii="Arial" w:hAnsi="Arial" w:cs="Arial"/>
                <w:sz w:val="18"/>
                <w:lang w:eastAsia="en-GB"/>
              </w:rPr>
              <w:t>2</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w:t>
            </w:r>
            <w:r>
              <w:rPr>
                <w:rFonts w:ascii="Arial" w:hAnsi="Arial"/>
                <w:sz w:val="18"/>
                <w:lang w:eastAsia="en-GB"/>
              </w:rPr>
              <w:t>47</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3.75kHz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3</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4</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w:t>
            </w:r>
            <w:r>
              <w:rPr>
                <w:rFonts w:ascii="Arial" w:hAnsi="Arial"/>
                <w:sz w:val="18"/>
                <w:lang w:eastAsia="en-GB"/>
              </w:rPr>
              <w:t>11</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5</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6</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3@3</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7</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3@9</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8</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9</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6@6</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tblCellMar>
            <w:top w:w="0" w:type="dxa"/>
            <w:left w:w="0" w:type="dxa"/>
            <w:bottom w:w="0" w:type="dxa"/>
            <w:right w:w="0" w:type="dxa"/>
          </w:tblCellMar>
        </w:tblPrEx>
        <w:trPr>
          <w:cantSplit/>
          <w:jc w:val="center"/>
        </w:trPr>
        <w:tc>
          <w:tcPr>
            <w:tcW w:w="1522" w:type="dxa"/>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jc w:val="center"/>
              <w:rPr>
                <w:rFonts w:ascii="Arial" w:hAnsi="Arial" w:cs="Arial"/>
                <w:sz w:val="18"/>
                <w:lang w:eastAsia="en-GB"/>
              </w:rPr>
            </w:pPr>
            <w:r>
              <w:rPr>
                <w:rFonts w:ascii="Arial" w:hAnsi="Arial" w:cs="Arial"/>
                <w:sz w:val="18"/>
                <w:lang w:eastAsia="en-GB"/>
              </w:rPr>
              <w:t>10</w:t>
            </w:r>
            <w:r>
              <w:rPr>
                <w:rFonts w:ascii="Arial" w:hAnsi="Arial"/>
                <w:sz w:val="18"/>
                <w:lang w:eastAsia="en-GB"/>
              </w:rPr>
              <w:t xml:space="preserve"> (Note 1)</w:t>
            </w:r>
          </w:p>
        </w:tc>
        <w:tc>
          <w:tcPr>
            <w:tcW w:w="0" w:type="auto"/>
            <w:vMerge w:val="continue"/>
            <w:tcBorders>
              <w:top w:val="single" w:color="auto" w:sz="4" w:space="0"/>
              <w:left w:val="single" w:color="auto" w:sz="4" w:space="0"/>
              <w:bottom w:val="single" w:color="auto" w:sz="4" w:space="0"/>
              <w:right w:val="single" w:color="auto" w:sz="4" w:space="0"/>
            </w:tcBorders>
            <w:shd w:val="clear" w:color="auto" w:fill="FFFFFF"/>
            <w:vAlign w:val="center"/>
          </w:tcPr>
          <w:p>
            <w:pPr>
              <w:rPr>
                <w:rFonts w:ascii="Arial" w:hAnsi="Arial" w:cs="Arial"/>
                <w:lang w:eastAsia="en-GB"/>
              </w:rPr>
            </w:pPr>
          </w:p>
        </w:tc>
        <w:tc>
          <w:tcPr>
            <w:tcW w:w="179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QPSK</w:t>
            </w:r>
          </w:p>
        </w:tc>
        <w:tc>
          <w:tcPr>
            <w:tcW w:w="2058"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12@0</w:t>
            </w:r>
          </w:p>
        </w:tc>
        <w:tc>
          <w:tcPr>
            <w:tcW w:w="1352" w:type="dxa"/>
            <w:tcBorders>
              <w:top w:val="single" w:color="auto" w:sz="4" w:space="0"/>
              <w:left w:val="single" w:color="auto" w:sz="4" w:space="0"/>
              <w:bottom w:val="single" w:color="auto" w:sz="4" w:space="0"/>
              <w:right w:val="single" w:color="auto" w:sz="4" w:space="0"/>
            </w:tcBorders>
            <w:shd w:val="clear" w:color="auto" w:fill="FFFFFF"/>
            <w:tcMar>
              <w:top w:w="0" w:type="dxa"/>
              <w:left w:w="108" w:type="dxa"/>
              <w:bottom w:w="0" w:type="dxa"/>
              <w:right w:w="108" w:type="dxa"/>
            </w:tcMar>
          </w:tcPr>
          <w:p>
            <w:pPr>
              <w:keepNext/>
              <w:keepLines/>
              <w:spacing w:after="0"/>
              <w:jc w:val="center"/>
              <w:rPr>
                <w:rFonts w:ascii="Arial" w:hAnsi="Arial"/>
                <w:sz w:val="18"/>
              </w:rPr>
            </w:pPr>
            <w:r>
              <w:rPr>
                <w:rFonts w:ascii="Arial" w:hAnsi="Arial"/>
                <w:sz w:val="18"/>
              </w:rPr>
              <w:t>15kHz</w:t>
            </w:r>
          </w:p>
        </w:tc>
      </w:tr>
      <w:tr>
        <w:tblPrEx>
          <w:shd w:val="clear" w:color="auto" w:fill="FFFFFF"/>
          <w:tblCellMar>
            <w:top w:w="0" w:type="dxa"/>
            <w:left w:w="0" w:type="dxa"/>
            <w:bottom w:w="0" w:type="dxa"/>
            <w:right w:w="0" w:type="dxa"/>
          </w:tblCellMar>
        </w:tblPrEx>
        <w:trPr>
          <w:cantSplit/>
          <w:jc w:val="center"/>
        </w:trPr>
        <w:tc>
          <w:tcPr>
            <w:tcW w:w="9340" w:type="dxa"/>
            <w:gridSpan w:val="5"/>
            <w:tcBorders>
              <w:top w:val="single" w:color="auto" w:sz="4" w:space="0"/>
              <w:left w:val="single" w:color="auto" w:sz="4" w:space="0"/>
              <w:bottom w:val="single" w:color="auto" w:sz="4" w:space="0"/>
              <w:right w:val="single" w:color="auto" w:sz="4" w:space="0"/>
            </w:tcBorders>
            <w:shd w:val="clear" w:color="auto" w:fill="FFFFFF"/>
          </w:tcPr>
          <w:p>
            <w:pPr>
              <w:keepNext/>
              <w:keepLines/>
              <w:spacing w:after="0"/>
              <w:ind w:left="851" w:hanging="851"/>
              <w:rPr>
                <w:rFonts w:ascii="Arial" w:hAnsi="Arial"/>
                <w:sz w:val="18"/>
                <w:highlight w:val="green"/>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ind w:left="568" w:hanging="284"/>
        <w:rPr>
          <w:lang w:eastAsia="en-GB"/>
        </w:rPr>
      </w:pPr>
      <w:r>
        <w:rPr>
          <w:lang w:eastAsia="en-GB"/>
        </w:rPr>
        <w:t>1.</w:t>
      </w:r>
      <w:r>
        <w:rPr>
          <w:lang w:eastAsia="en-GB"/>
        </w:rPr>
        <w:tab/>
      </w:r>
      <w:r>
        <w:rPr>
          <w:lang w:eastAsia="en-GB"/>
        </w:rPr>
        <w:t>Connect the SS to the UE antenna connectors as shown in Figure TS 36.508 [12] Annex A, Figure A.3 using only main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8.1.4.3.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H.1.1 and H.4.0.</w:t>
      </w:r>
    </w:p>
    <w:p>
      <w:pPr>
        <w:ind w:left="568" w:hanging="284"/>
        <w:rPr>
          <w:lang w:eastAsia="en-GB"/>
        </w:rPr>
      </w:pPr>
      <w:r>
        <w:rPr>
          <w:lang w:eastAsia="en-GB"/>
        </w:rPr>
        <w:t>4.</w:t>
      </w:r>
      <w:r>
        <w:rPr>
          <w:lang w:eastAsia="en-GB"/>
        </w:rPr>
        <w:tab/>
      </w:r>
      <w:r>
        <w:rPr>
          <w:lang w:eastAsia="en-GB"/>
        </w:rPr>
        <w:t>The UL Reference Measurement channels are set according to Table 6.5B.3.4.4.1-1.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lang w:eastAsia="en-GB"/>
        </w:rPr>
        <w:t>Ensure the UE is in State 2A-NB with CP CIoT Optimisation according to TS 36.508 [12] clause 8.1.5. Message contents are defined in clause 6.5B.3.4.4.3.</w:t>
      </w:r>
    </w:p>
    <w:p>
      <w:pPr>
        <w:keepNext/>
        <w:keepLines/>
        <w:spacing w:before="120"/>
        <w:ind w:left="1985" w:hanging="1985"/>
        <w:rPr>
          <w:rFonts w:ascii="Arial" w:hAnsi="Arial"/>
          <w:snapToGrid w:val="0"/>
          <w:lang w:eastAsia="en-GB"/>
        </w:rPr>
      </w:pPr>
      <w:r>
        <w:rPr>
          <w:rFonts w:ascii="Arial" w:hAnsi="Arial"/>
          <w:snapToGrid w:val="0"/>
          <w:lang w:eastAsia="en-GB"/>
        </w:rPr>
        <w:t>6.5B.3.4.4.2</w:t>
      </w:r>
      <w:r>
        <w:rPr>
          <w:rFonts w:ascii="Arial" w:hAnsi="Arial"/>
          <w:snapToGrid w:val="0"/>
          <w:lang w:eastAsia="en-GB"/>
        </w:rPr>
        <w:tab/>
      </w:r>
      <w:r>
        <w:rPr>
          <w:rFonts w:ascii="Arial" w:hAnsi="Arial"/>
          <w:snapToGrid w:val="0"/>
          <w:lang w:eastAsia="en-GB"/>
        </w:rPr>
        <w:t>Test procedure</w:t>
      </w:r>
    </w:p>
    <w:p>
      <w:pPr>
        <w:ind w:left="568" w:hanging="284"/>
        <w:rPr>
          <w:lang w:eastAsia="en-GB"/>
        </w:rPr>
      </w:pPr>
      <w:r>
        <w:rPr>
          <w:lang w:eastAsia="en-GB"/>
        </w:rPr>
        <w:t>1.</w:t>
      </w:r>
      <w:r>
        <w:rPr>
          <w:lang w:eastAsia="en-GB"/>
        </w:rPr>
        <w:tab/>
      </w:r>
      <w:r>
        <w:rPr>
          <w:lang w:eastAsia="en-GB"/>
        </w:rPr>
        <w:t>SS sends uplink scheduling information for the UL HARQ process via NPDCCH DCI format N0 for C_RNTI to schedule the UL RMC according to Table 6.5B.3.4.4.1-1. Since the UE has no payload data</w:t>
      </w:r>
      <w:r>
        <w:rPr>
          <w:color w:val="FFFF00"/>
          <w:lang w:eastAsia="en-GB"/>
        </w:rPr>
        <w:t xml:space="preserve"> </w:t>
      </w:r>
      <w:r>
        <w:rPr>
          <w:lang w:eastAsia="en-GB"/>
        </w:rPr>
        <w:t>to send, the UE transmits uplink MAC padding bits on the UL RMC. (UE should be already transmitting P</w:t>
      </w:r>
      <w:r>
        <w:rPr>
          <w:vertAlign w:val="subscript"/>
          <w:lang w:eastAsia="en-GB"/>
        </w:rPr>
        <w:t>UMAX</w:t>
      </w:r>
      <w:r>
        <w:rPr>
          <w:lang w:eastAsia="en-GB"/>
        </w:rPr>
        <w:t xml:space="preserve"> after Initial Conditions setting).</w:t>
      </w:r>
    </w:p>
    <w:p>
      <w:pPr>
        <w:ind w:left="568" w:hanging="284"/>
        <w:rPr>
          <w:lang w:eastAsia="en-GB"/>
        </w:rPr>
      </w:pPr>
      <w:r>
        <w:rPr>
          <w:lang w:eastAsia="en-GB"/>
        </w:rPr>
        <w:t>2.</w:t>
      </w:r>
      <w:r>
        <w:rPr>
          <w:lang w:eastAsia="en-GB"/>
        </w:rPr>
        <w:tab/>
      </w:r>
      <w:r>
        <w:rPr>
          <w:lang w:eastAsia="en-GB"/>
        </w:rPr>
        <w:t>Measure the mean power of the UE in the channel bandwidth of the radio access mode according to the test configuration, which shall meet the requirements described in Table 6.2B.2.4-1. The measurement period is at least</w:t>
      </w:r>
      <w:r>
        <w:rPr>
          <w:b/>
          <w:lang w:eastAsia="en-GB"/>
        </w:rPr>
        <w:t xml:space="preserve"> </w:t>
      </w:r>
      <w:r>
        <w:rPr>
          <w:lang w:eastAsia="en-GB"/>
        </w:rPr>
        <w:t>one sub-frame</w:t>
      </w:r>
      <w:r>
        <w:rPr>
          <w:b/>
          <w:lang w:eastAsia="en-GB"/>
        </w:rPr>
        <w:t xml:space="preserve"> (</w:t>
      </w:r>
      <w:r>
        <w:rPr>
          <w:lang w:eastAsia="en-GB"/>
        </w:rPr>
        <w:t xml:space="preserve">1ms) for 15 KHz channel spacing, and at least a 2ms slot (excluding the 2304Ts gap when UE is not transmitting) respectively for the 3.75 KHz channel spacing. </w:t>
      </w:r>
    </w:p>
    <w:p>
      <w:pPr>
        <w:ind w:left="568" w:hanging="284"/>
        <w:rPr>
          <w:lang w:eastAsia="en-GB"/>
        </w:rPr>
      </w:pPr>
      <w:r>
        <w:rPr>
          <w:lang w:eastAsia="en-GB"/>
        </w:rPr>
        <w:t>3.</w:t>
      </w:r>
      <w:r>
        <w:rPr>
          <w:lang w:eastAsia="en-GB"/>
        </w:rPr>
        <w:tab/>
      </w:r>
      <w:r>
        <w:rPr>
          <w:lang w:eastAsia="en-GB"/>
        </w:rPr>
        <w:t>Measure the rectangular filtered mean power for category NB1 or NB2 UE channel.</w:t>
      </w:r>
    </w:p>
    <w:p>
      <w:pPr>
        <w:ind w:left="568" w:hanging="284"/>
        <w:rPr>
          <w:lang w:eastAsia="en-GB"/>
        </w:rPr>
      </w:pPr>
      <w:r>
        <w:rPr>
          <w:lang w:eastAsia="en-GB"/>
        </w:rPr>
        <w:t>4.</w:t>
      </w:r>
      <w:r>
        <w:rPr>
          <w:lang w:eastAsia="en-GB"/>
        </w:rPr>
        <w:tab/>
      </w:r>
      <w:r>
        <w:rPr>
          <w:lang w:eastAsia="en-GB"/>
        </w:rPr>
        <w:t>Measure the rectangular filtered mean power of the GSM adjacent channel on both lower and upper side of the category NB1 or NB2 UE channel, respectively.</w:t>
      </w:r>
    </w:p>
    <w:p>
      <w:pPr>
        <w:ind w:left="568" w:hanging="284"/>
        <w:rPr>
          <w:lang w:eastAsia="en-GB"/>
        </w:rPr>
      </w:pPr>
      <w:r>
        <w:rPr>
          <w:lang w:eastAsia="en-GB"/>
        </w:rPr>
        <w:t>5.</w:t>
      </w:r>
      <w:r>
        <w:rPr>
          <w:lang w:eastAsia="en-GB"/>
        </w:rPr>
        <w:tab/>
      </w:r>
      <w:r>
        <w:rPr>
          <w:lang w:eastAsia="en-GB"/>
        </w:rPr>
        <w:t>Measure the RRC filtered mean power of UTRA adjacent channel on both lower and upper side of the category NB1 or NB2 UE channel, respectively.</w:t>
      </w:r>
    </w:p>
    <w:p>
      <w:pPr>
        <w:ind w:left="568" w:hanging="284"/>
        <w:rPr>
          <w:lang w:eastAsia="en-GB"/>
        </w:rPr>
      </w:pPr>
      <w:r>
        <w:rPr>
          <w:lang w:eastAsia="en-GB"/>
        </w:rPr>
        <w:t>6.</w:t>
      </w:r>
      <w:r>
        <w:rPr>
          <w:lang w:eastAsia="en-GB"/>
        </w:rPr>
        <w:tab/>
      </w:r>
      <w:r>
        <w:rPr>
          <w:lang w:eastAsia="en-GB"/>
        </w:rPr>
        <w:t xml:space="preserve">Calculate the ratios of the power between the value measured in step </w:t>
      </w:r>
      <w:r>
        <w:rPr>
          <w:rFonts w:eastAsia="MS Mincho"/>
          <w:lang w:eastAsia="en-GB"/>
        </w:rPr>
        <w:t>3</w:t>
      </w:r>
      <w:r>
        <w:rPr>
          <w:lang w:eastAsia="en-GB"/>
        </w:rPr>
        <w:t xml:space="preserve"> over step </w:t>
      </w:r>
      <w:r>
        <w:rPr>
          <w:rFonts w:eastAsia="MS Mincho"/>
          <w:lang w:eastAsia="en-GB"/>
        </w:rPr>
        <w:t>4</w:t>
      </w:r>
      <w:r>
        <w:rPr>
          <w:lang w:eastAsia="en-GB"/>
        </w:rPr>
        <w:t xml:space="preserve"> for lower and upper GSM</w:t>
      </w:r>
      <w:r>
        <w:rPr>
          <w:vertAlign w:val="subscript"/>
          <w:lang w:eastAsia="en-GB"/>
        </w:rPr>
        <w:t>ACLR</w:t>
      </w:r>
      <w:r>
        <w:rPr>
          <w:lang w:eastAsia="en-GB"/>
        </w:rPr>
        <w:t>.</w:t>
      </w:r>
    </w:p>
    <w:p>
      <w:pPr>
        <w:ind w:left="568" w:hanging="284"/>
        <w:rPr>
          <w:lang w:eastAsia="en-GB"/>
        </w:rPr>
      </w:pPr>
      <w:r>
        <w:rPr>
          <w:lang w:eastAsia="en-GB"/>
        </w:rPr>
        <w:t>7.</w:t>
      </w:r>
      <w:r>
        <w:rPr>
          <w:lang w:eastAsia="en-GB"/>
        </w:rPr>
        <w:tab/>
      </w:r>
      <w:r>
        <w:rPr>
          <w:lang w:eastAsia="en-GB"/>
        </w:rPr>
        <w:t xml:space="preserve">Calculated the ratio of the power between the value measured in step </w:t>
      </w:r>
      <w:r>
        <w:rPr>
          <w:rFonts w:eastAsia="MS Mincho"/>
          <w:lang w:eastAsia="en-GB"/>
        </w:rPr>
        <w:t>3</w:t>
      </w:r>
      <w:r>
        <w:rPr>
          <w:lang w:eastAsia="en-GB"/>
        </w:rPr>
        <w:t xml:space="preserve"> over step </w:t>
      </w:r>
      <w:r>
        <w:rPr>
          <w:rFonts w:eastAsia="MS Mincho"/>
          <w:lang w:eastAsia="en-GB"/>
        </w:rPr>
        <w:t xml:space="preserve">5 </w:t>
      </w:r>
      <w:r>
        <w:rPr>
          <w:lang w:eastAsia="en-GB"/>
        </w:rPr>
        <w:t>for lower and upper UTRA</w:t>
      </w:r>
      <w:r>
        <w:rPr>
          <w:vertAlign w:val="subscript"/>
          <w:lang w:eastAsia="en-GB"/>
        </w:rPr>
        <w:t>ACLR</w:t>
      </w:r>
      <w:r>
        <w:rPr>
          <w:lang w:eastAsia="en-GB"/>
        </w:rPr>
        <w:t>.</w:t>
      </w:r>
    </w:p>
    <w:p>
      <w:pPr>
        <w:keepLines/>
        <w:ind w:left="1135" w:hanging="851"/>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snapToGrid w:val="0"/>
          <w:lang w:eastAsia="en-GB"/>
        </w:rPr>
      </w:pPr>
      <w:r>
        <w:rPr>
          <w:rFonts w:ascii="Arial" w:hAnsi="Arial"/>
          <w:snapToGrid w:val="0"/>
          <w:lang w:eastAsia="en-GB"/>
        </w:rPr>
        <w:t>6.5B.3.4.4.3</w:t>
      </w:r>
      <w:r>
        <w:rPr>
          <w:rFonts w:ascii="Arial" w:hAnsi="Arial"/>
          <w:snapToGrid w:val="0"/>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lang w:eastAsia="en-GB"/>
        </w:rPr>
      </w:pPr>
      <w:r>
        <w:rPr>
          <w:lang w:eastAsia="en-GB"/>
        </w:rPr>
        <w:t>6.5B.3.4.5</w:t>
      </w:r>
      <w:r>
        <w:rPr>
          <w:lang w:eastAsia="en-GB"/>
        </w:rPr>
        <w:tab/>
      </w:r>
      <w:r>
        <w:rPr>
          <w:lang w:eastAsia="en-GB"/>
        </w:rPr>
        <w:t>Test requirement</w:t>
      </w:r>
    </w:p>
    <w:p>
      <w:pPr>
        <w:ind w:left="568" w:hanging="284"/>
        <w:rPr>
          <w:lang w:eastAsia="en-GB"/>
        </w:rPr>
      </w:pPr>
      <w:r>
        <w:rPr>
          <w:lang w:eastAsia="en-GB"/>
        </w:rPr>
        <w:t>-</w:t>
      </w:r>
      <w:r>
        <w:rPr>
          <w:lang w:eastAsia="en-GB"/>
        </w:rPr>
        <w:tab/>
      </w:r>
      <w:r>
        <w:rPr>
          <w:lang w:eastAsia="en-GB"/>
        </w:rPr>
        <w:t>The measured UE mean power in the channel bandwidth, derived in step 3, shall fulfil requirements in Table 6.2B.2.4-1 as appropriate,</w:t>
      </w:r>
    </w:p>
    <w:p>
      <w:pPr>
        <w:ind w:left="568" w:hanging="284"/>
        <w:rPr>
          <w:lang w:eastAsia="en-GB"/>
        </w:rPr>
      </w:pPr>
      <w:r>
        <w:rPr>
          <w:lang w:eastAsia="en-GB"/>
        </w:rPr>
        <w:t>and</w:t>
      </w:r>
    </w:p>
    <w:p>
      <w:pPr>
        <w:ind w:left="568" w:hanging="284"/>
        <w:rPr>
          <w:lang w:eastAsia="en-GB"/>
        </w:rPr>
      </w:pPr>
      <w:r>
        <w:rPr>
          <w:rFonts w:cs="v5.0.0"/>
          <w:lang w:eastAsia="en-GB"/>
        </w:rPr>
        <w:t>-</w:t>
      </w:r>
      <w:r>
        <w:rPr>
          <w:rFonts w:cs="v5.0.0"/>
          <w:lang w:eastAsia="en-GB"/>
        </w:rPr>
        <w:tab/>
      </w:r>
      <w:r>
        <w:rPr>
          <w:rFonts w:cs="v5.0.0"/>
          <w:lang w:eastAsia="en-GB"/>
        </w:rPr>
        <w:t>if the measured adjacent channel power is greater than –50 dBm then</w:t>
      </w:r>
      <w:r>
        <w:rPr>
          <w:lang w:eastAsia="en-GB"/>
        </w:rPr>
        <w:t xml:space="preserve"> the measured GSM</w:t>
      </w:r>
      <w:r>
        <w:rPr>
          <w:vertAlign w:val="subscript"/>
          <w:lang w:eastAsia="en-GB"/>
        </w:rPr>
        <w:t>ACLR</w:t>
      </w:r>
      <w:r>
        <w:rPr>
          <w:lang w:eastAsia="en-GB"/>
        </w:rPr>
        <w:t xml:space="preserve"> derived in step </w:t>
      </w:r>
      <w:r>
        <w:rPr>
          <w:rFonts w:eastAsia="MS Mincho"/>
          <w:lang w:eastAsia="en-GB"/>
        </w:rPr>
        <w:t>7</w:t>
      </w:r>
      <w:r>
        <w:rPr>
          <w:lang w:eastAsia="en-GB"/>
        </w:rPr>
        <w:t xml:space="preserve"> and UTRA</w:t>
      </w:r>
      <w:r>
        <w:rPr>
          <w:vertAlign w:val="subscript"/>
          <w:lang w:eastAsia="en-GB"/>
        </w:rPr>
        <w:t>ACLR</w:t>
      </w:r>
      <w:r>
        <w:rPr>
          <w:lang w:eastAsia="en-GB"/>
        </w:rPr>
        <w:t xml:space="preserve"> derived in step </w:t>
      </w:r>
      <w:r>
        <w:rPr>
          <w:rFonts w:eastAsia="MS Mincho"/>
          <w:lang w:eastAsia="en-GB"/>
        </w:rPr>
        <w:t>8</w:t>
      </w:r>
      <w:r>
        <w:rPr>
          <w:lang w:eastAsia="en-GB"/>
        </w:rPr>
        <w:t xml:space="preserve"> shall be higher than the limits in table 6.5B.3.4.5-1.</w:t>
      </w:r>
    </w:p>
    <w:p>
      <w:pPr>
        <w:keepNext/>
        <w:keepLines/>
        <w:spacing w:before="60"/>
        <w:jc w:val="center"/>
        <w:rPr>
          <w:rFonts w:ascii="Arial" w:hAnsi="Arial"/>
          <w:b/>
          <w:lang w:eastAsia="en-GB"/>
        </w:rPr>
      </w:pPr>
      <w:r>
        <w:rPr>
          <w:rFonts w:ascii="Arial" w:hAnsi="Arial"/>
          <w:b/>
          <w:lang w:eastAsia="en-GB"/>
        </w:rPr>
        <w:t>Table 6.5B.3.4.5-1: Category NB1 and UE ACLR Test requirements</w:t>
      </w:r>
    </w:p>
    <w:tbl>
      <w:tblPr>
        <w:tblStyle w:val="89"/>
        <w:tblW w:w="5038" w:type="dxa"/>
        <w:jc w:val="center"/>
        <w:tblLayout w:type="autofit"/>
        <w:tblCellMar>
          <w:top w:w="0" w:type="dxa"/>
          <w:left w:w="108" w:type="dxa"/>
          <w:bottom w:w="0" w:type="dxa"/>
          <w:right w:w="108" w:type="dxa"/>
        </w:tblCellMar>
      </w:tblPr>
      <w:tblGrid>
        <w:gridCol w:w="2420"/>
        <w:gridCol w:w="1309"/>
        <w:gridCol w:w="1309"/>
      </w:tblGrid>
      <w:tr>
        <w:tblPrEx>
          <w:tblCellMar>
            <w:top w:w="0" w:type="dxa"/>
            <w:left w:w="108" w:type="dxa"/>
            <w:bottom w:w="0" w:type="dxa"/>
            <w:right w:w="108" w:type="dxa"/>
          </w:tblCellMar>
        </w:tblPrEx>
        <w:trPr>
          <w:trHeight w:val="288"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GSM</w:t>
            </w:r>
            <w:r>
              <w:rPr>
                <w:rFonts w:ascii="Arial" w:hAnsi="Arial"/>
                <w:b/>
                <w:sz w:val="18"/>
                <w:vertAlign w:val="subscript"/>
              </w:rPr>
              <w:t>ACLR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UTRA</w:t>
            </w:r>
            <w:r>
              <w:rPr>
                <w:rFonts w:ascii="Arial" w:hAnsi="Arial"/>
                <w:b/>
                <w:sz w:val="18"/>
                <w:vertAlign w:val="subscript"/>
              </w:rPr>
              <w:t>ACLR</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ACLR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lang w:eastAsia="en-GB"/>
              </w:rPr>
              <w:t>19.2</w:t>
            </w:r>
            <w:r>
              <w:rPr>
                <w:rFonts w:ascii="Arial" w:hAnsi="Arial"/>
                <w:sz w:val="18"/>
              </w:rPr>
              <w:t xml:space="preserve"> dB</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lang w:eastAsia="en-GB"/>
              </w:rPr>
              <w:t>36.2</w:t>
            </w:r>
            <w:r>
              <w:rPr>
                <w:rFonts w:ascii="Arial" w:hAnsi="Arial"/>
                <w:sz w:val="18"/>
              </w:rPr>
              <w:t xml:space="preserve"> dB</w:t>
            </w:r>
          </w:p>
        </w:tc>
      </w:tr>
      <w:tr>
        <w:tblPrEx>
          <w:tblCellMar>
            <w:top w:w="0" w:type="dxa"/>
            <w:left w:w="108" w:type="dxa"/>
            <w:bottom w:w="0" w:type="dxa"/>
            <w:right w:w="108" w:type="dxa"/>
          </w:tblCellMar>
        </w:tblPrEx>
        <w:trPr>
          <w:trHeight w:val="288" w:hRule="atLeast"/>
          <w:jc w:val="center"/>
        </w:trPr>
        <w:tc>
          <w:tcPr>
            <w:tcW w:w="2420" w:type="dxa"/>
            <w:tcBorders>
              <w:top w:val="nil"/>
              <w:left w:val="single" w:color="auto" w:sz="4" w:space="0"/>
              <w:bottom w:val="single" w:color="auto" w:sz="4" w:space="0"/>
              <w:right w:val="single" w:color="auto" w:sz="4" w:space="0"/>
            </w:tcBorders>
            <w:shd w:val="clear" w:color="auto" w:fill="auto"/>
            <w:noWrap/>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centre frequency offset</w:t>
            </w:r>
            <w:r>
              <w:rPr>
                <w:rFonts w:ascii="Arial" w:hAnsi="Arial"/>
                <w:b/>
                <w:sz w:val="18"/>
              </w:rPr>
              <w:br w:type="textWrapping"/>
            </w:r>
            <w:r>
              <w:rPr>
                <w:rFonts w:ascii="Arial" w:hAnsi="Arial"/>
                <w:b/>
                <w:sz w:val="18"/>
              </w:rPr>
              <w:t>from category NB1 or NB2 Channel edge</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±200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±2.5 MHz</w:t>
            </w:r>
          </w:p>
        </w:tc>
      </w:tr>
      <w:tr>
        <w:tblPrEx>
          <w:tblCellMar>
            <w:top w:w="0" w:type="dxa"/>
            <w:left w:w="108" w:type="dxa"/>
            <w:bottom w:w="0" w:type="dxa"/>
            <w:right w:w="108" w:type="dxa"/>
          </w:tblCellMar>
        </w:tblPrEx>
        <w:trPr>
          <w:trHeight w:val="5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Adjacent channel</w:t>
            </w:r>
            <w:r>
              <w:rPr>
                <w:rFonts w:ascii="Arial" w:hAnsi="Arial"/>
                <w:b/>
                <w:sz w:val="18"/>
              </w:rPr>
              <w:br w:type="textWrapping"/>
            </w:r>
            <w:r>
              <w:rPr>
                <w:rFonts w:ascii="Arial" w:hAnsi="Arial"/>
                <w:b/>
                <w:sz w:val="18"/>
              </w:rPr>
              <w:t>measurement bandwidth</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3.84 MHz</w:t>
            </w:r>
          </w:p>
        </w:tc>
      </w:tr>
      <w:tr>
        <w:tblPrEx>
          <w:tblCellMar>
            <w:top w:w="0" w:type="dxa"/>
            <w:left w:w="108" w:type="dxa"/>
            <w:bottom w:w="0" w:type="dxa"/>
            <w:right w:w="108" w:type="dxa"/>
          </w:tblCellMar>
        </w:tblPrEx>
        <w:trPr>
          <w:trHeight w:val="876" w:hRule="atLeast"/>
          <w:jc w:val="center"/>
        </w:trPr>
        <w:tc>
          <w:tcPr>
            <w:tcW w:w="2420" w:type="dxa"/>
            <w:tcBorders>
              <w:top w:val="nil"/>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Measurement filter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nil"/>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RRC-filter α=0.22</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bandwidth</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180 kHz</w:t>
            </w:r>
          </w:p>
        </w:tc>
      </w:tr>
      <w:tr>
        <w:tblPrEx>
          <w:tblCellMar>
            <w:top w:w="0" w:type="dxa"/>
            <w:left w:w="108" w:type="dxa"/>
            <w:bottom w:w="0" w:type="dxa"/>
            <w:right w:w="108" w:type="dxa"/>
          </w:tblCellMar>
        </w:tblPrEx>
        <w:trPr>
          <w:trHeight w:val="876" w:hRule="atLeast"/>
          <w:jc w:val="center"/>
        </w:trPr>
        <w:tc>
          <w:tcPr>
            <w:tcW w:w="242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b/>
                <w:sz w:val="18"/>
              </w:rPr>
            </w:pPr>
            <w:r>
              <w:rPr>
                <w:rFonts w:ascii="Arial" w:hAnsi="Arial"/>
                <w:b/>
                <w:sz w:val="18"/>
              </w:rPr>
              <w:t>Category NB1 and NB2 channel Measurement filter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c>
          <w:tcPr>
            <w:tcW w:w="1309" w:type="dxa"/>
            <w:tcBorders>
              <w:top w:val="single" w:color="auto" w:sz="4" w:space="0"/>
              <w:left w:val="nil"/>
              <w:bottom w:val="single" w:color="auto" w:sz="4" w:space="0"/>
              <w:right w:val="single" w:color="auto" w:sz="4" w:space="0"/>
            </w:tcBorders>
            <w:shd w:val="clear" w:color="auto" w:fill="auto"/>
            <w:noWrap/>
            <w:vAlign w:val="center"/>
          </w:tcPr>
          <w:p>
            <w:pPr>
              <w:keepNext/>
              <w:keepLines/>
              <w:spacing w:after="0"/>
              <w:jc w:val="center"/>
              <w:rPr>
                <w:rFonts w:ascii="Arial" w:hAnsi="Arial"/>
                <w:sz w:val="18"/>
              </w:rPr>
            </w:pPr>
            <w:r>
              <w:rPr>
                <w:rFonts w:ascii="Arial" w:hAnsi="Arial"/>
                <w:sz w:val="18"/>
              </w:rPr>
              <w:t>Rectangular</w:t>
            </w:r>
          </w:p>
        </w:tc>
      </w:tr>
    </w:tbl>
    <w:p/>
    <w:p>
      <w:pPr>
        <w:pStyle w:val="5"/>
      </w:pPr>
      <w:bookmarkStart w:id="609" w:name="_Toc3980"/>
      <w:bookmarkStart w:id="610" w:name="_Toc111062071"/>
      <w:bookmarkStart w:id="611" w:name="_Toc4911"/>
      <w:bookmarkStart w:id="612" w:name="_Toc121162869"/>
      <w:bookmarkStart w:id="613" w:name="_Toc120570077"/>
      <w:bookmarkStart w:id="614" w:name="_Toc2087"/>
      <w:r>
        <w:t>6.5B.4</w:t>
      </w:r>
      <w:r>
        <w:tab/>
      </w:r>
      <w:r>
        <w:rPr>
          <w:rFonts w:hint="eastAsia"/>
        </w:rPr>
        <w:t>S</w:t>
      </w:r>
      <w:r>
        <w:t>purious emission</w:t>
      </w:r>
      <w:r>
        <w:rPr>
          <w:rFonts w:hint="eastAsia"/>
        </w:rPr>
        <w:t xml:space="preserve"> for </w:t>
      </w:r>
      <w:r>
        <w:t>category NB1 and NB2</w:t>
      </w:r>
      <w:bookmarkEnd w:id="609"/>
      <w:bookmarkEnd w:id="610"/>
      <w:bookmarkEnd w:id="611"/>
      <w:bookmarkEnd w:id="612"/>
      <w:bookmarkEnd w:id="613"/>
      <w:bookmarkEnd w:id="614"/>
    </w:p>
    <w:p>
      <w:pPr>
        <w:pStyle w:val="6"/>
      </w:pPr>
      <w:bookmarkStart w:id="615" w:name="_Toc466"/>
      <w:bookmarkStart w:id="616" w:name="_Toc24289"/>
      <w:bookmarkStart w:id="617" w:name="_Toc120570078"/>
      <w:bookmarkStart w:id="618" w:name="_Toc31076"/>
      <w:bookmarkStart w:id="619" w:name="_Toc121162870"/>
      <w:r>
        <w:t>6.5B.4.1</w:t>
      </w:r>
      <w:r>
        <w:tab/>
      </w:r>
      <w:r>
        <w:t>General</w:t>
      </w:r>
      <w:bookmarkEnd w:id="615"/>
      <w:bookmarkEnd w:id="616"/>
      <w:bookmarkEnd w:id="617"/>
      <w:bookmarkEnd w:id="618"/>
      <w:bookmarkEnd w:id="619"/>
    </w:p>
    <w:p>
      <w:pPr>
        <w:rPr>
          <w:rFonts w:eastAsiaTheme="minorEastAsia"/>
          <w:lang w:eastAsia="zh-CN"/>
        </w:rPr>
      </w:pPr>
      <w:r>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[9] and E-UTRA operating band requirement to address UE co-existence.</w:t>
      </w:r>
    </w:p>
    <w:p>
      <w:pPr>
        <w:rPr>
          <w:lang w:val="en-US"/>
        </w:rPr>
      </w:pPr>
      <w:r>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Pr>
          <w:lang w:val="en-US"/>
        </w:rPr>
        <w:t>.</w:t>
      </w:r>
    </w:p>
    <w:p>
      <w:pPr>
        <w:pStyle w:val="6"/>
      </w:pPr>
      <w:bookmarkStart w:id="620" w:name="_Toc11652"/>
      <w:bookmarkStart w:id="621" w:name="_Toc14308"/>
      <w:bookmarkStart w:id="622" w:name="_Toc120570079"/>
      <w:bookmarkStart w:id="623" w:name="_Toc404"/>
      <w:bookmarkStart w:id="624" w:name="_Toc121162871"/>
      <w:r>
        <w:t>6.5B.</w:t>
      </w:r>
      <w:r>
        <w:rPr>
          <w:rFonts w:eastAsia="宋体"/>
          <w:lang w:val="en-US" w:eastAsia="zh-CN"/>
        </w:rPr>
        <w:t>4</w:t>
      </w:r>
      <w:r>
        <w:t>.</w:t>
      </w:r>
      <w:r>
        <w:rPr>
          <w:rFonts w:eastAsia="宋体"/>
          <w:lang w:val="en-US" w:eastAsia="zh-CN"/>
        </w:rPr>
        <w:t>2</w:t>
      </w:r>
      <w:r>
        <w:tab/>
      </w:r>
      <w:r>
        <w:t>Transmitter Spurious emissions</w:t>
      </w:r>
      <w:bookmarkEnd w:id="620"/>
      <w:bookmarkEnd w:id="621"/>
      <w:bookmarkEnd w:id="622"/>
      <w:bookmarkEnd w:id="623"/>
      <w:bookmarkEnd w:id="624"/>
    </w:p>
    <w:p>
      <w:pPr>
        <w:keepLines/>
        <w:ind w:left="1135" w:hanging="851"/>
        <w:rPr>
          <w:i/>
          <w:color w:val="FF0000"/>
        </w:rPr>
      </w:pPr>
      <w:r>
        <w:rPr>
          <w:i/>
          <w:color w:val="FF0000"/>
        </w:rPr>
        <w:t>Editor’s Note: This clause is incomplete. The following aspects are either missing or not yet determined:</w:t>
      </w:r>
    </w:p>
    <w:p>
      <w:pPr>
        <w:keepLines/>
        <w:ind w:left="1135" w:hanging="851"/>
        <w:rPr>
          <w:i/>
          <w:color w:val="FF0000"/>
        </w:rPr>
      </w:pPr>
      <w:r>
        <w:rPr>
          <w:i/>
          <w:color w:val="FF0000"/>
        </w:rPr>
        <w:t>- Addition to applicability spec is pending</w:t>
      </w:r>
    </w:p>
    <w:p>
      <w:pPr>
        <w:keepLines/>
        <w:ind w:left="1135" w:hanging="851"/>
        <w:rPr>
          <w:i/>
          <w:color w:val="FF0000"/>
        </w:rPr>
      </w:pPr>
      <w:r>
        <w:rPr>
          <w:i/>
          <w:color w:val="FF0000"/>
        </w:rPr>
        <w:t>- Initial condition and call setup procedure to support satellite access are TBD</w:t>
      </w:r>
    </w:p>
    <w:p>
      <w:pPr>
        <w:keepLines/>
        <w:ind w:left="1135" w:hanging="851"/>
        <w:rPr>
          <w:i/>
          <w:color w:val="FF0000"/>
        </w:rPr>
      </w:pPr>
      <w:r>
        <w:rPr>
          <w:i/>
          <w:color w:val="FF0000"/>
        </w:rPr>
        <w:t>- Message exceptions specific to satellite access is TBD</w:t>
      </w:r>
    </w:p>
    <w:p>
      <w:pPr>
        <w:keepLines/>
        <w:ind w:left="1135" w:hanging="851"/>
        <w:rPr>
          <w:i/>
          <w:color w:val="FF0000"/>
        </w:rPr>
      </w:pPr>
      <w:r>
        <w:rPr>
          <w:i/>
          <w:color w:val="FF0000"/>
        </w:rPr>
        <w:t>- Test Points analysis is TBD</w:t>
      </w:r>
    </w:p>
    <w:p>
      <w:pPr>
        <w:keepLines/>
        <w:ind w:left="1135" w:hanging="851"/>
        <w:rPr>
          <w:i/>
          <w:color w:val="FF0000"/>
        </w:rPr>
      </w:pPr>
      <w:r>
        <w:rPr>
          <w:i/>
          <w:color w:val="FF0000"/>
        </w:rPr>
        <w:t>- Test configuration is TBD</w:t>
      </w:r>
    </w:p>
    <w:p>
      <w:pPr>
        <w:keepLines/>
        <w:ind w:left="1135" w:hanging="851"/>
        <w:rPr>
          <w:rFonts w:eastAsia="PMingLiU"/>
          <w:i/>
          <w:color w:val="FF0000"/>
          <w:lang w:eastAsia="zh-TW"/>
        </w:rPr>
      </w:pPr>
      <w:r>
        <w:rPr>
          <w:i/>
          <w:color w:val="FF0000"/>
        </w:rPr>
        <w:t>- Annex F MU/TT is TBD</w:t>
      </w:r>
    </w:p>
    <w:p>
      <w:pPr>
        <w:keepNext/>
        <w:keepLines/>
        <w:spacing w:before="120"/>
        <w:ind w:left="1985" w:hanging="1985"/>
        <w:rPr>
          <w:rFonts w:ascii="Arial" w:hAnsi="Arial"/>
          <w:lang w:eastAsia="en-GB"/>
        </w:rPr>
      </w:pPr>
      <w:r>
        <w:rPr>
          <w:rFonts w:ascii="Arial" w:hAnsi="Arial"/>
          <w:lang w:eastAsia="en-GB"/>
        </w:rPr>
        <w:t>6.5B.4.2.1</w:t>
      </w:r>
      <w:r>
        <w:rPr>
          <w:rFonts w:ascii="Arial" w:hAnsi="Arial"/>
          <w:lang w:eastAsia="en-GB"/>
        </w:rPr>
        <w:tab/>
      </w:r>
      <w:r>
        <w:rPr>
          <w:rFonts w:ascii="Arial" w:hAnsi="Arial"/>
          <w:lang w:eastAsia="en-GB"/>
        </w:rPr>
        <w:t>Test purpose</w:t>
      </w:r>
    </w:p>
    <w:p>
      <w:pPr>
        <w:rPr>
          <w:lang w:eastAsia="en-GB"/>
        </w:rPr>
      </w:pPr>
      <w:r>
        <w:rPr>
          <w:lang w:eastAsia="en-GB"/>
        </w:rPr>
        <w:t>To verify that UE transmitter does not cause unacceptable interference to other channels or other systems in terms of transmitter spurious emissions.</w:t>
      </w:r>
    </w:p>
    <w:p>
      <w:pPr>
        <w:keepNext/>
        <w:keepLines/>
        <w:spacing w:before="120"/>
        <w:ind w:left="1985" w:hanging="1985"/>
        <w:rPr>
          <w:rFonts w:ascii="Arial" w:hAnsi="Arial"/>
          <w:lang w:eastAsia="en-GB"/>
        </w:rPr>
      </w:pPr>
      <w:r>
        <w:rPr>
          <w:rFonts w:ascii="Arial" w:hAnsi="Arial"/>
          <w:lang w:eastAsia="en-GB"/>
        </w:rPr>
        <w:t>6.5B.4.2.2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lang w:eastAsia="en-GB"/>
        </w:rPr>
        <w:t>6.5B.4.2.3</w:t>
      </w:r>
      <w:r>
        <w:rPr>
          <w:rFonts w:ascii="Arial" w:hAnsi="Arial"/>
          <w:lang w:eastAsia="en-GB"/>
        </w:rPr>
        <w:tab/>
      </w:r>
      <w:r>
        <w:rPr>
          <w:rFonts w:ascii="Arial" w:hAnsi="Arial"/>
          <w:lang w:eastAsia="en-GB"/>
        </w:rPr>
        <w:t>Minimum conformance requirements</w:t>
      </w:r>
    </w:p>
    <w:p>
      <w:pPr>
        <w:rPr>
          <w:lang w:eastAsia="en-GB"/>
        </w:rPr>
      </w:pPr>
      <w:r>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pPr>
        <w:keepLines/>
        <w:ind w:left="1135" w:hanging="851"/>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cs="v5.0.0"/>
          <w:b/>
          <w:lang w:eastAsia="en-GB"/>
        </w:rPr>
      </w:pPr>
      <w:r>
        <w:rPr>
          <w:rFonts w:ascii="Arial" w:hAnsi="Arial" w:cs="v5.0.0"/>
          <w:b/>
          <w:lang w:eastAsia="en-GB"/>
        </w:rPr>
        <w:t xml:space="preserve">Table </w:t>
      </w:r>
      <w:bookmarkStart w:id="625" w:name="_Hlk141109469"/>
      <w:r>
        <w:rPr>
          <w:rFonts w:ascii="Arial" w:hAnsi="Arial" w:cs="v5.0.0"/>
          <w:b/>
          <w:lang w:eastAsia="en-GB"/>
        </w:rPr>
        <w:t>6.5B.4.2</w:t>
      </w:r>
      <w:bookmarkEnd w:id="625"/>
      <w:r>
        <w:rPr>
          <w:rFonts w:ascii="Arial" w:hAnsi="Arial" w:cs="v5.0.0"/>
          <w:b/>
          <w:lang w:eastAsia="en-GB"/>
        </w:rPr>
        <w:t>.3-1: Spurious emissions limits</w:t>
      </w:r>
    </w:p>
    <w:tbl>
      <w:tblPr>
        <w:tblStyle w:val="89"/>
        <w:tblW w:w="0" w:type="auto"/>
        <w:tblInd w:w="166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2"/>
        <w:gridCol w:w="1522"/>
        <w:gridCol w:w="2262"/>
        <w:gridCol w:w="8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pPr>
              <w:keepNext/>
              <w:keepLines/>
              <w:spacing w:after="0"/>
              <w:jc w:val="center"/>
              <w:rPr>
                <w:rFonts w:ascii="Arial" w:hAnsi="Arial" w:cs="v5.0.0"/>
                <w:b/>
                <w:sz w:val="18"/>
              </w:rPr>
            </w:pPr>
            <w:r>
              <w:rPr>
                <w:rFonts w:ascii="Arial" w:hAnsi="Arial" w:cs="Arial"/>
                <w:b/>
                <w:sz w:val="18"/>
              </w:rPr>
              <w:t>Frequency Range</w:t>
            </w:r>
          </w:p>
        </w:tc>
        <w:tc>
          <w:tcPr>
            <w:tcW w:w="1522" w:type="dxa"/>
          </w:tcPr>
          <w:p>
            <w:pPr>
              <w:keepNext/>
              <w:keepLines/>
              <w:spacing w:after="0"/>
              <w:jc w:val="center"/>
              <w:rPr>
                <w:rFonts w:ascii="Arial" w:hAnsi="Arial" w:cs="v5.0.0"/>
                <w:b/>
                <w:sz w:val="18"/>
              </w:rPr>
            </w:pPr>
            <w:r>
              <w:rPr>
                <w:rFonts w:ascii="Arial" w:hAnsi="Arial" w:cs="Arial"/>
                <w:b/>
                <w:sz w:val="18"/>
              </w:rPr>
              <w:t>Maximum Level</w:t>
            </w:r>
          </w:p>
        </w:tc>
        <w:tc>
          <w:tcPr>
            <w:tcW w:w="2262" w:type="dxa"/>
          </w:tcPr>
          <w:p>
            <w:pPr>
              <w:keepNext/>
              <w:keepLines/>
              <w:spacing w:after="0"/>
              <w:jc w:val="center"/>
              <w:rPr>
                <w:rFonts w:ascii="Arial" w:hAnsi="Arial" w:cs="v5.0.0"/>
                <w:b/>
                <w:sz w:val="18"/>
              </w:rPr>
            </w:pPr>
            <w:r>
              <w:rPr>
                <w:rFonts w:ascii="Arial" w:hAnsi="Arial" w:cs="Arial"/>
                <w:b/>
                <w:sz w:val="18"/>
              </w:rPr>
              <w:t>Measurement bandwidth</w:t>
            </w:r>
          </w:p>
        </w:tc>
        <w:tc>
          <w:tcPr>
            <w:tcW w:w="868" w:type="dxa"/>
          </w:tcPr>
          <w:p>
            <w:pPr>
              <w:keepNext/>
              <w:keepLines/>
              <w:spacing w:after="0"/>
              <w:jc w:val="center"/>
              <w:rPr>
                <w:rFonts w:ascii="Arial" w:hAnsi="Arial" w:cs="Arial"/>
                <w:b/>
                <w:sz w:val="18"/>
              </w:rPr>
            </w:pPr>
            <w:r>
              <w:rPr>
                <w:rFonts w:ascii="Arial" w:hAnsi="Arial" w:cs="Arial"/>
                <w:b/>
                <w:sz w:val="18"/>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pPr>
              <w:keepNext/>
              <w:keepLines/>
              <w:spacing w:after="0"/>
              <w:jc w:val="center"/>
              <w:rPr>
                <w:rFonts w:ascii="Arial" w:hAnsi="Arial" w:cs="Arial"/>
                <w:sz w:val="18"/>
              </w:rPr>
            </w:pPr>
            <w:r>
              <w:rPr>
                <w:rFonts w:ascii="Arial" w:hAnsi="Arial" w:cs="Arial"/>
                <w:sz w:val="18"/>
              </w:rPr>
              <w:t xml:space="preserve">9 kHz </w:t>
            </w:r>
            <w:r>
              <w:rPr>
                <w:rFonts w:ascii="Arial" w:hAnsi="Arial" w:cs="Arial"/>
                <w:sz w:val="18"/>
              </w:rPr>
              <w:sym w:font="Symbol" w:char="F0A3"/>
            </w:r>
            <w:r>
              <w:rPr>
                <w:rFonts w:ascii="Arial" w:hAnsi="Arial" w:cs="Arial"/>
                <w:sz w:val="18"/>
              </w:rPr>
              <w:t xml:space="preserve"> f &lt; 150 kHz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 kHz </w:t>
            </w:r>
          </w:p>
        </w:tc>
        <w:tc>
          <w:tcPr>
            <w:tcW w:w="868" w:type="dxa"/>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pPr>
              <w:keepNext/>
              <w:keepLines/>
              <w:spacing w:after="0"/>
              <w:jc w:val="center"/>
              <w:rPr>
                <w:rFonts w:ascii="Arial" w:hAnsi="Arial" w:cs="Arial"/>
                <w:sz w:val="18"/>
              </w:rPr>
            </w:pPr>
            <w:r>
              <w:rPr>
                <w:rFonts w:ascii="Arial" w:hAnsi="Arial" w:cs="Arial"/>
                <w:sz w:val="18"/>
              </w:rPr>
              <w:t xml:space="preserve">150 kHz </w:t>
            </w:r>
            <w:r>
              <w:rPr>
                <w:rFonts w:ascii="Arial" w:hAnsi="Arial" w:cs="Arial"/>
                <w:sz w:val="18"/>
              </w:rPr>
              <w:sym w:font="Symbol" w:char="F0A3"/>
            </w:r>
            <w:r>
              <w:rPr>
                <w:rFonts w:ascii="Arial" w:hAnsi="Arial" w:cs="Arial"/>
                <w:sz w:val="18"/>
              </w:rPr>
              <w:t xml:space="preserve"> f &lt; 30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 xml:space="preserve">10 kHz </w:t>
            </w:r>
          </w:p>
        </w:tc>
        <w:tc>
          <w:tcPr>
            <w:tcW w:w="868" w:type="dxa"/>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pPr>
              <w:keepNext/>
              <w:keepLines/>
              <w:spacing w:after="0"/>
              <w:jc w:val="center"/>
              <w:rPr>
                <w:rFonts w:ascii="Arial" w:hAnsi="Arial" w:cs="Arial"/>
                <w:sz w:val="18"/>
              </w:rPr>
            </w:pPr>
            <w:r>
              <w:rPr>
                <w:rFonts w:ascii="Arial" w:hAnsi="Arial" w:cs="Arial"/>
                <w:sz w:val="18"/>
              </w:rPr>
              <w:t xml:space="preserve">30 MHz </w:t>
            </w:r>
            <w:r>
              <w:rPr>
                <w:rFonts w:ascii="Arial" w:hAnsi="Arial" w:cs="Arial"/>
                <w:sz w:val="18"/>
              </w:rPr>
              <w:sym w:font="Symbol" w:char="F0A3"/>
            </w:r>
            <w:r>
              <w:rPr>
                <w:rFonts w:ascii="Arial" w:hAnsi="Arial" w:cs="Arial"/>
                <w:sz w:val="18"/>
              </w:rPr>
              <w:t xml:space="preserve"> f &lt; 1000 MHz</w:t>
            </w:r>
          </w:p>
        </w:tc>
        <w:tc>
          <w:tcPr>
            <w:tcW w:w="1522" w:type="dxa"/>
          </w:tcPr>
          <w:p>
            <w:pPr>
              <w:keepNext/>
              <w:keepLines/>
              <w:spacing w:after="0"/>
              <w:jc w:val="center"/>
              <w:rPr>
                <w:rFonts w:ascii="Arial" w:hAnsi="Arial" w:cs="Arial"/>
                <w:sz w:val="18"/>
              </w:rPr>
            </w:pPr>
            <w:r>
              <w:rPr>
                <w:rFonts w:ascii="Arial" w:hAnsi="Arial" w:cs="Arial"/>
                <w:sz w:val="18"/>
              </w:rPr>
              <w:t>-36 dBm</w:t>
            </w:r>
          </w:p>
        </w:tc>
        <w:tc>
          <w:tcPr>
            <w:tcW w:w="2262" w:type="dxa"/>
          </w:tcPr>
          <w:p>
            <w:pPr>
              <w:keepNext/>
              <w:keepLines/>
              <w:spacing w:after="0"/>
              <w:jc w:val="center"/>
              <w:rPr>
                <w:rFonts w:ascii="Arial" w:hAnsi="Arial" w:cs="Arial"/>
                <w:sz w:val="18"/>
              </w:rPr>
            </w:pPr>
            <w:r>
              <w:rPr>
                <w:rFonts w:ascii="Arial" w:hAnsi="Arial" w:cs="Arial"/>
                <w:sz w:val="18"/>
              </w:rPr>
              <w:t>100 kHz</w:t>
            </w:r>
          </w:p>
        </w:tc>
        <w:tc>
          <w:tcPr>
            <w:tcW w:w="868" w:type="dxa"/>
          </w:tcPr>
          <w:p>
            <w:pPr>
              <w:keepNext/>
              <w:keepLines/>
              <w:spacing w:after="0"/>
              <w:jc w:val="center"/>
              <w:rPr>
                <w:rFonts w:ascii="Arial" w:hAnsi="Arial" w:cs="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2" w:type="dxa"/>
          </w:tcPr>
          <w:p>
            <w:pPr>
              <w:keepNext/>
              <w:keepLines/>
              <w:spacing w:after="0"/>
              <w:jc w:val="center"/>
              <w:rPr>
                <w:rFonts w:ascii="Arial" w:hAnsi="Arial" w:cs="Arial"/>
                <w:sz w:val="18"/>
              </w:rPr>
            </w:pPr>
            <w:r>
              <w:rPr>
                <w:rFonts w:ascii="Arial" w:hAnsi="Arial" w:cs="Arial"/>
                <w:sz w:val="18"/>
              </w:rPr>
              <w:t xml:space="preserve">1 GHz </w:t>
            </w:r>
            <w:r>
              <w:rPr>
                <w:rFonts w:ascii="Arial" w:hAnsi="Arial" w:cs="Arial"/>
                <w:sz w:val="18"/>
              </w:rPr>
              <w:sym w:font="Symbol" w:char="F0A3"/>
            </w:r>
            <w:r>
              <w:rPr>
                <w:rFonts w:ascii="Arial" w:hAnsi="Arial" w:cs="Arial"/>
                <w:sz w:val="18"/>
              </w:rPr>
              <w:t xml:space="preserve"> f &lt; 12.75 GHz</w:t>
            </w:r>
          </w:p>
        </w:tc>
        <w:tc>
          <w:tcPr>
            <w:tcW w:w="1522" w:type="dxa"/>
          </w:tcPr>
          <w:p>
            <w:pPr>
              <w:keepNext/>
              <w:keepLines/>
              <w:spacing w:after="0"/>
              <w:jc w:val="center"/>
              <w:rPr>
                <w:rFonts w:ascii="Arial" w:hAnsi="Arial" w:cs="Arial"/>
                <w:sz w:val="18"/>
              </w:rPr>
            </w:pPr>
            <w:r>
              <w:rPr>
                <w:rFonts w:ascii="Arial" w:hAnsi="Arial" w:cs="Arial"/>
                <w:sz w:val="18"/>
              </w:rPr>
              <w:t>-30 dBm</w:t>
            </w:r>
          </w:p>
        </w:tc>
        <w:tc>
          <w:tcPr>
            <w:tcW w:w="2262" w:type="dxa"/>
          </w:tcPr>
          <w:p>
            <w:pPr>
              <w:keepNext/>
              <w:keepLines/>
              <w:spacing w:after="0"/>
              <w:jc w:val="center"/>
              <w:rPr>
                <w:rFonts w:ascii="Arial" w:hAnsi="Arial" w:cs="Arial"/>
                <w:sz w:val="18"/>
              </w:rPr>
            </w:pPr>
            <w:r>
              <w:rPr>
                <w:rFonts w:ascii="Arial" w:hAnsi="Arial" w:cs="Arial"/>
                <w:sz w:val="18"/>
              </w:rPr>
              <w:t>1 MHz</w:t>
            </w:r>
          </w:p>
        </w:tc>
        <w:tc>
          <w:tcPr>
            <w:tcW w:w="868" w:type="dxa"/>
          </w:tcPr>
          <w:p>
            <w:pPr>
              <w:keepNext/>
              <w:keepLines/>
              <w:spacing w:after="0"/>
              <w:jc w:val="center"/>
              <w:rPr>
                <w:rFonts w:ascii="Arial" w:hAnsi="Arial" w:cs="Arial"/>
                <w:sz w:val="18"/>
              </w:rPr>
            </w:pPr>
          </w:p>
        </w:tc>
      </w:tr>
    </w:tbl>
    <w:p>
      <w:pPr>
        <w:rPr>
          <w:rFonts w:eastAsia="Malgun Gothic"/>
          <w:lang w:eastAsia="en-GB"/>
        </w:rPr>
      </w:pPr>
    </w:p>
    <w:p>
      <w:pPr>
        <w:rPr>
          <w:lang w:eastAsia="en-GB"/>
        </w:rPr>
      </w:pPr>
      <w:r>
        <w:rPr>
          <w:rFonts w:eastAsia="Malgun Gothic"/>
          <w:lang w:eastAsia="en-GB"/>
        </w:rPr>
        <w:t xml:space="preserve">When UE is configured for category NB1 </w:t>
      </w:r>
      <w:r>
        <w:rPr>
          <w:rFonts w:cs="v5.0.0"/>
          <w:lang w:eastAsia="en-GB"/>
        </w:rPr>
        <w:t xml:space="preserve"> or NB2 </w:t>
      </w:r>
      <w:r>
        <w:rPr>
          <w:rFonts w:eastAsia="Malgun Gothic"/>
          <w:lang w:eastAsia="en-GB"/>
        </w:rPr>
        <w:t xml:space="preserve">uplink transmissions </w:t>
      </w:r>
      <w:r>
        <w:rPr>
          <w:rFonts w:cs="v5.0.0"/>
          <w:lang w:eastAsia="en-GB"/>
        </w:rPr>
        <w:t>the boundary between category NB1 or NB2 out of band and spurious emission domain shall be F</w:t>
      </w:r>
      <w:r>
        <w:rPr>
          <w:rFonts w:cs="v5.0.0"/>
          <w:vertAlign w:val="subscript"/>
          <w:lang w:eastAsia="en-GB"/>
        </w:rPr>
        <w:t>OOB</w:t>
      </w:r>
      <w:r>
        <w:rPr>
          <w:rFonts w:cs="v5.0.0"/>
          <w:lang w:eastAsia="en-GB"/>
        </w:rPr>
        <w:t xml:space="preserve"> = 1.7 MHz.</w:t>
      </w:r>
    </w:p>
    <w:p>
      <w:pPr>
        <w:rPr>
          <w:lang w:eastAsia="en-GB"/>
        </w:rPr>
      </w:pPr>
      <w:r>
        <w:rPr>
          <w:lang w:eastAsia="en-GB"/>
        </w:rPr>
        <w:t>The normative reference for this requirement is TS 36.102 [11] subclauses 6.5B.4.</w:t>
      </w:r>
    </w:p>
    <w:p>
      <w:pPr>
        <w:pStyle w:val="9"/>
        <w:rPr>
          <w:lang w:eastAsia="en-GB"/>
        </w:rPr>
      </w:pPr>
      <w:bookmarkStart w:id="626" w:name="_Hlk141109615"/>
      <w:r>
        <w:rPr>
          <w:lang w:eastAsia="en-GB"/>
        </w:rPr>
        <w:t>6.5B.4</w:t>
      </w:r>
      <w:bookmarkEnd w:id="626"/>
      <w:r>
        <w:rPr>
          <w:lang w:eastAsia="en-GB"/>
        </w:rPr>
        <w:t>.2.4</w:t>
      </w:r>
      <w:r>
        <w:rPr>
          <w:lang w:eastAsia="en-GB"/>
        </w:rPr>
        <w:tab/>
      </w:r>
      <w:r>
        <w:rPr>
          <w:lang w:eastAsia="en-GB"/>
        </w:rPr>
        <w:t>Test description</w:t>
      </w:r>
    </w:p>
    <w:p>
      <w:pPr>
        <w:keepNext/>
        <w:keepLines/>
        <w:spacing w:before="120"/>
        <w:ind w:left="1985" w:hanging="1985"/>
        <w:rPr>
          <w:rFonts w:ascii="Arial" w:hAnsi="Arial"/>
          <w:lang w:eastAsia="en-GB"/>
        </w:rPr>
      </w:pPr>
      <w:r>
        <w:rPr>
          <w:rFonts w:ascii="Arial" w:hAnsi="Arial"/>
          <w:lang w:eastAsia="en-GB"/>
        </w:rPr>
        <w:t>6.5B.4.2.4.1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6.5B.4.2.4.1-1.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6.5B.4.2.4.1-1: Test Configuration Table</w:t>
      </w:r>
      <w:r>
        <w:rPr>
          <w:rFonts w:ascii="Arial" w:hAnsi="Arial"/>
          <w:b/>
        </w:rPr>
        <w:t xml:space="preserve"> for FDD </w:t>
      </w:r>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2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b/>
                <w:sz w:val="18"/>
              </w:rPr>
            </w:pPr>
            <w:r>
              <w:rPr>
                <w:rFonts w:ascii="Arial" w:hAnsi="Arial"/>
                <w:sz w:val="18"/>
              </w:rPr>
              <w:t>TS 36.508[12] subclause 8.1.1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rPr>
                <w:rFonts w:ascii="Arial" w:hAnsi="Arial"/>
                <w:b/>
                <w:sz w:val="18"/>
              </w:rPr>
            </w:pPr>
            <w:r>
              <w:rPr>
                <w:rFonts w:ascii="Arial" w:hAnsi="Arial"/>
                <w:sz w:val="18"/>
              </w:rPr>
              <w:t>TS 36.508[12] subclause 8.1.3.1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b/>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w:t>
            </w:r>
            <w:r>
              <w:rPr>
                <w:rFonts w:ascii="Arial" w:hAnsi="Arial"/>
                <w:b/>
                <w:sz w:val="18"/>
                <w:vertAlign w:val="subscript"/>
              </w:rPr>
              <w:t>tones</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p>
        </w:tc>
        <w:tc>
          <w:tcPr>
            <w:tcW w:w="2365" w:type="dxa"/>
            <w:vMerge w:val="restart"/>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1@47</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1@11</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keepNext/>
              <w:keepLines/>
              <w:spacing w:after="0"/>
              <w:jc w:val="center"/>
              <w:rPr>
                <w:rFonts w:ascii="Arial" w:hAnsi="Arial"/>
                <w:sz w:val="18"/>
                <w:lang w:eastAsia="en-GB"/>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244"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ind w:left="568" w:hanging="284"/>
        <w:rPr>
          <w:lang w:eastAsia="en-GB"/>
        </w:rPr>
      </w:pPr>
      <w:r>
        <w:rPr>
          <w:lang w:eastAsia="en-GB"/>
        </w:rPr>
        <w:t>1.</w:t>
      </w:r>
      <w:r>
        <w:rPr>
          <w:lang w:eastAsia="en-GB"/>
        </w:rPr>
        <w:tab/>
      </w:r>
      <w:r>
        <w:rPr>
          <w:lang w:eastAsia="en-GB"/>
        </w:rPr>
        <w:t>Connect the SS to the UE antenna connectors as shown in TS 36.508[12] Annex A Figure A.7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8.1.4.3.</w:t>
      </w:r>
    </w:p>
    <w:p>
      <w:pPr>
        <w:ind w:left="568" w:hanging="284"/>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ind w:left="568" w:hanging="284"/>
        <w:rPr>
          <w:lang w:eastAsia="en-GB"/>
        </w:rPr>
      </w:pPr>
      <w:r>
        <w:rPr>
          <w:lang w:eastAsia="en-GB"/>
        </w:rPr>
        <w:t>4.</w:t>
      </w:r>
      <w:r>
        <w:rPr>
          <w:lang w:eastAsia="en-GB"/>
        </w:rPr>
        <w:tab/>
      </w:r>
      <w:r>
        <w:rPr>
          <w:lang w:eastAsia="en-GB"/>
        </w:rPr>
        <w:t>The UL Reference Measurement channels are set according to Table 6.5B.4.2.4.1-1.</w:t>
      </w:r>
    </w:p>
    <w:p>
      <w:pPr>
        <w:ind w:left="568" w:hanging="284"/>
        <w:rPr>
          <w:lang w:eastAsia="en-GB"/>
        </w:rPr>
      </w:pPr>
      <w:r>
        <w:rPr>
          <w:lang w:eastAsia="en-GB"/>
        </w:rPr>
        <w:t>5.</w:t>
      </w:r>
      <w:r>
        <w:rPr>
          <w:lang w:eastAsia="en-GB"/>
        </w:rPr>
        <w:tab/>
      </w:r>
      <w:r>
        <w:rPr>
          <w:lang w:eastAsia="en-GB"/>
        </w:rPr>
        <w:t>Ensure the UE is in State 2A-NB with CP CIoT Optimisation according to TS 36.508 [12] clause 8.1.5. Message contents are defined in clause 6.5B.4.2.4.3.</w:t>
      </w:r>
    </w:p>
    <w:p>
      <w:pPr>
        <w:keepNext/>
        <w:keepLines/>
        <w:spacing w:before="120"/>
        <w:ind w:left="1985" w:hanging="1985"/>
        <w:rPr>
          <w:rFonts w:ascii="Arial" w:hAnsi="Arial"/>
          <w:snapToGrid w:val="0"/>
          <w:lang w:eastAsia="en-GB"/>
        </w:rPr>
      </w:pPr>
      <w:bookmarkStart w:id="627" w:name="_Hlk141110242"/>
      <w:bookmarkStart w:id="628" w:name="_Hlk124435417"/>
      <w:r>
        <w:rPr>
          <w:rFonts w:ascii="Arial" w:hAnsi="Arial"/>
          <w:lang w:eastAsia="en-GB"/>
        </w:rPr>
        <w:t>6.5B.4.2</w:t>
      </w:r>
      <w:bookmarkEnd w:id="627"/>
      <w:r>
        <w:rPr>
          <w:rFonts w:ascii="Arial" w:hAnsi="Arial"/>
          <w:lang w:eastAsia="en-GB"/>
        </w:rPr>
        <w:t>.4.2</w:t>
      </w:r>
      <w:bookmarkEnd w:id="628"/>
      <w:r>
        <w:rPr>
          <w:rFonts w:ascii="Arial" w:hAnsi="Arial"/>
          <w:lang w:eastAsia="en-GB"/>
        </w:rPr>
        <w:tab/>
      </w:r>
      <w:r>
        <w:rPr>
          <w:rFonts w:ascii="Arial" w:hAnsi="Arial"/>
          <w:snapToGrid w:val="0"/>
          <w:lang w:eastAsia="en-GB"/>
        </w:rPr>
        <w:t>Test procedure</w:t>
      </w:r>
    </w:p>
    <w:p>
      <w:pPr>
        <w:ind w:left="568" w:hanging="284"/>
        <w:rPr>
          <w:lang w:eastAsia="en-GB"/>
        </w:rPr>
      </w:pPr>
      <w:r>
        <w:rPr>
          <w:lang w:eastAsia="en-GB"/>
        </w:rPr>
        <w:t>1.</w:t>
      </w:r>
      <w:r>
        <w:rPr>
          <w:lang w:eastAsia="en-GB"/>
        </w:rPr>
        <w:tab/>
      </w:r>
      <w:r>
        <w:rPr>
          <w:lang w:eastAsia="en-GB"/>
        </w:rPr>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pPr>
        <w:tabs>
          <w:tab w:val="left" w:pos="2127"/>
        </w:tabs>
        <w:ind w:left="568" w:hanging="284"/>
        <w:rPr>
          <w:lang w:eastAsia="en-GB"/>
        </w:rPr>
      </w:pPr>
      <w:r>
        <w:rPr>
          <w:lang w:eastAsia="en-GB"/>
        </w:rPr>
        <w:t>2.</w:t>
      </w:r>
      <w:r>
        <w:rPr>
          <w:lang w:eastAsia="en-GB"/>
        </w:rPr>
        <w:tab/>
      </w:r>
      <w:r>
        <w:rPr>
          <w:lang w:eastAsia="en-GB"/>
        </w:rPr>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w:t>
      </w:r>
      <w:r>
        <w:rPr>
          <w:lang w:eastAsia="ko-KR"/>
        </w:rPr>
        <w:t>The sweep time shall be set larger than (symbol length)*(number of points in sweep) to improve the measurement accuracy</w:t>
      </w:r>
      <w:r>
        <w:rPr>
          <w:lang w:eastAsia="en-GB"/>
        </w:rPr>
        <w:t xml:space="preserve">. The measurement period shall capture the active </w:t>
      </w:r>
      <w:r>
        <w:rPr>
          <w:rFonts w:eastAsia="MS Mincho"/>
          <w:lang w:eastAsia="en-GB"/>
        </w:rPr>
        <w:t>time slot</w:t>
      </w:r>
      <w:r>
        <w:rPr>
          <w:lang w:eastAsia="en-GB"/>
        </w:rPr>
        <w:t xml:space="preserve">s. During measurement the spectrum analyser shall be set to 'Detector' = RMS. </w:t>
      </w:r>
    </w:p>
    <w:p>
      <w:pPr>
        <w:keepLines/>
        <w:ind w:left="1135" w:hanging="851"/>
        <w:rPr>
          <w:lang w:eastAsia="en-GB"/>
        </w:rPr>
      </w:pPr>
      <w:r>
        <w:rPr>
          <w:lang w:eastAsia="en-GB"/>
        </w:rPr>
        <w:t>NOTE 1:</w:t>
      </w:r>
      <w:r>
        <w:rPr>
          <w:lang w:eastAsia="en-GB"/>
        </w:rPr>
        <w:tab/>
      </w:r>
      <w:r>
        <w:rPr>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snapToGrid w:val="0"/>
          <w:lang w:eastAsia="en-GB"/>
        </w:rPr>
      </w:pPr>
      <w:r>
        <w:rPr>
          <w:rFonts w:ascii="Arial" w:hAnsi="Arial"/>
          <w:lang w:eastAsia="en-GB"/>
        </w:rPr>
        <w:t>6.5B.4.2.4.3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lang w:eastAsia="en-GB"/>
        </w:rPr>
      </w:pPr>
      <w:r>
        <w:rPr>
          <w:snapToGrid w:val="0"/>
          <w:lang w:eastAsia="en-GB"/>
        </w:rPr>
        <w:t>6.5B.4.2.5</w:t>
      </w:r>
      <w:r>
        <w:rPr>
          <w:snapToGrid w:val="0"/>
          <w:lang w:eastAsia="en-GB"/>
        </w:rPr>
        <w:tab/>
      </w:r>
      <w:r>
        <w:rPr>
          <w:lang w:eastAsia="en-GB"/>
        </w:rPr>
        <w:t>Test requirement</w:t>
      </w:r>
    </w:p>
    <w:p>
      <w:pPr>
        <w:rPr>
          <w:rFonts w:eastAsia="MS Mincho"/>
          <w:lang w:eastAsia="en-GB"/>
        </w:rPr>
      </w:pPr>
      <w:r>
        <w:rPr>
          <w:lang w:eastAsia="en-GB"/>
        </w:rPr>
        <w:t xml:space="preserve">This clause specifies the requirements for the specified E-UTRA band for Transmitter Spurious emissions requirement with </w:t>
      </w:r>
      <w:r>
        <w:rPr>
          <w:rFonts w:eastAsia="MS Mincho"/>
          <w:lang w:eastAsia="en-GB"/>
        </w:rPr>
        <w:t>f</w:t>
      </w:r>
      <w:r>
        <w:rPr>
          <w:lang w:eastAsia="en-GB"/>
        </w:rPr>
        <w:t xml:space="preserve">requency </w:t>
      </w:r>
      <w:r>
        <w:rPr>
          <w:rFonts w:eastAsia="MS Mincho"/>
          <w:lang w:eastAsia="en-GB"/>
        </w:rPr>
        <w:t>r</w:t>
      </w:r>
      <w:r>
        <w:rPr>
          <w:lang w:eastAsia="en-GB"/>
        </w:rPr>
        <w:t xml:space="preserve">ange as indicated </w:t>
      </w:r>
      <w:r>
        <w:rPr>
          <w:rFonts w:eastAsia="MS Mincho"/>
          <w:lang w:eastAsia="en-GB"/>
        </w:rPr>
        <w:t>in table</w:t>
      </w:r>
      <w:r>
        <w:rPr>
          <w:lang w:eastAsia="en-GB"/>
        </w:rPr>
        <w:t xml:space="preserve"> 6.5B.4.2.5-1</w:t>
      </w:r>
      <w:r>
        <w:rPr>
          <w:rFonts w:eastAsia="MS Mincho"/>
          <w:lang w:eastAsia="en-GB"/>
        </w:rPr>
        <w:t>.</w:t>
      </w:r>
    </w:p>
    <w:p>
      <w:pPr>
        <w:rPr>
          <w:lang w:eastAsia="en-GB"/>
        </w:rPr>
      </w:pPr>
      <w:r>
        <w:rPr>
          <w:lang w:eastAsia="en-GB"/>
        </w:rPr>
        <w:t xml:space="preserve">The measured average power of spurious emission, derived in step </w:t>
      </w:r>
      <w:r>
        <w:rPr>
          <w:rFonts w:eastAsia="MS Mincho"/>
          <w:lang w:eastAsia="en-GB"/>
        </w:rPr>
        <w:t>3</w:t>
      </w:r>
      <w:r>
        <w:rPr>
          <w:lang w:eastAsia="en-GB"/>
        </w:rPr>
        <w:t>, shall not exceed the described value in Table 6.5B.4.2.5-1.</w:t>
      </w:r>
    </w:p>
    <w:p>
      <w:pPr>
        <w:rPr>
          <w:rFonts w:eastAsia="MS Mincho"/>
          <w:lang w:eastAsia="en-GB"/>
        </w:rPr>
      </w:pPr>
      <w:r>
        <w:rPr>
          <w:rFonts w:cs="v5.0.0"/>
          <w:snapToGrid w:val="0"/>
          <w:lang w:eastAsia="en-GB"/>
        </w:rPr>
        <w:t xml:space="preserve">The spurious emission limits apply for the frequency ranges that are more than </w:t>
      </w:r>
      <w:r>
        <w:rPr>
          <w:lang w:eastAsia="en-GB"/>
        </w:rPr>
        <w:t>Δf</w:t>
      </w:r>
      <w:r>
        <w:rPr>
          <w:vertAlign w:val="subscript"/>
          <w:lang w:eastAsia="en-GB"/>
        </w:rPr>
        <w:t>OOB</w:t>
      </w:r>
      <w:r>
        <w:rPr>
          <w:lang w:eastAsia="en-GB"/>
        </w:rPr>
        <w:t xml:space="preserve"> (MHz) from the edge of the channel bandwidth.</w:t>
      </w:r>
    </w:p>
    <w:p>
      <w:pPr>
        <w:keepLines/>
        <w:ind w:left="1135" w:hanging="851"/>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b/>
          <w:lang w:eastAsia="en-GB"/>
        </w:rPr>
      </w:pPr>
      <w:r>
        <w:rPr>
          <w:rFonts w:ascii="Arial" w:hAnsi="Arial"/>
          <w:b/>
          <w:lang w:eastAsia="en-GB"/>
        </w:rPr>
        <w:t>Table 6.5B.4.2.5-1: General spurious emissions test requirements</w:t>
      </w:r>
    </w:p>
    <w:tbl>
      <w:tblPr>
        <w:tblStyle w:val="89"/>
        <w:tblW w:w="0" w:type="auto"/>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5"/>
        <w:gridCol w:w="2009"/>
        <w:gridCol w:w="2318"/>
        <w:gridCol w:w="13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b/>
                <w:sz w:val="18"/>
              </w:rPr>
            </w:pPr>
            <w:r>
              <w:rPr>
                <w:rFonts w:ascii="Arial" w:hAnsi="Arial"/>
                <w:b/>
                <w:sz w:val="18"/>
              </w:rPr>
              <w:t>Frequency Range</w:t>
            </w:r>
          </w:p>
        </w:tc>
        <w:tc>
          <w:tcPr>
            <w:tcW w:w="2009" w:type="dxa"/>
          </w:tcPr>
          <w:p>
            <w:pPr>
              <w:keepNext/>
              <w:keepLines/>
              <w:spacing w:after="0"/>
              <w:jc w:val="center"/>
              <w:rPr>
                <w:rFonts w:ascii="Arial" w:hAnsi="Arial"/>
                <w:b/>
                <w:sz w:val="18"/>
              </w:rPr>
            </w:pPr>
            <w:r>
              <w:rPr>
                <w:rFonts w:ascii="Arial" w:hAnsi="Arial"/>
                <w:b/>
                <w:sz w:val="18"/>
              </w:rPr>
              <w:t>Maximum</w:t>
            </w:r>
            <w:r>
              <w:rPr>
                <w:rFonts w:ascii="Arial" w:hAnsi="Arial"/>
                <w:b/>
                <w:sz w:val="18"/>
              </w:rPr>
              <w:br w:type="textWrapping"/>
            </w:r>
            <w:r>
              <w:rPr>
                <w:rFonts w:ascii="Arial" w:hAnsi="Arial"/>
                <w:b/>
                <w:sz w:val="18"/>
              </w:rPr>
              <w:t>Level</w:t>
            </w:r>
          </w:p>
        </w:tc>
        <w:tc>
          <w:tcPr>
            <w:tcW w:w="2318" w:type="dxa"/>
          </w:tcPr>
          <w:p>
            <w:pPr>
              <w:keepNext/>
              <w:keepLines/>
              <w:spacing w:after="0"/>
              <w:jc w:val="center"/>
              <w:rPr>
                <w:rFonts w:ascii="Arial" w:hAnsi="Arial"/>
                <w:b/>
                <w:sz w:val="18"/>
              </w:rPr>
            </w:pPr>
            <w:r>
              <w:rPr>
                <w:rFonts w:ascii="Arial" w:hAnsi="Arial"/>
                <w:b/>
                <w:sz w:val="18"/>
              </w:rPr>
              <w:t>Measurement</w:t>
            </w:r>
            <w:r>
              <w:rPr>
                <w:rFonts w:ascii="Arial" w:hAnsi="Arial"/>
                <w:b/>
                <w:sz w:val="18"/>
              </w:rPr>
              <w:br w:type="textWrapping"/>
            </w:r>
            <w:r>
              <w:rPr>
                <w:rFonts w:ascii="Arial" w:hAnsi="Arial"/>
                <w:b/>
                <w:sz w:val="18"/>
              </w:rPr>
              <w:t>Bandwidth</w:t>
            </w:r>
          </w:p>
        </w:tc>
        <w:tc>
          <w:tcPr>
            <w:tcW w:w="1314" w:type="dxa"/>
          </w:tcPr>
          <w:p>
            <w:pPr>
              <w:keepNext/>
              <w:keepLines/>
              <w:spacing w:after="0"/>
              <w:jc w:val="center"/>
              <w:rPr>
                <w:rFonts w:ascii="Arial" w:hAnsi="Arial"/>
                <w:b/>
                <w:sz w:val="18"/>
              </w:rPr>
            </w:pPr>
            <w:r>
              <w:rPr>
                <w:rFonts w:ascii="Arial" w:hAnsi="Arial"/>
                <w:b/>
                <w:sz w:val="18"/>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sz w:val="18"/>
              </w:rPr>
            </w:pPr>
            <w:r>
              <w:rPr>
                <w:rFonts w:ascii="Arial" w:hAnsi="Arial"/>
                <w:sz w:val="18"/>
              </w:rPr>
              <w:t xml:space="preserve">9 kHz </w:t>
            </w:r>
            <w:r>
              <w:rPr>
                <w:rFonts w:ascii="Arial" w:hAnsi="Arial"/>
                <w:sz w:val="18"/>
              </w:rPr>
              <w:sym w:font="Symbol" w:char="F0A3"/>
            </w:r>
            <w:r>
              <w:rPr>
                <w:rFonts w:ascii="Arial" w:hAnsi="Arial"/>
                <w:sz w:val="18"/>
              </w:rPr>
              <w:t xml:space="preserve"> f &lt; 150 kHz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sz w:val="18"/>
              </w:rPr>
            </w:pPr>
            <w:r>
              <w:rPr>
                <w:rFonts w:ascii="Arial" w:hAnsi="Arial"/>
                <w:sz w:val="18"/>
              </w:rPr>
              <w:t xml:space="preserve">150 kHz </w:t>
            </w:r>
            <w:r>
              <w:rPr>
                <w:rFonts w:ascii="Arial" w:hAnsi="Arial"/>
                <w:sz w:val="18"/>
              </w:rPr>
              <w:sym w:font="Symbol" w:char="F0A3"/>
            </w:r>
            <w:r>
              <w:rPr>
                <w:rFonts w:ascii="Arial" w:hAnsi="Arial"/>
                <w:sz w:val="18"/>
              </w:rPr>
              <w:t xml:space="preserve"> f &lt; 30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 xml:space="preserve">10 kHz </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sz w:val="18"/>
              </w:rPr>
            </w:pPr>
            <w:r>
              <w:rPr>
                <w:rFonts w:ascii="Arial" w:hAnsi="Arial"/>
                <w:sz w:val="18"/>
              </w:rPr>
              <w:t xml:space="preserve">30 MHz </w:t>
            </w:r>
            <w:r>
              <w:rPr>
                <w:rFonts w:ascii="Arial" w:hAnsi="Arial"/>
                <w:sz w:val="18"/>
              </w:rPr>
              <w:sym w:font="Symbol" w:char="F0A3"/>
            </w:r>
            <w:r>
              <w:rPr>
                <w:rFonts w:ascii="Arial" w:hAnsi="Arial"/>
                <w:sz w:val="18"/>
              </w:rPr>
              <w:t xml:space="preserve"> f &lt; 1000 MHz</w:t>
            </w:r>
          </w:p>
        </w:tc>
        <w:tc>
          <w:tcPr>
            <w:tcW w:w="2009" w:type="dxa"/>
          </w:tcPr>
          <w:p>
            <w:pPr>
              <w:keepNext/>
              <w:keepLines/>
              <w:spacing w:after="0"/>
              <w:jc w:val="center"/>
              <w:rPr>
                <w:rFonts w:ascii="Arial" w:hAnsi="Arial"/>
                <w:sz w:val="18"/>
              </w:rPr>
            </w:pPr>
            <w:r>
              <w:rPr>
                <w:rFonts w:ascii="Arial" w:hAnsi="Arial"/>
                <w:sz w:val="18"/>
              </w:rPr>
              <w:t>-36 dBm</w:t>
            </w:r>
          </w:p>
        </w:tc>
        <w:tc>
          <w:tcPr>
            <w:tcW w:w="2318" w:type="dxa"/>
          </w:tcPr>
          <w:p>
            <w:pPr>
              <w:keepNext/>
              <w:keepLines/>
              <w:spacing w:after="0"/>
              <w:jc w:val="center"/>
              <w:rPr>
                <w:rFonts w:ascii="Arial" w:hAnsi="Arial"/>
                <w:sz w:val="18"/>
              </w:rPr>
            </w:pPr>
            <w:r>
              <w:rPr>
                <w:rFonts w:ascii="Arial" w:hAnsi="Arial"/>
                <w:sz w:val="18"/>
              </w:rPr>
              <w:t>100 kHz</w:t>
            </w:r>
          </w:p>
        </w:tc>
        <w:tc>
          <w:tcPr>
            <w:tcW w:w="1314" w:type="dxa"/>
          </w:tcPr>
          <w:p>
            <w:pPr>
              <w:keepNext/>
              <w:keepLines/>
              <w:spacing w:after="0"/>
              <w:jc w:val="center"/>
              <w:rPr>
                <w:rFonts w:ascii="Arial" w:hAnsi="Arial"/>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5" w:type="dxa"/>
          </w:tcPr>
          <w:p>
            <w:pPr>
              <w:keepNext/>
              <w:keepLines/>
              <w:spacing w:after="0"/>
              <w:jc w:val="center"/>
              <w:rPr>
                <w:rFonts w:ascii="Arial" w:hAnsi="Arial"/>
                <w:sz w:val="18"/>
              </w:rPr>
            </w:pPr>
            <w:r>
              <w:rPr>
                <w:rFonts w:ascii="Arial" w:hAnsi="Arial"/>
                <w:sz w:val="18"/>
              </w:rPr>
              <w:t xml:space="preserve">1 GHz </w:t>
            </w:r>
            <w:r>
              <w:rPr>
                <w:rFonts w:ascii="Arial" w:hAnsi="Arial"/>
                <w:sz w:val="18"/>
              </w:rPr>
              <w:sym w:font="Symbol" w:char="F0A3"/>
            </w:r>
            <w:r>
              <w:rPr>
                <w:rFonts w:ascii="Arial" w:hAnsi="Arial"/>
                <w:sz w:val="18"/>
              </w:rPr>
              <w:t xml:space="preserve"> f &lt; 12.75 GHz</w:t>
            </w:r>
          </w:p>
        </w:tc>
        <w:tc>
          <w:tcPr>
            <w:tcW w:w="2009" w:type="dxa"/>
          </w:tcPr>
          <w:p>
            <w:pPr>
              <w:keepNext/>
              <w:keepLines/>
              <w:spacing w:after="0"/>
              <w:jc w:val="center"/>
              <w:rPr>
                <w:rFonts w:ascii="Arial" w:hAnsi="Arial"/>
                <w:sz w:val="18"/>
              </w:rPr>
            </w:pPr>
            <w:r>
              <w:rPr>
                <w:rFonts w:ascii="Arial" w:hAnsi="Arial"/>
                <w:sz w:val="18"/>
              </w:rPr>
              <w:t>-30 dBm</w:t>
            </w:r>
          </w:p>
        </w:tc>
        <w:tc>
          <w:tcPr>
            <w:tcW w:w="2318" w:type="dxa"/>
          </w:tcPr>
          <w:p>
            <w:pPr>
              <w:keepNext/>
              <w:keepLines/>
              <w:spacing w:after="0"/>
              <w:jc w:val="center"/>
              <w:rPr>
                <w:rFonts w:ascii="Arial" w:hAnsi="Arial"/>
                <w:sz w:val="18"/>
              </w:rPr>
            </w:pPr>
            <w:r>
              <w:rPr>
                <w:rFonts w:ascii="Arial" w:hAnsi="Arial"/>
                <w:sz w:val="18"/>
              </w:rPr>
              <w:t>1 MHz</w:t>
            </w:r>
          </w:p>
        </w:tc>
        <w:tc>
          <w:tcPr>
            <w:tcW w:w="1314" w:type="dxa"/>
          </w:tcPr>
          <w:p>
            <w:pPr>
              <w:keepNext/>
              <w:keepLines/>
              <w:spacing w:after="0"/>
              <w:jc w:val="center"/>
              <w:rPr>
                <w:rFonts w:ascii="Arial" w:hAnsi="Arial"/>
                <w:sz w:val="18"/>
              </w:rPr>
            </w:pPr>
          </w:p>
        </w:tc>
      </w:tr>
    </w:tbl>
    <w:p>
      <w:pPr>
        <w:rPr>
          <w:rFonts w:cs="v5.0.0"/>
        </w:rPr>
      </w:pPr>
    </w:p>
    <w:p>
      <w:pPr>
        <w:pStyle w:val="6"/>
      </w:pPr>
      <w:bookmarkStart w:id="629" w:name="_Toc121162872"/>
      <w:bookmarkStart w:id="630" w:name="_Toc120570080"/>
      <w:bookmarkStart w:id="631" w:name="_Toc21900"/>
      <w:bookmarkStart w:id="632" w:name="_Toc4471"/>
      <w:bookmarkStart w:id="633" w:name="_Toc9935"/>
      <w:r>
        <w:t>6.5B.</w:t>
      </w:r>
      <w:r>
        <w:rPr>
          <w:rFonts w:eastAsia="宋体"/>
          <w:lang w:val="en-US" w:eastAsia="zh-CN"/>
        </w:rPr>
        <w:t>4</w:t>
      </w:r>
      <w:r>
        <w:t>.</w:t>
      </w:r>
      <w:r>
        <w:rPr>
          <w:rFonts w:eastAsia="宋体"/>
          <w:lang w:val="en-US" w:eastAsia="zh-CN"/>
        </w:rPr>
        <w:t>3</w:t>
      </w:r>
      <w:r>
        <w:tab/>
      </w:r>
      <w:r>
        <w:t>Spurious emission band UE co-existence</w:t>
      </w:r>
      <w:bookmarkEnd w:id="629"/>
      <w:bookmarkEnd w:id="630"/>
      <w:bookmarkEnd w:id="631"/>
      <w:bookmarkEnd w:id="632"/>
      <w:bookmarkEnd w:id="633"/>
    </w:p>
    <w:p>
      <w:pPr>
        <w:keepLines/>
        <w:ind w:left="1135" w:hanging="851"/>
        <w:rPr>
          <w:i/>
          <w:color w:val="FF0000"/>
        </w:rPr>
      </w:pPr>
      <w:r>
        <w:rPr>
          <w:i/>
          <w:color w:val="FF0000"/>
        </w:rPr>
        <w:t>Editor’s Note: This clause is incomplete. The following aspects are either missing or not yet determined:</w:t>
      </w:r>
    </w:p>
    <w:p>
      <w:pPr>
        <w:keepLines/>
        <w:ind w:left="1135" w:hanging="851"/>
        <w:rPr>
          <w:i/>
          <w:color w:val="FF0000"/>
        </w:rPr>
      </w:pPr>
      <w:r>
        <w:rPr>
          <w:i/>
          <w:color w:val="FF0000"/>
        </w:rPr>
        <w:t>- Addition to applicability spec is pending</w:t>
      </w:r>
    </w:p>
    <w:p>
      <w:pPr>
        <w:keepLines/>
        <w:ind w:left="1135" w:hanging="851"/>
        <w:rPr>
          <w:i/>
          <w:color w:val="FF0000"/>
        </w:rPr>
      </w:pPr>
      <w:r>
        <w:rPr>
          <w:i/>
          <w:color w:val="FF0000"/>
        </w:rPr>
        <w:t>- Initial condition and call setup procedure to support satellite access are TBD</w:t>
      </w:r>
    </w:p>
    <w:p>
      <w:pPr>
        <w:keepLines/>
        <w:ind w:left="1135" w:hanging="851"/>
        <w:rPr>
          <w:i/>
          <w:color w:val="FF0000"/>
        </w:rPr>
      </w:pPr>
      <w:r>
        <w:rPr>
          <w:i/>
          <w:color w:val="FF0000"/>
        </w:rPr>
        <w:t>- Message exceptions specific to satellite access is TBD</w:t>
      </w:r>
    </w:p>
    <w:p>
      <w:pPr>
        <w:keepLines/>
        <w:ind w:left="1135" w:hanging="851"/>
        <w:rPr>
          <w:i/>
          <w:color w:val="FF0000"/>
        </w:rPr>
      </w:pPr>
      <w:r>
        <w:rPr>
          <w:i/>
          <w:color w:val="FF0000"/>
        </w:rPr>
        <w:t>- Test Points analysis is TBD</w:t>
      </w:r>
    </w:p>
    <w:p>
      <w:pPr>
        <w:keepLines/>
        <w:ind w:left="1135" w:hanging="851"/>
        <w:rPr>
          <w:i/>
          <w:color w:val="FF0000"/>
        </w:rPr>
      </w:pPr>
      <w:r>
        <w:rPr>
          <w:i/>
          <w:color w:val="FF0000"/>
        </w:rPr>
        <w:t>- Test configuration is TBD</w:t>
      </w:r>
    </w:p>
    <w:p>
      <w:pPr>
        <w:keepLines/>
        <w:ind w:left="1135" w:hanging="851"/>
        <w:rPr>
          <w:rFonts w:eastAsia="PMingLiU"/>
          <w:i/>
          <w:color w:val="FF0000"/>
          <w:lang w:eastAsia="zh-TW"/>
        </w:rPr>
      </w:pPr>
      <w:r>
        <w:rPr>
          <w:i/>
          <w:color w:val="FF0000"/>
        </w:rPr>
        <w:t>- Annex F MU/TT is TBD</w:t>
      </w:r>
    </w:p>
    <w:p>
      <w:pPr>
        <w:keepNext/>
        <w:keepLines/>
        <w:spacing w:before="120"/>
        <w:ind w:left="1985" w:hanging="1985"/>
        <w:rPr>
          <w:rFonts w:ascii="Arial" w:hAnsi="Arial" w:eastAsia="MS Mincho"/>
          <w:lang w:eastAsia="en-GB"/>
        </w:rPr>
      </w:pPr>
      <w:r>
        <w:rPr>
          <w:rFonts w:ascii="Arial" w:hAnsi="Arial" w:eastAsia="MS Mincho"/>
          <w:lang w:eastAsia="en-GB"/>
        </w:rPr>
        <w:t>6.5B.4.3.1</w:t>
      </w:r>
      <w:r>
        <w:rPr>
          <w:rFonts w:ascii="Arial" w:hAnsi="Arial" w:eastAsia="MS Mincho"/>
          <w:lang w:eastAsia="en-GB"/>
        </w:rPr>
        <w:tab/>
      </w:r>
      <w:r>
        <w:rPr>
          <w:rFonts w:ascii="Arial" w:hAnsi="Arial" w:eastAsia="MS Mincho"/>
          <w:lang w:eastAsia="en-GB"/>
        </w:rPr>
        <w:t>Test purpose</w:t>
      </w:r>
    </w:p>
    <w:p>
      <w:pPr>
        <w:rPr>
          <w:rFonts w:eastAsia="MS Mincho"/>
          <w:lang w:eastAsia="en-GB"/>
        </w:rPr>
      </w:pPr>
      <w:r>
        <w:rPr>
          <w:lang w:eastAsia="en-GB"/>
        </w:rPr>
        <w:t>To verify that UE transmitter does not cause unacceptable interference to co-existing systems for the specified bands which has specific requirements in terms of transmitter spurious emissions.</w:t>
      </w:r>
    </w:p>
    <w:p>
      <w:pPr>
        <w:keepNext/>
        <w:keepLines/>
        <w:spacing w:before="120"/>
        <w:ind w:left="1985" w:hanging="1985"/>
        <w:rPr>
          <w:rFonts w:ascii="Arial" w:hAnsi="Arial" w:eastAsia="MS Mincho"/>
          <w:lang w:eastAsia="en-GB"/>
        </w:rPr>
      </w:pPr>
      <w:r>
        <w:rPr>
          <w:rFonts w:ascii="Arial" w:hAnsi="Arial" w:eastAsia="MS Mincho"/>
          <w:lang w:eastAsia="en-GB"/>
        </w:rPr>
        <w:t>6.5B.4.3.2</w:t>
      </w:r>
      <w:r>
        <w:rPr>
          <w:rFonts w:ascii="Arial" w:hAnsi="Arial" w:eastAsia="MS Mincho"/>
          <w:lang w:eastAsia="en-GB"/>
        </w:rPr>
        <w:tab/>
      </w:r>
      <w:r>
        <w:rPr>
          <w:rFonts w:ascii="Arial" w:hAnsi="Arial" w:eastAsia="MS Mincho"/>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eastAsia="MS Mincho"/>
          <w:lang w:eastAsia="en-GB"/>
        </w:rPr>
      </w:pPr>
      <w:r>
        <w:rPr>
          <w:rFonts w:ascii="Arial" w:hAnsi="Arial" w:eastAsia="MS Mincho"/>
          <w:lang w:eastAsia="en-GB"/>
        </w:rPr>
        <w:t>6.5B.4.3.3</w:t>
      </w:r>
      <w:r>
        <w:rPr>
          <w:rFonts w:ascii="Arial" w:hAnsi="Arial" w:eastAsia="MS Mincho"/>
          <w:lang w:eastAsia="en-GB"/>
        </w:rPr>
        <w:tab/>
      </w:r>
      <w:r>
        <w:rPr>
          <w:rFonts w:ascii="Arial" w:hAnsi="Arial" w:eastAsia="MS Mincho"/>
          <w:lang w:eastAsia="en-GB"/>
        </w:rPr>
        <w:t>Minimum conformance requirements</w:t>
      </w:r>
    </w:p>
    <w:p>
      <w:pPr>
        <w:rPr>
          <w:lang w:eastAsia="en-GB"/>
        </w:rPr>
      </w:pPr>
      <w:r>
        <w:rPr>
          <w:lang w:eastAsia="en-GB"/>
        </w:rPr>
        <w:t xml:space="preserve">This clause specifies the requirements for </w:t>
      </w:r>
      <w:r>
        <w:rPr>
          <w:lang w:val="en-US"/>
        </w:rPr>
        <w:t>E-UTRA</w:t>
      </w:r>
      <w:r>
        <w:rPr>
          <w:lang w:eastAsia="en-GB"/>
        </w:rPr>
        <w:t xml:space="preserve"> satellite bands for UE coexistence with protected bands.</w:t>
      </w:r>
    </w:p>
    <w:p>
      <w:pPr>
        <w:keepLines/>
        <w:ind w:left="1135" w:hanging="851"/>
        <w:rPr>
          <w:lang w:eastAsia="en-GB"/>
        </w:rPr>
      </w:pPr>
      <w:r>
        <w:rPr>
          <w:lang w:eastAsia="en-GB"/>
        </w:rPr>
        <w:t>NOTE:</w:t>
      </w:r>
      <w:r>
        <w:rPr>
          <w:lang w:eastAsia="en-GB"/>
        </w:rPr>
        <w:tab/>
      </w:r>
      <w:r>
        <w:rPr>
          <w:lang w:eastAsia="en-GB"/>
        </w:rP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60"/>
        <w:jc w:val="center"/>
        <w:rPr>
          <w:rFonts w:ascii="Arial" w:hAnsi="Arial"/>
          <w:b/>
          <w:lang w:eastAsia="en-GB"/>
        </w:rPr>
      </w:pPr>
      <w:r>
        <w:rPr>
          <w:rFonts w:ascii="Arial" w:hAnsi="Arial"/>
          <w:b/>
          <w:lang w:eastAsia="en-GB"/>
        </w:rPr>
        <w:t>Table 6.5B.4.3.3-1: Spurious emission band UE co-existence limits</w:t>
      </w:r>
    </w:p>
    <w:tbl>
      <w:tblPr>
        <w:tblStyle w:val="89"/>
        <w:tblW w:w="894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59"/>
        <w:gridCol w:w="3164"/>
        <w:gridCol w:w="772"/>
        <w:gridCol w:w="362"/>
        <w:gridCol w:w="772"/>
        <w:gridCol w:w="1133"/>
        <w:gridCol w:w="850"/>
        <w:gridCol w:w="928"/>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70" w:hRule="atLeast"/>
          <w:jc w:val="center"/>
        </w:trPr>
        <w:tc>
          <w:tcPr>
            <w:tcW w:w="960" w:type="dxa"/>
            <w:vMerge w:val="restart"/>
            <w:tcBorders>
              <w:top w:val="single" w:color="auto" w:sz="4" w:space="0"/>
              <w:left w:val="single" w:color="auto" w:sz="4" w:space="0"/>
              <w:bottom w:val="single" w:color="auto" w:sz="6" w:space="0"/>
              <w:right w:val="single" w:color="auto" w:sz="6" w:space="0"/>
            </w:tcBorders>
            <w:vAlign w:val="center"/>
          </w:tcPr>
          <w:p>
            <w:pPr>
              <w:keepNext/>
              <w:keepLines/>
              <w:spacing w:after="0"/>
              <w:jc w:val="center"/>
              <w:rPr>
                <w:rFonts w:ascii="Arial" w:hAnsi="Arial" w:cs="Arial"/>
                <w:b/>
                <w:sz w:val="18"/>
                <w:lang w:eastAsia="en-GB"/>
              </w:rPr>
            </w:pPr>
            <w:r>
              <w:rPr>
                <w:rFonts w:ascii="Arial" w:hAnsi="Arial" w:cs="Arial"/>
                <w:b/>
                <w:sz w:val="18"/>
                <w:lang w:eastAsia="en-GB"/>
              </w:rPr>
              <w:t>E-UTRA Band</w:t>
            </w:r>
          </w:p>
        </w:tc>
        <w:tc>
          <w:tcPr>
            <w:tcW w:w="7986" w:type="dxa"/>
            <w:gridSpan w:val="7"/>
            <w:tcBorders>
              <w:top w:val="single" w:color="auto" w:sz="4" w:space="0"/>
              <w:left w:val="single" w:color="auto" w:sz="6" w:space="0"/>
              <w:bottom w:val="single" w:color="auto" w:sz="6" w:space="0"/>
              <w:right w:val="single" w:color="auto" w:sz="4" w:space="0"/>
            </w:tcBorders>
          </w:tcPr>
          <w:p>
            <w:pPr>
              <w:keepNext/>
              <w:keepLines/>
              <w:spacing w:after="0"/>
              <w:jc w:val="center"/>
              <w:rPr>
                <w:rFonts w:ascii="Arial" w:hAnsi="Arial" w:cs="Arial"/>
                <w:b/>
                <w:sz w:val="18"/>
                <w:lang w:eastAsia="en-GB"/>
              </w:rPr>
            </w:pPr>
            <w:r>
              <w:rPr>
                <w:rFonts w:ascii="Arial" w:hAnsi="Arial" w:cs="Arial"/>
                <w:b/>
                <w:sz w:val="18"/>
                <w:lang w:eastAsia="en-GB"/>
              </w:rPr>
              <w:t xml:space="preserve">Spurious emission </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450" w:hRule="atLeast"/>
          <w:jc w:val="center"/>
        </w:trPr>
        <w:tc>
          <w:tcPr>
            <w:tcW w:w="8946" w:type="dxa"/>
            <w:vMerge w:val="continue"/>
            <w:tcBorders>
              <w:top w:val="single" w:color="auto" w:sz="4" w:space="0"/>
              <w:left w:val="single" w:color="auto" w:sz="4" w:space="0"/>
              <w:bottom w:val="single" w:color="auto" w:sz="6" w:space="0"/>
              <w:right w:val="single" w:color="auto" w:sz="6" w:space="0"/>
            </w:tcBorders>
            <w:vAlign w:val="center"/>
          </w:tcPr>
          <w:p>
            <w:pPr>
              <w:spacing w:after="0"/>
              <w:rPr>
                <w:rFonts w:ascii="Arial" w:hAnsi="Arial" w:cs="Arial"/>
                <w:b/>
                <w:sz w:val="18"/>
                <w:lang w:eastAsia="en-GB"/>
              </w:rPr>
            </w:pPr>
          </w:p>
        </w:tc>
        <w:tc>
          <w:tcPr>
            <w:tcW w:w="3166"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Protected band</w:t>
            </w:r>
          </w:p>
        </w:tc>
        <w:tc>
          <w:tcPr>
            <w:tcW w:w="1906" w:type="dxa"/>
            <w:gridSpan w:val="3"/>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Frequency range (MHz)</w:t>
            </w:r>
          </w:p>
        </w:tc>
        <w:tc>
          <w:tcPr>
            <w:tcW w:w="1134"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Maximum Level (dBm)</w:t>
            </w:r>
          </w:p>
        </w:tc>
        <w:tc>
          <w:tcPr>
            <w:tcW w:w="851" w:type="dxa"/>
            <w:tcBorders>
              <w:top w:val="single" w:color="auto" w:sz="6" w:space="0"/>
              <w:left w:val="single" w:color="auto" w:sz="6" w:space="0"/>
              <w:bottom w:val="single" w:color="auto" w:sz="6" w:space="0"/>
              <w:right w:val="single" w:color="auto" w:sz="6" w:space="0"/>
            </w:tcBorders>
          </w:tcPr>
          <w:p>
            <w:pPr>
              <w:keepNext/>
              <w:keepLines/>
              <w:spacing w:after="0"/>
              <w:jc w:val="center"/>
              <w:rPr>
                <w:rFonts w:ascii="Arial" w:hAnsi="Arial" w:cs="Arial"/>
                <w:b/>
                <w:sz w:val="18"/>
                <w:lang w:eastAsia="en-GB"/>
              </w:rPr>
            </w:pPr>
            <w:r>
              <w:rPr>
                <w:rFonts w:ascii="Arial" w:hAnsi="Arial" w:cs="Arial"/>
                <w:b/>
                <w:sz w:val="18"/>
                <w:lang w:eastAsia="en-GB"/>
              </w:rPr>
              <w:t>MBW (MHz)</w:t>
            </w:r>
          </w:p>
        </w:tc>
        <w:tc>
          <w:tcPr>
            <w:tcW w:w="929" w:type="dxa"/>
            <w:tcBorders>
              <w:top w:val="single" w:color="auto" w:sz="6" w:space="0"/>
              <w:left w:val="single" w:color="auto" w:sz="6" w:space="0"/>
              <w:bottom w:val="single" w:color="auto" w:sz="6" w:space="0"/>
              <w:right w:val="single" w:color="auto" w:sz="4" w:space="0"/>
            </w:tcBorders>
            <w:noWrap/>
          </w:tcPr>
          <w:p>
            <w:pPr>
              <w:keepNext/>
              <w:keepLines/>
              <w:spacing w:after="0"/>
              <w:jc w:val="center"/>
              <w:rPr>
                <w:rFonts w:ascii="Arial" w:hAnsi="Arial" w:cs="Arial"/>
                <w:b/>
                <w:sz w:val="18"/>
                <w:lang w:eastAsia="en-GB"/>
              </w:rPr>
            </w:pPr>
            <w:r>
              <w:rPr>
                <w:rFonts w:ascii="Arial" w:hAnsi="Arial" w:cs="Arial"/>
                <w:b/>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rFonts w:ascii="Arial" w:hAnsi="Arial" w:cs="Arial"/>
                <w:sz w:val="16"/>
                <w:szCs w:val="16"/>
                <w:lang w:val="en-US"/>
              </w:rPr>
            </w:pPr>
            <w:r>
              <w:rPr>
                <w:rFonts w:ascii="Arial" w:hAnsi="Arial" w:cs="Arial"/>
                <w:sz w:val="16"/>
                <w:szCs w:val="16"/>
                <w:lang w:val="en-US"/>
              </w:rPr>
              <w:t>255</w:t>
            </w: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ja-JP"/>
              </w:rPr>
            </w:pPr>
            <w:r>
              <w:rPr>
                <w:rFonts w:ascii="Arial" w:hAnsi="Arial" w:cs="Arial"/>
                <w:sz w:val="16"/>
                <w:szCs w:val="16"/>
                <w:lang w:eastAsia="en-GB"/>
              </w:rPr>
              <w:t xml:space="preserve">E-UTRA Band 2, 4, 5, 12, 13, 14, 17, 24, 25, 26, 29, 30, 41, </w:t>
            </w:r>
            <w:r>
              <w:rPr>
                <w:rFonts w:ascii="Arial" w:hAnsi="Arial" w:cs="Arial"/>
                <w:sz w:val="16"/>
                <w:szCs w:val="16"/>
                <w:lang w:eastAsia="ja-JP"/>
              </w:rPr>
              <w:t xml:space="preserve">48, </w:t>
            </w:r>
            <w:r>
              <w:rPr>
                <w:rFonts w:ascii="Arial" w:hAnsi="Arial" w:cs="Arial"/>
                <w:sz w:val="16"/>
                <w:szCs w:val="16"/>
                <w:lang w:eastAsia="en-GB"/>
              </w:rPr>
              <w:t>66, 70</w:t>
            </w:r>
            <w:r>
              <w:rPr>
                <w:rFonts w:ascii="Arial" w:hAnsi="Arial" w:cs="Arial"/>
                <w:sz w:val="16"/>
                <w:szCs w:val="16"/>
              </w:rPr>
              <w:t>, 71, 85</w:t>
            </w:r>
            <w:r>
              <w:rPr>
                <w:rFonts w:ascii="Arial" w:hAnsi="Arial" w:cs="Arial"/>
                <w:sz w:val="16"/>
                <w:szCs w:val="16"/>
                <w:lang w:eastAsia="ja-JP"/>
              </w:rPr>
              <w:t>, 103</w:t>
            </w:r>
          </w:p>
          <w:p>
            <w:pPr>
              <w:keepNext/>
              <w:keepLines/>
              <w:spacing w:after="0"/>
              <w:rPr>
                <w:rFonts w:ascii="Arial" w:hAnsi="Arial" w:cs="Arial"/>
                <w:sz w:val="16"/>
                <w:szCs w:val="16"/>
                <w:lang w:eastAsia="en-GB"/>
              </w:rPr>
            </w:pPr>
            <w:r>
              <w:rPr>
                <w:rFonts w:ascii="Arial" w:hAnsi="Arial" w:cs="Arial"/>
                <w:sz w:val="16"/>
                <w:szCs w:val="16"/>
                <w:lang w:val="sv-FI" w:eastAsia="en-GB"/>
              </w:rPr>
              <w:t>NR Band n1, n3, n7, n8, n18, n20, n28, n34, n38, n39, n40, n50, n51, n53, n65, n67, n74, n75, n76, n90, n91, n92, n93, n94</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5"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val="sv-FI" w:eastAsia="en-GB"/>
              </w:rPr>
              <w:t>NR Band n77, n78, n79</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960" w:type="dxa"/>
            <w:vMerge w:val="restart"/>
            <w:tcBorders>
              <w:top w:val="single" w:color="auto" w:sz="6" w:space="0"/>
              <w:left w:val="single" w:color="auto" w:sz="4" w:space="0"/>
              <w:bottom w:val="single" w:color="auto" w:sz="6" w:space="0"/>
              <w:right w:val="single" w:color="auto" w:sz="6" w:space="0"/>
            </w:tcBorders>
          </w:tcPr>
          <w:p>
            <w:pPr>
              <w:keepNext/>
              <w:keepLines/>
              <w:spacing w:after="0"/>
              <w:jc w:val="center"/>
              <w:rPr>
                <w:rFonts w:ascii="Arial" w:hAnsi="Arial" w:cs="Arial"/>
                <w:sz w:val="16"/>
                <w:szCs w:val="16"/>
                <w:lang w:val="en-US"/>
              </w:rPr>
            </w:pPr>
            <w:r>
              <w:rPr>
                <w:rFonts w:ascii="Arial" w:hAnsi="Arial" w:cs="Arial"/>
                <w:sz w:val="16"/>
                <w:szCs w:val="16"/>
                <w:lang w:val="en-US"/>
              </w:rPr>
              <w:t>256</w:t>
            </w: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val="sv-FI"/>
              </w:rPr>
            </w:pPr>
            <w:r>
              <w:rPr>
                <w:rFonts w:ascii="Arial" w:hAnsi="Arial" w:cs="Arial"/>
                <w:sz w:val="16"/>
                <w:szCs w:val="16"/>
                <w:lang w:val="sv-FI" w:eastAsia="en-GB"/>
              </w:rPr>
              <w:t xml:space="preserve">E-UTRA Band 1, 3, </w:t>
            </w:r>
            <w:r>
              <w:rPr>
                <w:rFonts w:ascii="Arial" w:hAnsi="Arial" w:cs="Arial"/>
                <w:sz w:val="16"/>
                <w:szCs w:val="16"/>
                <w:lang w:val="en-US"/>
              </w:rPr>
              <w:t>5,</w:t>
            </w:r>
            <w:r>
              <w:rPr>
                <w:rFonts w:ascii="Arial" w:hAnsi="Arial" w:cs="Arial"/>
                <w:sz w:val="16"/>
                <w:szCs w:val="16"/>
                <w:lang w:val="sv-FI" w:eastAsia="en-GB"/>
              </w:rPr>
              <w:t>7, 8,</w:t>
            </w:r>
            <w:r>
              <w:rPr>
                <w:rFonts w:ascii="Arial" w:hAnsi="Arial" w:cs="Arial"/>
                <w:sz w:val="16"/>
                <w:szCs w:val="16"/>
                <w:lang w:val="en-US"/>
              </w:rPr>
              <w:t xml:space="preserve"> 11, 18, 19,</w:t>
            </w:r>
            <w:r>
              <w:rPr>
                <w:rFonts w:ascii="Arial" w:hAnsi="Arial" w:cs="Arial"/>
                <w:sz w:val="16"/>
                <w:szCs w:val="16"/>
                <w:lang w:val="sv-FI" w:eastAsia="en-GB"/>
              </w:rPr>
              <w:t xml:space="preserve"> 20, </w:t>
            </w:r>
            <w:r>
              <w:rPr>
                <w:rFonts w:ascii="Arial" w:hAnsi="Arial" w:cs="Arial"/>
                <w:sz w:val="16"/>
                <w:szCs w:val="16"/>
                <w:lang w:val="en-US"/>
              </w:rPr>
              <w:t xml:space="preserve">21, </w:t>
            </w:r>
            <w:r>
              <w:rPr>
                <w:rFonts w:ascii="Arial" w:hAnsi="Arial" w:cs="Arial"/>
                <w:sz w:val="16"/>
                <w:szCs w:val="16"/>
                <w:lang w:val="sv-FI" w:eastAsia="en-GB"/>
              </w:rPr>
              <w:t xml:space="preserve">22, </w:t>
            </w:r>
            <w:r>
              <w:rPr>
                <w:rFonts w:ascii="Arial" w:hAnsi="Arial" w:cs="Arial"/>
                <w:sz w:val="16"/>
                <w:szCs w:val="16"/>
                <w:lang w:val="en-US"/>
              </w:rPr>
              <w:t xml:space="preserve">26, 27, </w:t>
            </w:r>
            <w:r>
              <w:rPr>
                <w:rFonts w:ascii="Arial" w:hAnsi="Arial" w:cs="Arial"/>
                <w:sz w:val="16"/>
                <w:szCs w:val="16"/>
                <w:lang w:val="sv-FI" w:eastAsia="en-GB"/>
              </w:rPr>
              <w:t xml:space="preserve">28, 31, </w:t>
            </w:r>
            <w:r>
              <w:rPr>
                <w:rFonts w:ascii="Arial" w:hAnsi="Arial" w:cs="Arial"/>
                <w:sz w:val="16"/>
                <w:szCs w:val="16"/>
                <w:lang w:val="en-US"/>
              </w:rPr>
              <w:t xml:space="preserve">33, </w:t>
            </w:r>
            <w:r>
              <w:rPr>
                <w:rFonts w:ascii="Arial" w:hAnsi="Arial" w:cs="Arial"/>
                <w:sz w:val="16"/>
                <w:szCs w:val="16"/>
                <w:lang w:val="sv-FI" w:eastAsia="en-GB"/>
              </w:rPr>
              <w:t xml:space="preserve">32, </w:t>
            </w:r>
            <w:r>
              <w:rPr>
                <w:rFonts w:ascii="Arial" w:hAnsi="Arial" w:cs="Arial"/>
                <w:sz w:val="16"/>
                <w:szCs w:val="16"/>
                <w:lang w:val="en-US"/>
              </w:rPr>
              <w:t xml:space="preserve">35, </w:t>
            </w:r>
            <w:r>
              <w:rPr>
                <w:rFonts w:ascii="Arial" w:hAnsi="Arial" w:cs="Arial"/>
                <w:sz w:val="16"/>
                <w:szCs w:val="16"/>
                <w:lang w:val="sv-FI" w:eastAsia="en-GB"/>
              </w:rPr>
              <w:t>38, 40,</w:t>
            </w:r>
            <w:r>
              <w:rPr>
                <w:rFonts w:ascii="Arial" w:hAnsi="Arial" w:cs="Arial"/>
                <w:sz w:val="16"/>
                <w:szCs w:val="16"/>
                <w:lang w:val="en-US"/>
              </w:rPr>
              <w:t xml:space="preserve"> 41,</w:t>
            </w:r>
            <w:r>
              <w:rPr>
                <w:rFonts w:ascii="Arial" w:hAnsi="Arial" w:cs="Arial"/>
                <w:sz w:val="16"/>
                <w:szCs w:val="16"/>
                <w:lang w:val="sv-FI" w:eastAsia="en-GB"/>
              </w:rPr>
              <w:t xml:space="preserve"> 42, 43, 50, 51</w:t>
            </w:r>
            <w:r>
              <w:rPr>
                <w:rFonts w:ascii="Arial" w:hAnsi="Arial" w:cs="Arial"/>
                <w:sz w:val="16"/>
                <w:szCs w:val="16"/>
                <w:lang w:val="en-US"/>
              </w:rPr>
              <w:t xml:space="preserve">, 54, </w:t>
            </w:r>
            <w:r>
              <w:rPr>
                <w:rFonts w:ascii="Arial" w:hAnsi="Arial" w:cs="Arial"/>
                <w:sz w:val="16"/>
                <w:szCs w:val="16"/>
                <w:lang w:val="sv-FI" w:eastAsia="en-GB"/>
              </w:rPr>
              <w:t>65, 68, 69, 72</w:t>
            </w:r>
            <w:r>
              <w:rPr>
                <w:rFonts w:ascii="Arial" w:hAnsi="Arial" w:cs="Arial"/>
                <w:sz w:val="16"/>
                <w:szCs w:val="16"/>
                <w:lang w:val="sv-FI" w:eastAsia="ja-JP"/>
              </w:rPr>
              <w:t>, 74</w:t>
            </w:r>
            <w:r>
              <w:rPr>
                <w:rFonts w:ascii="Arial" w:hAnsi="Arial" w:cs="Arial"/>
                <w:sz w:val="16"/>
                <w:szCs w:val="16"/>
                <w:lang w:val="sv-FI" w:eastAsia="en-GB"/>
              </w:rPr>
              <w:t>, 75, 76</w:t>
            </w:r>
            <w:r>
              <w:rPr>
                <w:rFonts w:ascii="Arial" w:hAnsi="Arial" w:cs="Arial"/>
                <w:sz w:val="16"/>
                <w:szCs w:val="16"/>
                <w:lang w:val="de-DE"/>
              </w:rPr>
              <w:t>, 87, 88</w:t>
            </w:r>
          </w:p>
          <w:p>
            <w:pPr>
              <w:keepNext/>
              <w:keepLines/>
              <w:spacing w:after="0"/>
              <w:rPr>
                <w:rFonts w:ascii="Arial" w:hAnsi="Arial" w:cs="Arial"/>
                <w:sz w:val="16"/>
                <w:szCs w:val="16"/>
                <w:lang w:val="sv-FI" w:eastAsia="en-GB"/>
              </w:rPr>
            </w:pPr>
            <w:r>
              <w:rPr>
                <w:rFonts w:ascii="Arial" w:hAnsi="Arial" w:cs="Arial"/>
                <w:sz w:val="16"/>
                <w:szCs w:val="16"/>
                <w:lang w:val="sv-FI" w:eastAsia="en-GB"/>
              </w:rPr>
              <w:t>NR Band n12, n13, n14, n24, n29, n30,  n39,</w:t>
            </w:r>
            <w:r>
              <w:rPr>
                <w:rFonts w:ascii="Arial" w:hAnsi="Arial" w:cs="Arial"/>
                <w:sz w:val="16"/>
                <w:szCs w:val="16"/>
                <w:lang w:val="en-US"/>
              </w:rPr>
              <w:t xml:space="preserve"> </w:t>
            </w:r>
            <w:r>
              <w:rPr>
                <w:rFonts w:ascii="Arial" w:hAnsi="Arial" w:cs="Arial"/>
                <w:sz w:val="16"/>
                <w:szCs w:val="16"/>
                <w:lang w:val="sv-FI" w:eastAsia="en-GB"/>
              </w:rPr>
              <w:t>n48, n53</w:t>
            </w:r>
            <w:r>
              <w:rPr>
                <w:rFonts w:ascii="Arial" w:hAnsi="Arial" w:cs="Arial"/>
                <w:sz w:val="16"/>
                <w:szCs w:val="16"/>
                <w:lang w:val="en-US"/>
              </w:rPr>
              <w:t>,</w:t>
            </w:r>
            <w:r>
              <w:rPr>
                <w:rFonts w:ascii="Arial" w:hAnsi="Arial" w:cs="Arial"/>
                <w:sz w:val="16"/>
                <w:szCs w:val="16"/>
                <w:lang w:val="sv-FI" w:eastAsia="en-GB"/>
              </w:rPr>
              <w:t xml:space="preserve"> n66, n67, n71, n78, n79, n85, n90, n91, n92, n93, n94, n101</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w:t>
            </w:r>
          </w:p>
        </w:tc>
        <w:tc>
          <w:tcPr>
            <w:tcW w:w="772"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center"/>
          </w:tcPr>
          <w:p>
            <w:pPr>
              <w:keepNext/>
              <w:keepLines/>
              <w:spacing w:after="0"/>
              <w:rPr>
                <w:rFonts w:ascii="Arial" w:hAnsi="Arial" w:cs="Arial"/>
                <w:sz w:val="16"/>
                <w:szCs w:val="16"/>
                <w:lang w:eastAsia="en-GB"/>
              </w:rPr>
            </w:pPr>
            <w:r>
              <w:rPr>
                <w:rFonts w:ascii="Arial" w:hAnsi="Arial" w:cs="Arial"/>
                <w:sz w:val="16"/>
                <w:szCs w:val="16"/>
                <w:lang w:val="sv-FI"/>
              </w:rPr>
              <w:t>NR Band n77</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DL_low</w:t>
            </w:r>
            <w:r>
              <w:rPr>
                <w:rFonts w:ascii="Arial" w:hAnsi="Arial" w:cs="Arial"/>
                <w:sz w:val="16"/>
                <w:szCs w:val="16"/>
                <w:lang w:eastAsia="en-GB"/>
              </w:rPr>
              <w:t xml:space="preserve"> </w:t>
            </w:r>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rFonts w:ascii="Arial" w:hAnsi="Arial" w:cs="Arial"/>
                <w:sz w:val="16"/>
                <w:szCs w:val="16"/>
                <w:lang w:eastAsia="en-GB"/>
              </w:rPr>
            </w:pPr>
            <w:r>
              <w:rPr>
                <w:rFonts w:ascii="Arial" w:hAnsi="Arial" w:cs="Arial"/>
                <w:sz w:val="16"/>
                <w:szCs w:val="16"/>
                <w:lang w:eastAsia="en-GB"/>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en-GB"/>
              </w:rPr>
            </w:pPr>
            <w:r>
              <w:rPr>
                <w:rFonts w:ascii="Arial" w:hAnsi="Arial" w:cs="Arial"/>
                <w:sz w:val="16"/>
                <w:szCs w:val="16"/>
                <w:lang w:eastAsia="en-GB"/>
              </w:rPr>
              <w:t>F</w:t>
            </w:r>
            <w:r>
              <w:rPr>
                <w:rFonts w:ascii="Arial" w:hAnsi="Arial" w:cs="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-50</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1</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en-GB"/>
              </w:rPr>
            </w:pPr>
            <w:r>
              <w:rPr>
                <w:rFonts w:ascii="Arial" w:hAnsi="Arial" w:cs="Arial"/>
                <w:sz w:val="16"/>
                <w:szCs w:val="16"/>
                <w:lang w:eastAsia="en-GB"/>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24" w:hRule="atLeast"/>
          <w:jc w:val="center"/>
        </w:trPr>
        <w:tc>
          <w:tcPr>
            <w:tcW w:w="8946" w:type="dxa"/>
            <w:vMerge w:val="continue"/>
            <w:tcBorders>
              <w:top w:val="single" w:color="auto" w:sz="6" w:space="0"/>
              <w:left w:val="single" w:color="auto" w:sz="4" w:space="0"/>
              <w:bottom w:val="single" w:color="auto" w:sz="6" w:space="0"/>
              <w:right w:val="single" w:color="auto" w:sz="6" w:space="0"/>
            </w:tcBorders>
            <w:vAlign w:val="center"/>
          </w:tcPr>
          <w:p>
            <w:pPr>
              <w:spacing w:after="0"/>
              <w:rPr>
                <w:rFonts w:ascii="Arial" w:hAnsi="Arial" w:cs="Arial"/>
                <w:sz w:val="16"/>
                <w:szCs w:val="16"/>
                <w:lang w:val="en-US"/>
              </w:rPr>
            </w:pPr>
          </w:p>
        </w:tc>
        <w:tc>
          <w:tcPr>
            <w:tcW w:w="3166"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ja-JP"/>
              </w:rPr>
            </w:pPr>
            <w:r>
              <w:rPr>
                <w:rFonts w:ascii="Arial" w:hAnsi="Arial" w:cs="Arial"/>
                <w:sz w:val="16"/>
                <w:szCs w:val="16"/>
                <w:lang w:val="sv-FI" w:eastAsia="en-GB"/>
              </w:rPr>
              <w:t>NR Band n2, n25, n70</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jc w:val="right"/>
              <w:rPr>
                <w:rFonts w:ascii="Arial" w:hAnsi="Arial" w:cs="Arial"/>
                <w:sz w:val="16"/>
                <w:szCs w:val="16"/>
                <w:lang w:eastAsia="en-GB"/>
              </w:rPr>
            </w:pPr>
            <w:r>
              <w:rPr>
                <w:rFonts w:ascii="Arial" w:hAnsi="Arial"/>
                <w:sz w:val="16"/>
                <w:szCs w:val="16"/>
                <w:lang w:eastAsia="en-GB"/>
              </w:rPr>
              <w:t>F</w:t>
            </w:r>
            <w:r>
              <w:rPr>
                <w:rFonts w:ascii="Arial" w:hAnsi="Arial"/>
                <w:sz w:val="16"/>
                <w:szCs w:val="16"/>
                <w:vertAlign w:val="subscript"/>
                <w:lang w:eastAsia="en-GB"/>
              </w:rPr>
              <w:t>DL_low</w:t>
            </w:r>
          </w:p>
        </w:tc>
        <w:tc>
          <w:tcPr>
            <w:tcW w:w="362" w:type="dxa"/>
            <w:tcBorders>
              <w:top w:val="single" w:color="auto" w:sz="6" w:space="0"/>
              <w:left w:val="single" w:color="auto" w:sz="6" w:space="0"/>
              <w:bottom w:val="single" w:color="auto" w:sz="6" w:space="0"/>
              <w:right w:val="single" w:color="auto" w:sz="6" w:space="0"/>
            </w:tcBorders>
            <w:vAlign w:val="bottom"/>
          </w:tcPr>
          <w:p>
            <w:pPr>
              <w:keepNext/>
              <w:keepLines/>
              <w:spacing w:after="0"/>
              <w:jc w:val="center"/>
              <w:rPr>
                <w:rFonts w:ascii="Arial" w:hAnsi="Arial" w:cs="Arial"/>
                <w:sz w:val="16"/>
                <w:szCs w:val="16"/>
                <w:lang w:eastAsia="en-GB"/>
              </w:rPr>
            </w:pPr>
            <w:r>
              <w:rPr>
                <w:rFonts w:ascii="Arial" w:hAnsi="Arial" w:cs="Arial"/>
                <w:sz w:val="16"/>
                <w:szCs w:val="16"/>
                <w:lang w:eastAsia="en-GB"/>
              </w:rPr>
              <w:t xml:space="preserve">- </w:t>
            </w:r>
          </w:p>
        </w:tc>
        <w:tc>
          <w:tcPr>
            <w:tcW w:w="772" w:type="dxa"/>
            <w:tcBorders>
              <w:top w:val="single" w:color="auto" w:sz="6" w:space="0"/>
              <w:left w:val="single" w:color="auto" w:sz="6" w:space="0"/>
              <w:bottom w:val="single" w:color="auto" w:sz="6" w:space="0"/>
              <w:right w:val="single" w:color="auto" w:sz="6" w:space="0"/>
            </w:tcBorders>
            <w:vAlign w:val="bottom"/>
          </w:tcPr>
          <w:p>
            <w:pPr>
              <w:keepNext/>
              <w:keepLines/>
              <w:spacing w:after="0"/>
              <w:rPr>
                <w:rFonts w:ascii="Arial" w:hAnsi="Arial" w:cs="Arial"/>
                <w:sz w:val="16"/>
                <w:szCs w:val="16"/>
                <w:lang w:eastAsia="en-GB"/>
              </w:rPr>
            </w:pPr>
            <w:r>
              <w:rPr>
                <w:rFonts w:ascii="Arial" w:hAnsi="Arial"/>
                <w:sz w:val="16"/>
                <w:szCs w:val="16"/>
                <w:lang w:eastAsia="en-GB"/>
              </w:rPr>
              <w:t>F</w:t>
            </w:r>
            <w:r>
              <w:rPr>
                <w:rFonts w:ascii="Arial" w:hAnsi="Arial"/>
                <w:sz w:val="16"/>
                <w:szCs w:val="16"/>
                <w:vertAlign w:val="subscript"/>
                <w:lang w:eastAsia="en-GB"/>
              </w:rPr>
              <w:t>DL_high</w:t>
            </w:r>
          </w:p>
        </w:tc>
        <w:tc>
          <w:tcPr>
            <w:tcW w:w="1134" w:type="dxa"/>
            <w:tcBorders>
              <w:top w:val="single" w:color="auto" w:sz="6" w:space="0"/>
              <w:left w:val="single" w:color="auto" w:sz="6" w:space="0"/>
              <w:bottom w:val="single" w:color="auto" w:sz="6" w:space="0"/>
              <w:right w:val="single" w:color="auto" w:sz="6" w:space="0"/>
            </w:tcBorders>
            <w:vAlign w:val="center"/>
          </w:tcPr>
          <w:p>
            <w:pPr>
              <w:keepNext/>
              <w:keepLines/>
              <w:spacing w:after="0"/>
              <w:jc w:val="center"/>
              <w:rPr>
                <w:rFonts w:ascii="Arial" w:hAnsi="Arial" w:cs="Arial"/>
                <w:sz w:val="16"/>
                <w:szCs w:val="16"/>
                <w:lang w:eastAsia="en-GB"/>
              </w:rPr>
            </w:pPr>
            <w:r>
              <w:rPr>
                <w:rFonts w:ascii="Arial" w:hAnsi="Arial"/>
                <w:sz w:val="16"/>
                <w:szCs w:val="16"/>
                <w:lang w:eastAsia="en-GB"/>
              </w:rPr>
              <w:t>NA</w:t>
            </w:r>
          </w:p>
        </w:tc>
        <w:tc>
          <w:tcPr>
            <w:tcW w:w="851" w:type="dxa"/>
            <w:tcBorders>
              <w:top w:val="single" w:color="auto" w:sz="6" w:space="0"/>
              <w:left w:val="single" w:color="auto" w:sz="6" w:space="0"/>
              <w:bottom w:val="single" w:color="auto" w:sz="6" w:space="0"/>
              <w:right w:val="single" w:color="auto" w:sz="6" w:space="0"/>
            </w:tcBorders>
            <w:noWrap/>
            <w:vAlign w:val="center"/>
          </w:tcPr>
          <w:p>
            <w:pPr>
              <w:keepNext/>
              <w:keepLines/>
              <w:spacing w:after="0"/>
              <w:jc w:val="center"/>
              <w:rPr>
                <w:rFonts w:ascii="Arial" w:hAnsi="Arial" w:cs="Arial"/>
                <w:sz w:val="16"/>
                <w:szCs w:val="16"/>
                <w:lang w:eastAsia="en-GB"/>
              </w:rPr>
            </w:pPr>
            <w:r>
              <w:rPr>
                <w:rFonts w:ascii="Arial" w:hAnsi="Arial"/>
                <w:sz w:val="16"/>
                <w:szCs w:val="16"/>
                <w:lang w:eastAsia="en-GB"/>
              </w:rPr>
              <w:t>NA</w:t>
            </w:r>
          </w:p>
        </w:tc>
        <w:tc>
          <w:tcPr>
            <w:tcW w:w="929" w:type="dxa"/>
            <w:tcBorders>
              <w:top w:val="single" w:color="auto" w:sz="6" w:space="0"/>
              <w:left w:val="single" w:color="auto" w:sz="6" w:space="0"/>
              <w:bottom w:val="single" w:color="auto" w:sz="6" w:space="0"/>
              <w:right w:val="single" w:color="auto" w:sz="4" w:space="0"/>
            </w:tcBorders>
            <w:noWrap/>
            <w:vAlign w:val="center"/>
          </w:tcPr>
          <w:p>
            <w:pPr>
              <w:keepNext/>
              <w:keepLines/>
              <w:spacing w:after="0"/>
              <w:jc w:val="center"/>
              <w:rPr>
                <w:rFonts w:ascii="Arial" w:hAnsi="Arial" w:cs="Arial"/>
                <w:sz w:val="16"/>
                <w:szCs w:val="16"/>
                <w:lang w:eastAsia="ja-JP"/>
              </w:rPr>
            </w:pPr>
            <w:r>
              <w:rPr>
                <w:rFonts w:ascii="Arial" w:hAnsi="Arial"/>
                <w:sz w:val="16"/>
                <w:szCs w:val="16"/>
                <w:lang w:eastAsia="en-GB"/>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2112" w:hRule="atLeast"/>
          <w:jc w:val="center"/>
        </w:trPr>
        <w:tc>
          <w:tcPr>
            <w:tcW w:w="8946" w:type="dxa"/>
            <w:gridSpan w:val="8"/>
            <w:tcBorders>
              <w:top w:val="single" w:color="auto" w:sz="6" w:space="0"/>
              <w:left w:val="single" w:color="auto" w:sz="4" w:space="0"/>
              <w:bottom w:val="single" w:color="auto" w:sz="4" w:space="0"/>
              <w:right w:val="single" w:color="auto" w:sz="4" w:space="0"/>
            </w:tcBorders>
            <w:vAlign w:val="bottom"/>
          </w:tcPr>
          <w:p>
            <w:pPr>
              <w:keepNext/>
              <w:keepLines/>
              <w:spacing w:after="0"/>
              <w:ind w:left="851" w:hanging="851"/>
              <w:rPr>
                <w:rFonts w:ascii="Arial" w:hAnsi="Arial"/>
                <w:sz w:val="18"/>
                <w:lang w:eastAsia="en-GB"/>
              </w:rPr>
            </w:pPr>
            <w:r>
              <w:rPr>
                <w:rFonts w:ascii="Arial" w:hAnsi="Arial"/>
                <w:sz w:val="18"/>
                <w:lang w:eastAsia="en-GB"/>
              </w:rPr>
              <w:t>NOTE 1:</w:t>
            </w:r>
            <w:r>
              <w:rPr>
                <w:rFonts w:ascii="Arial" w:hAnsi="Arial"/>
                <w:sz w:val="18"/>
                <w:lang w:eastAsia="en-GB"/>
              </w:rPr>
              <w:tab/>
            </w:r>
            <w:r>
              <w:rPr>
                <w:rFonts w:ascii="Arial" w:hAnsi="Arial"/>
                <w:sz w:val="18"/>
                <w:lang w:eastAsia="en-GB"/>
              </w:rPr>
              <w:t>F</w:t>
            </w:r>
            <w:r>
              <w:rPr>
                <w:rFonts w:ascii="Arial" w:hAnsi="Arial"/>
                <w:sz w:val="18"/>
                <w:vertAlign w:val="subscript"/>
                <w:lang w:eastAsia="en-GB"/>
              </w:rPr>
              <w:t>DL_low</w:t>
            </w:r>
            <w:r>
              <w:rPr>
                <w:rFonts w:ascii="Arial" w:hAnsi="Arial"/>
                <w:sz w:val="18"/>
                <w:lang w:eastAsia="en-GB"/>
              </w:rPr>
              <w:t xml:space="preserve"> and F</w:t>
            </w:r>
            <w:r>
              <w:rPr>
                <w:rFonts w:ascii="Arial" w:hAnsi="Arial"/>
                <w:sz w:val="18"/>
                <w:vertAlign w:val="subscript"/>
                <w:lang w:eastAsia="en-GB"/>
              </w:rPr>
              <w:t>DL_high</w:t>
            </w:r>
            <w:r>
              <w:rPr>
                <w:rFonts w:ascii="Arial" w:hAnsi="Arial"/>
                <w:sz w:val="18"/>
                <w:lang w:eastAsia="en-GB"/>
              </w:rPr>
              <w:t xml:space="preserve"> refer to each E-UTRA frequency band specified in Table 5.4A.2-1</w:t>
            </w:r>
          </w:p>
          <w:p>
            <w:pPr>
              <w:keepNext/>
              <w:keepLines/>
              <w:spacing w:after="0"/>
              <w:ind w:left="851" w:hanging="851"/>
              <w:rPr>
                <w:rFonts w:ascii="Arial" w:hAnsi="Arial"/>
                <w:sz w:val="18"/>
                <w:lang w:eastAsia="en-GB"/>
              </w:rPr>
            </w:pPr>
            <w:r>
              <w:rPr>
                <w:rFonts w:ascii="Arial" w:hAnsi="Arial"/>
                <w:sz w:val="18"/>
                <w:lang w:eastAsia="en-GB"/>
              </w:rPr>
              <w:t>NOTE 2:</w:t>
            </w:r>
            <w:r>
              <w:rPr>
                <w:rFonts w:ascii="Arial" w:hAnsi="Arial"/>
                <w:sz w:val="18"/>
                <w:lang w:eastAsia="en-GB"/>
              </w:rPr>
              <w:tab/>
            </w:r>
            <w:r>
              <w:rPr>
                <w:rFonts w:ascii="Arial" w:hAnsi="Arial"/>
                <w:sz w:val="18"/>
                <w:lang w:eastAsia="en-GB"/>
              </w:rPr>
              <w:t>As exceptions, measurements with a level up to the applicable requirements defined in Table 6.5A.4.2-2 are permitted for each assigned E-UTRA carrier used in the measurement due to 2</w:t>
            </w:r>
            <w:r>
              <w:rPr>
                <w:rFonts w:ascii="Arial" w:hAnsi="Arial"/>
                <w:sz w:val="18"/>
                <w:vertAlign w:val="superscript"/>
                <w:lang w:eastAsia="en-GB"/>
              </w:rPr>
              <w:t>nd</w:t>
            </w:r>
            <w:r>
              <w:rPr>
                <w:rFonts w:ascii="Arial" w:hAnsi="Arial"/>
                <w:sz w:val="18"/>
                <w:lang w:eastAsia="en-GB"/>
              </w:rPr>
              <w:t>, 3</w:t>
            </w:r>
            <w:r>
              <w:rPr>
                <w:rFonts w:ascii="Arial" w:hAnsi="Arial"/>
                <w:sz w:val="18"/>
                <w:vertAlign w:val="superscript"/>
                <w:lang w:eastAsia="en-GB"/>
              </w:rPr>
              <w:t>rd</w:t>
            </w:r>
            <w:r>
              <w:rPr>
                <w:rFonts w:ascii="Arial" w:hAnsi="Arial"/>
                <w:sz w:val="18"/>
                <w:lang w:eastAsia="en-GB"/>
              </w:rPr>
              <w:t>, 4</w:t>
            </w:r>
            <w:r>
              <w:rPr>
                <w:rFonts w:ascii="Arial" w:hAnsi="Arial"/>
                <w:sz w:val="18"/>
                <w:vertAlign w:val="superscript"/>
                <w:lang w:eastAsia="en-GB"/>
              </w:rPr>
              <w:t>th</w:t>
            </w:r>
            <w:r>
              <w:rPr>
                <w:rFonts w:ascii="Arial" w:hAnsi="Arial"/>
                <w:sz w:val="18"/>
                <w:lang w:eastAsia="en-GB"/>
              </w:rPr>
              <w:t xml:space="preserve"> [or 5</w:t>
            </w:r>
            <w:r>
              <w:rPr>
                <w:rFonts w:ascii="Arial" w:hAnsi="Arial"/>
                <w:sz w:val="18"/>
                <w:vertAlign w:val="superscript"/>
                <w:lang w:eastAsia="en-GB"/>
              </w:rPr>
              <w:t>th</w:t>
            </w:r>
            <w:r>
              <w:rPr>
                <w:rFonts w:ascii="Arial" w:hAnsi="Arial"/>
                <w:sz w:val="18"/>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rFonts w:ascii="Arial" w:hAnsi="Arial"/>
                <w:sz w:val="18"/>
                <w:vertAlign w:val="subscript"/>
                <w:lang w:eastAsia="en-GB"/>
              </w:rPr>
              <w:t>CRB</w:t>
            </w:r>
            <w:r>
              <w:rPr>
                <w:rFonts w:ascii="Arial" w:hAnsi="Arial"/>
                <w:sz w:val="18"/>
                <w:lang w:eastAsia="en-GB"/>
              </w:rPr>
              <w:t xml:space="preserve"> x 180kHz), where N is 2, 3, 4, [5] for the 2</w:t>
            </w:r>
            <w:r>
              <w:rPr>
                <w:rFonts w:ascii="Arial" w:hAnsi="Arial"/>
                <w:sz w:val="18"/>
                <w:vertAlign w:val="superscript"/>
                <w:lang w:eastAsia="en-GB"/>
              </w:rPr>
              <w:t>nd</w:t>
            </w:r>
            <w:r>
              <w:rPr>
                <w:rFonts w:ascii="Arial" w:hAnsi="Arial"/>
                <w:sz w:val="18"/>
                <w:lang w:eastAsia="en-GB"/>
              </w:rPr>
              <w:t>, 3</w:t>
            </w:r>
            <w:r>
              <w:rPr>
                <w:rFonts w:ascii="Arial" w:hAnsi="Arial"/>
                <w:sz w:val="18"/>
                <w:vertAlign w:val="superscript"/>
                <w:lang w:eastAsia="en-GB"/>
              </w:rPr>
              <w:t>rd</w:t>
            </w:r>
            <w:r>
              <w:rPr>
                <w:rFonts w:ascii="Arial" w:hAnsi="Arial"/>
                <w:sz w:val="18"/>
                <w:lang w:eastAsia="en-GB"/>
              </w:rPr>
              <w:t>, 4</w:t>
            </w:r>
            <w:r>
              <w:rPr>
                <w:rFonts w:ascii="Arial" w:hAnsi="Arial"/>
                <w:sz w:val="18"/>
                <w:vertAlign w:val="superscript"/>
                <w:lang w:eastAsia="en-GB"/>
              </w:rPr>
              <w:t>th</w:t>
            </w:r>
            <w:r>
              <w:rPr>
                <w:rFonts w:ascii="Arial" w:hAnsi="Arial"/>
                <w:sz w:val="18"/>
                <w:lang w:eastAsia="en-GB"/>
              </w:rPr>
              <w:t xml:space="preserve"> [or 5</w:t>
            </w:r>
            <w:r>
              <w:rPr>
                <w:rFonts w:ascii="Arial" w:hAnsi="Arial"/>
                <w:sz w:val="18"/>
                <w:vertAlign w:val="superscript"/>
                <w:lang w:eastAsia="en-GB"/>
              </w:rPr>
              <w:t>th</w:t>
            </w:r>
            <w:r>
              <w:rPr>
                <w:rFonts w:ascii="Arial" w:hAnsi="Arial"/>
                <w:sz w:val="18"/>
                <w:lang w:eastAsia="en-GB"/>
              </w:rPr>
              <w:t>] harmonic respectively. The exception is allowed if the measurement bandwidth (MBW) totally or partially overlaps the overall exception interval.</w:t>
            </w:r>
          </w:p>
          <w:p>
            <w:pPr>
              <w:keepNext/>
              <w:keepLines/>
              <w:spacing w:after="0"/>
              <w:ind w:left="851" w:hanging="851"/>
              <w:rPr>
                <w:rFonts w:ascii="Arial" w:hAnsi="Arial"/>
                <w:sz w:val="18"/>
                <w:lang w:eastAsia="en-GB"/>
              </w:rPr>
            </w:pPr>
            <w:r>
              <w:rPr>
                <w:rFonts w:ascii="Arial" w:hAnsi="Arial"/>
                <w:sz w:val="18"/>
                <w:lang w:eastAsia="en-GB"/>
              </w:rPr>
              <w:t>NOTE 3:</w:t>
            </w:r>
            <w:r>
              <w:rPr>
                <w:rFonts w:ascii="Arial" w:hAnsi="Arial"/>
                <w:sz w:val="18"/>
                <w:lang w:eastAsia="en-GB"/>
              </w:rPr>
              <w:tab/>
            </w:r>
            <w:r>
              <w:rPr>
                <w:rFonts w:ascii="Arial" w:hAnsi="Arial"/>
                <w:sz w:val="18"/>
                <w:lang w:eastAsia="en-GB"/>
              </w:rPr>
              <w:t>The co-existence between 256 and band 2, 25 and 70 is subject to regional/national regulation.</w:t>
            </w:r>
          </w:p>
        </w:tc>
      </w:tr>
    </w:tbl>
    <w:p>
      <w:pPr>
        <w:rPr>
          <w:lang w:eastAsia="en-GB"/>
        </w:rPr>
      </w:pPr>
    </w:p>
    <w:p>
      <w:pPr>
        <w:keepLines/>
        <w:ind w:left="1135" w:hanging="851"/>
        <w:rPr>
          <w:lang w:eastAsia="en-GB"/>
        </w:rPr>
      </w:pPr>
      <w:r>
        <w:rPr>
          <w:lang w:eastAsia="en-GB"/>
        </w:rPr>
        <w:t>NOTE:</w:t>
      </w:r>
      <w:r>
        <w:rPr>
          <w:lang w:eastAsia="en-GB"/>
        </w:rPr>
        <w:tab/>
      </w:r>
      <w:r>
        <w:rPr>
          <w:lang w:eastAsia="en-GB"/>
        </w:rPr>
        <w:t>To simplify Table 6.5B.4.3.3-1, E-UTRA band numbers are listed for bands which are specified only for E-UTRA operation or both E-UTRA and NR operation. NR band numbers are listed for bands which are specified only for NR operation.</w:t>
      </w:r>
    </w:p>
    <w:p>
      <w:pPr>
        <w:rPr>
          <w:lang w:eastAsia="en-GB"/>
        </w:rPr>
      </w:pPr>
      <w:r>
        <w:rPr>
          <w:lang w:eastAsia="en-GB"/>
        </w:rPr>
        <w:t>The normative reference for this requirement is TS 36.102 [11] subclause 6.5B.4.3.</w:t>
      </w:r>
    </w:p>
    <w:p>
      <w:pPr>
        <w:pStyle w:val="9"/>
        <w:rPr>
          <w:rFonts w:eastAsia="MS Mincho"/>
          <w:lang w:eastAsia="en-GB"/>
        </w:rPr>
      </w:pPr>
      <w:r>
        <w:rPr>
          <w:rFonts w:eastAsia="MS Mincho"/>
          <w:lang w:eastAsia="en-GB"/>
        </w:rPr>
        <w:t>6.5B.4.3.4</w:t>
      </w:r>
      <w:r>
        <w:rPr>
          <w:rFonts w:eastAsia="MS Mincho"/>
          <w:lang w:eastAsia="en-GB"/>
        </w:rPr>
        <w:tab/>
      </w:r>
      <w:r>
        <w:rPr>
          <w:rFonts w:eastAsia="MS Mincho"/>
          <w:lang w:eastAsia="en-GB"/>
        </w:rPr>
        <w:t>Test description</w:t>
      </w:r>
    </w:p>
    <w:p>
      <w:pPr>
        <w:keepNext/>
        <w:keepLines/>
        <w:spacing w:before="120"/>
        <w:ind w:left="1985" w:hanging="1985"/>
        <w:rPr>
          <w:rFonts w:ascii="Arial" w:hAnsi="Arial" w:eastAsia="MS Mincho"/>
          <w:lang w:eastAsia="en-GB"/>
        </w:rPr>
      </w:pPr>
      <w:r>
        <w:rPr>
          <w:rFonts w:ascii="Arial" w:hAnsi="Arial"/>
          <w:lang w:eastAsia="en-GB"/>
        </w:rPr>
        <w:t>6.5B.4.3.4.1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pPr>
        <w:keepNext/>
        <w:keepLines/>
        <w:spacing w:before="60"/>
        <w:jc w:val="center"/>
        <w:rPr>
          <w:rFonts w:ascii="Arial" w:hAnsi="Arial"/>
          <w:b/>
          <w:lang w:eastAsia="en-GB"/>
        </w:rPr>
      </w:pPr>
      <w:r>
        <w:rPr>
          <w:rFonts w:ascii="Arial" w:hAnsi="Arial"/>
          <w:b/>
          <w:lang w:eastAsia="en-GB"/>
        </w:rPr>
        <w:t>Table 6.5B.4.3.4.1-1: Test Configuration Table</w:t>
      </w:r>
      <w:r>
        <w:rPr>
          <w:rFonts w:ascii="Arial" w:hAnsi="Arial"/>
          <w:b/>
        </w:rPr>
        <w:t xml:space="preserve"> for FDD </w:t>
      </w:r>
    </w:p>
    <w:tbl>
      <w:tblPr>
        <w:tblStyle w:val="89"/>
        <w:tblW w:w="7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017"/>
        <w:gridCol w:w="1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MS Mincho"/>
                <w:sz w:val="18"/>
              </w:rPr>
            </w:pPr>
            <w:r>
              <w:rPr>
                <w:rFonts w:ascii="Arial" w:hAnsi="Arial"/>
                <w:sz w:val="18"/>
              </w:rPr>
              <w:t>Test Environment as specified in</w:t>
            </w:r>
          </w:p>
          <w:p>
            <w:pPr>
              <w:keepNext/>
              <w:keepLines/>
              <w:spacing w:after="0"/>
              <w:rPr>
                <w:rFonts w:ascii="Arial" w:hAnsi="Arial"/>
                <w:b/>
                <w:sz w:val="18"/>
                <w:lang w:eastAsia="en-GB"/>
              </w:rPr>
            </w:pPr>
            <w:r>
              <w:rPr>
                <w:rFonts w:ascii="Arial" w:hAnsi="Arial"/>
                <w:sz w:val="18"/>
              </w:rPr>
              <w:t xml:space="preserve">TS 36.508[12] subclause </w:t>
            </w:r>
            <w:r>
              <w:rPr>
                <w:rFonts w:ascii="Arial" w:hAnsi="Arial"/>
                <w:sz w:val="18"/>
                <w:lang w:eastAsia="en-GB"/>
              </w:rPr>
              <w:t>8.1.1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b/>
                <w:sz w:val="18"/>
              </w:rPr>
            </w:pPr>
            <w:r>
              <w:rPr>
                <w:rFonts w:ascii="Arial" w:hAnsi="Arial"/>
                <w:sz w:val="18"/>
              </w:rPr>
              <w:t>NC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eastAsia="MS Mincho"/>
                <w:sz w:val="18"/>
              </w:rPr>
            </w:pPr>
            <w:r>
              <w:rPr>
                <w:rFonts w:ascii="Arial" w:hAnsi="Arial"/>
                <w:bCs/>
                <w:sz w:val="18"/>
              </w:rPr>
              <w:t>Test Frequencies as specified in</w:t>
            </w:r>
          </w:p>
          <w:p>
            <w:pPr>
              <w:keepNext/>
              <w:keepLines/>
              <w:spacing w:after="0"/>
              <w:rPr>
                <w:rFonts w:ascii="Arial" w:hAnsi="Arial"/>
                <w:b/>
                <w:sz w:val="18"/>
                <w:lang w:eastAsia="en-GB"/>
              </w:rPr>
            </w:pPr>
            <w:r>
              <w:rPr>
                <w:rFonts w:ascii="Arial" w:hAnsi="Arial"/>
                <w:sz w:val="18"/>
              </w:rPr>
              <w:t xml:space="preserve">TS 36.508[12] subclause </w:t>
            </w:r>
            <w:r>
              <w:rPr>
                <w:rFonts w:ascii="Arial" w:hAnsi="Arial"/>
                <w:sz w:val="18"/>
                <w:lang w:eastAsia="en-GB"/>
              </w:rPr>
              <w:t>8.1.3.1</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both"/>
              <w:rPr>
                <w:rFonts w:ascii="Arial" w:hAnsi="Arial" w:eastAsia="MS Mincho"/>
                <w:sz w:val="18"/>
                <w:lang w:eastAsia="en-GB"/>
              </w:rPr>
            </w:pPr>
            <w:r>
              <w:rPr>
                <w:rFonts w:ascii="Arial" w:hAnsi="Arial"/>
                <w:sz w:val="18"/>
                <w:lang w:eastAsia="en-GB"/>
              </w:rPr>
              <w:t>Frequency ranges defined in Annex K.1.3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rPr>
              <w:t>Downlink Configuration</w:t>
            </w:r>
          </w:p>
        </w:tc>
        <w:tc>
          <w:tcPr>
            <w:tcW w:w="3730"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vMerge w:val="restar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rPr>
              <w:t>N/A for Spurious Emissions testing</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lang w:eastAsia="en-GB"/>
              </w:rPr>
            </w:pPr>
            <w:r>
              <w:rPr>
                <w:rFonts w:ascii="Arial" w:hAnsi="Arial"/>
                <w:b/>
                <w:sz w:val="18"/>
                <w:lang w:eastAsia="en-GB"/>
              </w:rPr>
              <w:t>Modulation</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N</w:t>
            </w:r>
            <w:r>
              <w:rPr>
                <w:rFonts w:ascii="Arial" w:hAnsi="Arial"/>
                <w:b/>
                <w:sz w:val="18"/>
                <w:vertAlign w:val="subscript"/>
              </w:rPr>
              <w:t>tones</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1@0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lang w:eastAsia="en-GB"/>
              </w:rPr>
            </w:pPr>
            <w:r>
              <w:rPr>
                <w:rFonts w:ascii="Arial" w:hAnsi="Arial"/>
                <w:sz w:val="18"/>
                <w:lang w:eastAsia="en-GB"/>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1@47</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BPSK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1@11</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sz w:val="18"/>
                <w:lang w:eastAsia="en-GB"/>
              </w:rPr>
            </w:pP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017"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0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260"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eastAsia="MS Mincho"/>
                <w:sz w:val="18"/>
                <w:lang w:eastAsia="en-GB"/>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ind w:left="568" w:hanging="284"/>
        <w:rPr>
          <w:lang w:eastAsia="en-GB"/>
        </w:rPr>
      </w:pPr>
      <w:r>
        <w:rPr>
          <w:lang w:eastAsia="en-GB"/>
        </w:rPr>
        <w:t>1.</w:t>
      </w:r>
      <w:r>
        <w:rPr>
          <w:lang w:eastAsia="en-GB"/>
        </w:rPr>
        <w:tab/>
      </w:r>
      <w:r>
        <w:rPr>
          <w:lang w:eastAsia="en-GB"/>
        </w:rPr>
        <w:t>Connect the SS to the UE to the UE antenna connectors as shown in Figure TS 36.508 [12] Annex A, Figure A.7 using only main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8.1.4.3.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H.1.1 and H.4.0.</w:t>
      </w:r>
    </w:p>
    <w:p>
      <w:pPr>
        <w:ind w:left="568" w:hanging="284"/>
        <w:rPr>
          <w:lang w:eastAsia="en-GB"/>
        </w:rPr>
      </w:pPr>
      <w:r>
        <w:rPr>
          <w:lang w:eastAsia="en-GB"/>
        </w:rPr>
        <w:t>4.</w:t>
      </w:r>
      <w:r>
        <w:rPr>
          <w:lang w:eastAsia="en-GB"/>
        </w:rPr>
        <w:tab/>
      </w:r>
      <w:r>
        <w:rPr>
          <w:lang w:eastAsia="en-GB"/>
        </w:rPr>
        <w:t>The UL Reference Measurement channels are set according to Table 6.5B.4.3.4.1-1.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lang w:eastAsia="en-GB"/>
        </w:rPr>
        <w:t>Ensure the UE is in State 2A-NB with CP CIoT Optimisation according to TS 36.508 [12] clause 8.1.5. Message contents are defined in clause 6.5B.4.3.4.3.</w:t>
      </w:r>
    </w:p>
    <w:p>
      <w:pPr>
        <w:keepNext/>
        <w:keepLines/>
        <w:spacing w:before="120"/>
        <w:ind w:left="1985" w:hanging="1985"/>
        <w:rPr>
          <w:rFonts w:ascii="Arial" w:hAnsi="Arial"/>
          <w:snapToGrid w:val="0"/>
          <w:lang w:eastAsia="en-GB"/>
        </w:rPr>
      </w:pPr>
      <w:r>
        <w:rPr>
          <w:rFonts w:ascii="Arial" w:hAnsi="Arial"/>
          <w:lang w:eastAsia="en-GB"/>
        </w:rPr>
        <w:t>6.5B.4.3.4.2</w:t>
      </w:r>
      <w:r>
        <w:rPr>
          <w:rFonts w:ascii="Arial" w:hAnsi="Arial"/>
          <w:lang w:eastAsia="en-GB"/>
        </w:rPr>
        <w:tab/>
      </w:r>
      <w:r>
        <w:rPr>
          <w:rFonts w:ascii="Arial" w:hAnsi="Arial"/>
          <w:snapToGrid w:val="0"/>
          <w:lang w:eastAsia="en-GB"/>
        </w:rPr>
        <w:t>Test procedure</w:t>
      </w:r>
    </w:p>
    <w:p>
      <w:pPr>
        <w:ind w:left="568" w:hanging="284"/>
        <w:rPr>
          <w:lang w:eastAsia="en-GB"/>
        </w:rPr>
      </w:pPr>
      <w:r>
        <w:rPr>
          <w:lang w:eastAsia="en-GB"/>
        </w:rPr>
        <w:t>1.</w:t>
      </w:r>
      <w:r>
        <w:rPr>
          <w:lang w:eastAsia="en-GB"/>
        </w:rPr>
        <w:tab/>
      </w:r>
      <w:r>
        <w:rPr>
          <w:lang w:eastAsia="en-GB"/>
        </w:rPr>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Pr>
          <w:vertAlign w:val="subscript"/>
          <w:lang w:eastAsia="en-GB"/>
        </w:rPr>
        <w:t>UMAX</w:t>
      </w:r>
      <w:r>
        <w:rPr>
          <w:lang w:eastAsia="en-GB"/>
        </w:rPr>
        <w:t xml:space="preserve"> after Initial Conditions setting).</w:t>
      </w:r>
    </w:p>
    <w:p>
      <w:pPr>
        <w:ind w:left="568" w:hanging="284"/>
        <w:rPr>
          <w:lang w:eastAsia="en-GB"/>
        </w:rPr>
      </w:pPr>
      <w:r>
        <w:rPr>
          <w:lang w:eastAsia="en-GB"/>
        </w:rPr>
        <w:t>2.</w:t>
      </w:r>
      <w:r>
        <w:rPr>
          <w:lang w:eastAsia="en-GB"/>
        </w:rPr>
        <w:tab/>
      </w:r>
      <w:r>
        <w:rPr>
          <w:lang w:eastAsia="en-GB"/>
        </w:rPr>
        <w:t xml:space="preserve">Measure the power of the transmitted signal with a measurement filter of bandwidths according to tables </w:t>
      </w:r>
      <w:bookmarkStart w:id="634" w:name="_Hlk140843364"/>
      <w:r>
        <w:rPr>
          <w:lang w:eastAsia="en-GB"/>
        </w:rPr>
        <w:t>6.5B.4.3</w:t>
      </w:r>
      <w:bookmarkEnd w:id="634"/>
      <w:r>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pPr>
        <w:ind w:left="1134" w:hanging="850"/>
        <w:rPr>
          <w:rFonts w:eastAsia="??"/>
          <w:lang w:eastAsia="en-GB"/>
        </w:rPr>
      </w:pPr>
      <w:r>
        <w:rPr>
          <w:rFonts w:eastAsia="??"/>
          <w:lang w:eastAsia="en-GB"/>
        </w:rPr>
        <w:t>NOTE 1:</w:t>
      </w:r>
      <w:r>
        <w:rPr>
          <w:rFonts w:eastAsia="??"/>
          <w:lang w:eastAsia="en-GB"/>
        </w:rPr>
        <w:tab/>
      </w:r>
      <w:r>
        <w:rPr>
          <w:rFonts w:eastAsia="??"/>
          <w:lang w:eastAsia="en-GB"/>
        </w:rPr>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[12] clause 8.1.5 using the appropriate UL subcarrier spacing in Random Access Response message.</w:t>
      </w:r>
    </w:p>
    <w:p>
      <w:pPr>
        <w:keepNext/>
        <w:keepLines/>
        <w:spacing w:before="120"/>
        <w:ind w:left="1985" w:hanging="1985"/>
        <w:rPr>
          <w:rFonts w:ascii="Arial" w:hAnsi="Arial" w:eastAsia="MS Mincho"/>
          <w:snapToGrid w:val="0"/>
          <w:lang w:eastAsia="en-GB"/>
        </w:rPr>
      </w:pPr>
      <w:r>
        <w:rPr>
          <w:rFonts w:ascii="Arial" w:hAnsi="Arial"/>
          <w:lang w:eastAsia="en-GB"/>
        </w:rPr>
        <w:t>6.5B.4.3.4.3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according to TS 36.508 [12] subclause 8.1.6.</w:t>
      </w:r>
    </w:p>
    <w:p>
      <w:pPr>
        <w:pStyle w:val="9"/>
        <w:rPr>
          <w:rFonts w:eastAsia="MS Mincho"/>
          <w:lang w:eastAsia="en-GB"/>
        </w:rPr>
      </w:pPr>
      <w:r>
        <w:rPr>
          <w:rFonts w:eastAsia="MS Mincho"/>
          <w:snapToGrid w:val="0"/>
          <w:lang w:eastAsia="en-GB"/>
        </w:rPr>
        <w:t>6.5B.4.3.5</w:t>
      </w:r>
      <w:r>
        <w:rPr>
          <w:rFonts w:eastAsia="MS Mincho"/>
          <w:snapToGrid w:val="0"/>
          <w:lang w:eastAsia="en-GB"/>
        </w:rPr>
        <w:tab/>
      </w:r>
      <w:r>
        <w:rPr>
          <w:rFonts w:eastAsia="MS Mincho"/>
          <w:lang w:eastAsia="en-GB"/>
        </w:rPr>
        <w:t>Test requirement</w:t>
      </w:r>
    </w:p>
    <w:p>
      <w:pPr>
        <w:rPr>
          <w:rFonts w:eastAsia="MS Mincho"/>
          <w:lang w:eastAsia="en-GB"/>
        </w:rPr>
      </w:pPr>
      <w:r>
        <w:rPr>
          <w:lang w:eastAsia="en-GB"/>
        </w:rPr>
        <w:t>Test requirements for Spurious Emissions UE Co-existence are the same as the minimum requirements and are not repeated in this section.</w:t>
      </w:r>
    </w:p>
    <w:p>
      <w:pPr>
        <w:rPr>
          <w:lang w:eastAsia="en-GB"/>
        </w:rPr>
      </w:pPr>
      <w:r>
        <w:rPr>
          <w:lang w:eastAsia="en-GB"/>
        </w:rPr>
        <w:t>The measured average power of spurious emission, derived in step 2, shall not exceed the described value in tables 6.5B.4.3.3-1.</w:t>
      </w:r>
    </w:p>
    <w:p>
      <w:pPr>
        <w:rPr>
          <w:rFonts w:eastAsia="宋体" w:cs="v5.0.0"/>
          <w:lang w:val="en-US" w:eastAsia="zh-CN"/>
        </w:rPr>
      </w:pPr>
    </w:p>
    <w:p>
      <w:pPr>
        <w:pStyle w:val="6"/>
      </w:pPr>
      <w:bookmarkStart w:id="635" w:name="_Toc8793"/>
      <w:bookmarkStart w:id="636" w:name="_Toc26190"/>
      <w:bookmarkStart w:id="637" w:name="_Toc4333"/>
      <w:bookmarkStart w:id="638" w:name="_Toc120570081"/>
      <w:bookmarkStart w:id="639" w:name="_Toc121162873"/>
      <w:r>
        <w:t>6.5B.</w:t>
      </w:r>
      <w:r>
        <w:rPr>
          <w:rFonts w:eastAsia="宋体"/>
          <w:lang w:val="en-US" w:eastAsia="zh-CN"/>
        </w:rPr>
        <w:t>4</w:t>
      </w:r>
      <w:r>
        <w:t>.</w:t>
      </w:r>
      <w:r>
        <w:rPr>
          <w:rFonts w:eastAsia="宋体"/>
          <w:lang w:val="en-US" w:eastAsia="zh-CN"/>
        </w:rPr>
        <w:t>4</w:t>
      </w:r>
      <w:r>
        <w:tab/>
      </w:r>
      <w:r>
        <w:t>Additional spurious emissions</w:t>
      </w:r>
      <w:bookmarkEnd w:id="635"/>
      <w:bookmarkEnd w:id="636"/>
      <w:bookmarkEnd w:id="637"/>
      <w:bookmarkEnd w:id="638"/>
      <w:bookmarkEnd w:id="639"/>
    </w:p>
    <w:p>
      <w:pPr>
        <w:keepLines/>
        <w:ind w:left="1135" w:hanging="851"/>
        <w:rPr>
          <w:i/>
          <w:color w:val="FF0000"/>
        </w:rPr>
      </w:pPr>
      <w:bookmarkStart w:id="640" w:name="_Toc121162874"/>
      <w:bookmarkStart w:id="641" w:name="_Toc120570082"/>
      <w:bookmarkStart w:id="642" w:name="_Toc5695"/>
      <w:bookmarkStart w:id="643" w:name="_Toc23870"/>
      <w:r>
        <w:rPr>
          <w:i/>
          <w:color w:val="FF0000"/>
        </w:rPr>
        <w:t>Editor’s Note: This clause is incomplete. The following aspects are either missing or not yet determined:</w:t>
      </w:r>
    </w:p>
    <w:p>
      <w:pPr>
        <w:keepLines/>
        <w:ind w:left="1135" w:hanging="851"/>
        <w:rPr>
          <w:i/>
          <w:color w:val="FF0000"/>
        </w:rPr>
      </w:pPr>
      <w:r>
        <w:rPr>
          <w:i/>
          <w:color w:val="FF0000"/>
        </w:rPr>
        <w:t>- Addition to applicability spec is pending</w:t>
      </w:r>
    </w:p>
    <w:p>
      <w:pPr>
        <w:keepLines/>
        <w:ind w:left="1135" w:hanging="851"/>
        <w:rPr>
          <w:i/>
          <w:color w:val="FF0000"/>
        </w:rPr>
      </w:pPr>
      <w:r>
        <w:rPr>
          <w:i/>
          <w:color w:val="FF0000"/>
        </w:rPr>
        <w:t>- Initial condition and call setup procedure to support satellite access are TBD</w:t>
      </w:r>
    </w:p>
    <w:p>
      <w:pPr>
        <w:keepLines/>
        <w:ind w:left="1135" w:hanging="851"/>
        <w:rPr>
          <w:i/>
          <w:color w:val="FF0000"/>
        </w:rPr>
      </w:pPr>
      <w:r>
        <w:rPr>
          <w:i/>
          <w:color w:val="FF0000"/>
        </w:rPr>
        <w:t>- Message exceptions specific to satellite access is TBD</w:t>
      </w:r>
    </w:p>
    <w:p>
      <w:pPr>
        <w:keepLines/>
        <w:ind w:left="1135" w:hanging="851"/>
        <w:rPr>
          <w:i/>
          <w:color w:val="FF0000"/>
        </w:rPr>
      </w:pPr>
      <w:r>
        <w:rPr>
          <w:i/>
          <w:color w:val="FF0000"/>
        </w:rPr>
        <w:t>- Test Points analysis is TBD</w:t>
      </w:r>
    </w:p>
    <w:p>
      <w:pPr>
        <w:keepLines/>
        <w:ind w:left="1135" w:hanging="851"/>
        <w:rPr>
          <w:i/>
          <w:color w:val="FF0000"/>
        </w:rPr>
      </w:pPr>
      <w:r>
        <w:rPr>
          <w:i/>
          <w:color w:val="FF0000"/>
        </w:rPr>
        <w:t>- Test configuration is TBD</w:t>
      </w:r>
    </w:p>
    <w:p>
      <w:pPr>
        <w:keepLines/>
        <w:ind w:left="1135" w:hanging="851"/>
        <w:rPr>
          <w:i/>
          <w:color w:val="FF0000"/>
        </w:rPr>
      </w:pPr>
      <w:r>
        <w:rPr>
          <w:i/>
          <w:color w:val="FF0000"/>
        </w:rPr>
        <w:t>- Annex F MU/TT is TBD</w:t>
      </w:r>
    </w:p>
    <w:p>
      <w:pPr>
        <w:pStyle w:val="7"/>
      </w:pPr>
      <w:bookmarkStart w:id="644" w:name="_Toc15083"/>
      <w:r>
        <w:t>6.5B.</w:t>
      </w:r>
      <w:r>
        <w:rPr>
          <w:rFonts w:eastAsia="宋体"/>
          <w:lang w:val="en-US" w:eastAsia="zh-CN"/>
        </w:rPr>
        <w:t>4</w:t>
      </w:r>
      <w:r>
        <w:t>.4.</w:t>
      </w:r>
      <w:r>
        <w:rPr>
          <w:lang w:val="en-US"/>
        </w:rPr>
        <w:t>0</w:t>
      </w:r>
      <w:r>
        <w:tab/>
      </w:r>
      <w:r>
        <w:t>General</w:t>
      </w:r>
      <w:bookmarkEnd w:id="640"/>
      <w:bookmarkEnd w:id="641"/>
      <w:bookmarkEnd w:id="642"/>
      <w:bookmarkEnd w:id="643"/>
      <w:bookmarkEnd w:id="644"/>
    </w:p>
    <w:p>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rPr>
          <w:lang w:val="en-US" w:eastAsia="zh-CN"/>
        </w:rPr>
      </w:pPr>
      <w:r>
        <w:t>NOTE: In addition to the requirements below, additional UE region-specific emissions requirements for European are expected to be added once more information becomes available</w:t>
      </w:r>
      <w:r>
        <w:rPr>
          <w:lang w:val="en-US"/>
        </w:rPr>
        <w:t>.</w:t>
      </w:r>
    </w:p>
    <w:p>
      <w:pPr>
        <w:pStyle w:val="9"/>
      </w:pPr>
      <w:bookmarkStart w:id="645" w:name="_Toc336589716"/>
      <w:bookmarkStart w:id="646" w:name="_Toc13148"/>
      <w:bookmarkStart w:id="647" w:name="_Toc7496"/>
      <w:bookmarkStart w:id="648" w:name="_Toc120570083"/>
      <w:bookmarkStart w:id="649" w:name="_Toc121162875"/>
      <w:r>
        <w:t>6.5B.4.4.1</w:t>
      </w:r>
      <w:r>
        <w:tab/>
      </w:r>
      <w:r>
        <w:t>Test purpose</w:t>
      </w:r>
      <w:bookmarkEnd w:id="645"/>
    </w:p>
    <w:p>
      <w:pPr>
        <w:rPr>
          <w:lang w:eastAsia="en-GB"/>
        </w:rPr>
      </w:pPr>
      <w:r>
        <w:rPr>
          <w:lang w:eastAsia="en-GB"/>
        </w:rPr>
        <w:t>To verify that UE transmitter does not cause unacceptable interference to other channels or other systems in terms of transmitter spurious emissions under the deployment scenarios where additional requirements are specified.</w:t>
      </w:r>
    </w:p>
    <w:p>
      <w:pPr>
        <w:pStyle w:val="9"/>
        <w:rPr>
          <w:lang w:eastAsia="en-GB"/>
        </w:rPr>
      </w:pPr>
      <w:bookmarkStart w:id="650" w:name="_Toc336589717"/>
      <w:r>
        <w:rPr>
          <w:lang w:eastAsia="en-GB"/>
        </w:rPr>
        <w:t>6.5B.4.4.2</w:t>
      </w:r>
      <w:r>
        <w:rPr>
          <w:lang w:eastAsia="en-GB"/>
        </w:rPr>
        <w:tab/>
      </w:r>
      <w:r>
        <w:rPr>
          <w:lang w:eastAsia="en-GB"/>
        </w:rPr>
        <w:t>Test applicability</w:t>
      </w:r>
      <w:bookmarkEnd w:id="650"/>
    </w:p>
    <w:p>
      <w:bookmarkStart w:id="651" w:name="_Hlk141120594"/>
      <w:bookmarkStart w:id="652" w:name="_Toc336589718"/>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pStyle w:val="9"/>
        <w:rPr>
          <w:rFonts w:eastAsia="MS Mincho"/>
          <w:lang w:eastAsia="en-GB"/>
        </w:rPr>
      </w:pPr>
      <w:r>
        <w:rPr>
          <w:lang w:eastAsia="en-GB"/>
        </w:rPr>
        <w:t>6.5B.4.4.</w:t>
      </w:r>
      <w:bookmarkEnd w:id="651"/>
      <w:r>
        <w:rPr>
          <w:lang w:eastAsia="en-GB"/>
        </w:rPr>
        <w:t>3</w:t>
      </w:r>
      <w:r>
        <w:rPr>
          <w:lang w:eastAsia="en-GB"/>
        </w:rPr>
        <w:tab/>
      </w:r>
      <w:r>
        <w:rPr>
          <w:lang w:eastAsia="en-GB"/>
        </w:rPr>
        <w:t>Minimum conformance requirements</w:t>
      </w:r>
      <w:bookmarkEnd w:id="652"/>
    </w:p>
    <w:p>
      <w:pPr>
        <w:rPr>
          <w:rFonts w:eastAsia="MS Mincho"/>
        </w:rPr>
      </w:pPr>
      <w:bookmarkStart w:id="653" w:name="_Hlk141106053"/>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pPr>
        <w:pStyle w:val="100"/>
        <w:keepLines/>
        <w:ind w:left="1135"/>
      </w:pPr>
      <w:r>
        <w:t>NOTE:</w:t>
      </w:r>
      <w:r>
        <w:tab/>
      </w:r>
      <w:r>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pPr>
        <w:keepNext/>
        <w:keepLines/>
        <w:spacing w:before="120"/>
        <w:ind w:left="1985" w:hanging="1985"/>
        <w:rPr>
          <w:rFonts w:ascii="Arial" w:hAnsi="Arial"/>
          <w:lang w:eastAsia="en-GB"/>
        </w:rPr>
      </w:pPr>
      <w:r>
        <w:rPr>
          <w:rFonts w:ascii="Arial" w:hAnsi="Arial"/>
          <w:lang w:eastAsia="en-GB"/>
        </w:rPr>
        <w:t>6.5B.4.4.3.1</w:t>
      </w:r>
      <w:r>
        <w:rPr>
          <w:rFonts w:ascii="Arial" w:hAnsi="Arial"/>
          <w:lang w:eastAsia="en-GB"/>
        </w:rPr>
        <w:tab/>
      </w:r>
      <w:r>
        <w:rPr>
          <w:rFonts w:ascii="Arial" w:hAnsi="Arial"/>
          <w:lang w:eastAsia="en-GB"/>
        </w:rPr>
        <w:t>Minimum requirement (network signalled value "NS_02N")</w:t>
      </w:r>
    </w:p>
    <w:p>
      <w:pPr>
        <w:rPr>
          <w:rFonts w:eastAsia="PMingLiU"/>
          <w:lang w:eastAsia="zh-TW"/>
        </w:rPr>
      </w:pPr>
      <w:r>
        <w:rPr>
          <w:color w:val="000000"/>
          <w:lang w:val="en-US" w:eastAsia="en-GB"/>
        </w:rPr>
        <w:t>When "NS_</w:t>
      </w:r>
      <w:r>
        <w:rPr>
          <w:rFonts w:hint="eastAsia"/>
          <w:color w:val="000000"/>
          <w:lang w:val="en-US"/>
        </w:rPr>
        <w:t>02N</w:t>
      </w:r>
      <w:r>
        <w:rPr>
          <w:color w:val="000000"/>
          <w:lang w:val="en-US" w:eastAsia="en-GB"/>
        </w:rPr>
        <w:t xml:space="preserve">" is indicated in the cell, the power of any UE </w:t>
      </w:r>
      <w:r>
        <w:rPr>
          <w:rFonts w:hint="eastAsia"/>
          <w:color w:val="000000"/>
          <w:lang w:val="en-US"/>
        </w:rPr>
        <w:t xml:space="preserve">spurious </w:t>
      </w:r>
      <w:r>
        <w:rPr>
          <w:color w:val="000000"/>
          <w:lang w:val="en-US" w:eastAsia="en-GB"/>
        </w:rPr>
        <w:t>emission shall not exceed the levels specified in Table 6.5B.4.4.3.1-1</w:t>
      </w:r>
      <w:r>
        <w:rPr>
          <w:rFonts w:hint="eastAsia"/>
          <w:color w:val="000000"/>
          <w:lang w:val="en-US"/>
        </w:rPr>
        <w:t xml:space="preserve"> an</w:t>
      </w:r>
      <w:r>
        <w:rPr>
          <w:color w:val="000000"/>
          <w:lang w:val="en-US"/>
        </w:rPr>
        <w:t xml:space="preserve">d </w:t>
      </w:r>
      <w:r>
        <w:rPr>
          <w:color w:val="000000"/>
          <w:lang w:val="en-US" w:eastAsia="en-GB"/>
        </w:rPr>
        <w:t>6.5B.4.4.3.1-2.</w:t>
      </w:r>
      <w:r>
        <w:rPr>
          <w:color w:val="000000"/>
          <w:lang w:val="en-US"/>
        </w:rPr>
        <w:t xml:space="preserve"> </w:t>
      </w:r>
      <w:r>
        <w:rPr>
          <w:color w:val="000000"/>
          <w:lang w:eastAsia="en-GB"/>
        </w:rPr>
        <w:t>This requirement also applies for the frequency ranges that are less than F</w:t>
      </w:r>
      <w:r>
        <w:rPr>
          <w:color w:val="000000"/>
          <w:vertAlign w:val="subscript"/>
          <w:lang w:eastAsia="en-GB"/>
        </w:rPr>
        <w:t>OOB</w:t>
      </w:r>
      <w:r>
        <w:rPr>
          <w:color w:val="000000"/>
          <w:lang w:eastAsia="en-GB"/>
        </w:rPr>
        <w:t xml:space="preserve"> (</w:t>
      </w:r>
      <w:r>
        <w:rPr>
          <w:color w:val="000000"/>
          <w:lang w:val="en-US" w:eastAsia="en-GB"/>
        </w:rPr>
        <w:t xml:space="preserve">MHz) </w:t>
      </w:r>
      <w:r>
        <w:rPr>
          <w:color w:val="000000"/>
          <w:lang w:val="en-US"/>
        </w:rPr>
        <w:t xml:space="preserve">specified in </w:t>
      </w:r>
      <w:r>
        <w:rPr>
          <w:color w:val="000000"/>
          <w:lang w:val="en-US" w:eastAsia="en-GB"/>
        </w:rPr>
        <w:t>6.5B.</w:t>
      </w:r>
      <w:r>
        <w:rPr>
          <w:color w:val="000000"/>
          <w:lang w:val="en-US"/>
        </w:rPr>
        <w:t>4</w:t>
      </w:r>
      <w:r>
        <w:rPr>
          <w:color w:val="000000"/>
          <w:lang w:val="en-US" w:eastAsia="en-GB"/>
        </w:rPr>
        <w:t>.</w:t>
      </w:r>
      <w:r>
        <w:rPr>
          <w:color w:val="000000"/>
          <w:lang w:val="en-US"/>
        </w:rPr>
        <w:t>2</w:t>
      </w:r>
      <w:r>
        <w:rPr>
          <w:color w:val="000000"/>
          <w:lang w:val="en-US" w:eastAsia="en-GB"/>
        </w:rPr>
        <w:t xml:space="preserve"> from the edge of the channel bandwidth. </w:t>
      </w:r>
      <w:r>
        <w:rPr>
          <w:lang w:eastAsia="en-GB"/>
        </w:rPr>
        <w:t>Network signalling remark NS_02N applies integer-value 2.</w:t>
      </w:r>
    </w:p>
    <w:p>
      <w:pPr>
        <w:keepNext/>
        <w:keepLines/>
        <w:spacing w:before="60"/>
        <w:jc w:val="center"/>
        <w:rPr>
          <w:rFonts w:ascii="Arial" w:hAnsi="Arial"/>
          <w:b/>
          <w:lang w:eastAsia="en-GB"/>
        </w:rPr>
      </w:pPr>
      <w:r>
        <w:rPr>
          <w:rFonts w:ascii="Arial" w:hAnsi="Arial"/>
          <w:b/>
          <w:lang w:eastAsia="en-GB"/>
        </w:rPr>
        <w:t xml:space="preserve">Table </w:t>
      </w:r>
      <w:bookmarkStart w:id="654" w:name="_Hlk141120423"/>
      <w:r>
        <w:rPr>
          <w:rFonts w:ascii="Arial" w:hAnsi="Arial"/>
          <w:b/>
          <w:lang w:eastAsia="en-GB"/>
        </w:rPr>
        <w:t>6.5B.4.4.3.1-1</w:t>
      </w:r>
      <w:bookmarkEnd w:id="654"/>
      <w:r>
        <w:rPr>
          <w:rFonts w:ascii="Arial" w:hAnsi="Arial"/>
          <w:b/>
          <w:lang w:eastAsia="en-GB"/>
        </w:rPr>
        <w:t xml:space="preserve">: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2222"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hint="eastAsia" w:ascii="Arial" w:hAnsi="Arial" w:cs="Arial"/>
                <w:sz w:val="18"/>
                <w:lang w:val="en-US"/>
              </w:rPr>
              <w:t>200kHz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2222"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2222"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2"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val="en-US"/>
        </w:rPr>
      </w:pPr>
    </w:p>
    <w:p>
      <w:pPr>
        <w:keepNext/>
        <w:keepLines/>
        <w:spacing w:before="60"/>
        <w:jc w:val="center"/>
        <w:rPr>
          <w:rFonts w:ascii="Arial" w:hAnsi="Arial"/>
          <w:b/>
          <w:color w:val="000000"/>
          <w:lang w:eastAsia="en-GB"/>
        </w:rPr>
      </w:pPr>
      <w:r>
        <w:rPr>
          <w:rFonts w:ascii="Arial" w:hAnsi="Arial"/>
          <w:b/>
          <w:lang w:eastAsia="en-GB"/>
        </w:rPr>
        <w:t>Table 6.5B.4.4.3.1</w:t>
      </w:r>
      <w:r>
        <w:rPr>
          <w:rFonts w:ascii="Arial" w:hAnsi="Arial"/>
          <w:b/>
          <w:color w:val="000000"/>
          <w:lang w:val="en-US"/>
        </w:rPr>
        <w:t>-</w:t>
      </w:r>
      <w:r>
        <w:rPr>
          <w:rFonts w:hint="eastAsia" w:ascii="Arial" w:hAnsi="Arial"/>
          <w:b/>
          <w:color w:val="000000"/>
          <w:lang w:val="en-US"/>
        </w:rPr>
        <w:t>2</w:t>
      </w:r>
      <w:r>
        <w:rPr>
          <w:rFonts w:ascii="Arial" w:hAnsi="Arial"/>
          <w:b/>
          <w:color w:val="000000"/>
          <w:lang w:eastAsia="en-GB"/>
        </w:rPr>
        <w:t>: Additional requirements</w:t>
      </w:r>
      <w:r>
        <w:rPr>
          <w:rFonts w:ascii="Arial" w:hAnsi="Arial"/>
          <w:b/>
          <w:lang w:eastAsia="en-GB"/>
        </w:rPr>
        <w:t xml:space="preserve"> for </w:t>
      </w:r>
      <w:r>
        <w:rPr>
          <w:rFonts w:ascii="Arial" w:hAnsi="Arial" w:eastAsia="Yu Mincho"/>
          <w:b/>
          <w:lang w:eastAsia="en-GB"/>
        </w:rPr>
        <w:t>"</w:t>
      </w:r>
      <w:r>
        <w:rPr>
          <w:rFonts w:ascii="Arial" w:hAnsi="Arial"/>
          <w:b/>
          <w:lang w:eastAsia="en-GB"/>
        </w:rPr>
        <w:t>NS_</w:t>
      </w:r>
      <w:r>
        <w:rPr>
          <w:rFonts w:ascii="Arial" w:hAnsi="Arial"/>
          <w:b/>
          <w:lang w:val="en-US"/>
        </w:rPr>
        <w:t>02</w:t>
      </w:r>
      <w:r>
        <w:rPr>
          <w:rFonts w:ascii="Arial" w:hAnsi="Arial"/>
          <w:b/>
          <w:lang w:val="en-US" w:eastAsia="en-GB"/>
        </w:rPr>
        <w:t>N</w:t>
      </w:r>
      <w:r>
        <w:rPr>
          <w:rFonts w:ascii="Arial" w:hAnsi="Arial" w:eastAsia="Yu Mincho"/>
          <w:b/>
          <w:lang w:eastAsia="en-GB"/>
        </w:rPr>
        <w:t>"</w:t>
      </w:r>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084"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Δf</w:t>
            </w:r>
            <w:r>
              <w:rPr>
                <w:rFonts w:ascii="Arial" w:hAnsi="Arial"/>
                <w:b/>
                <w:sz w:val="18"/>
                <w:vertAlign w:val="subscript"/>
                <w:lang w:eastAsia="en-GB"/>
              </w:rPr>
              <w:t>OOB</w:t>
            </w:r>
          </w:p>
          <w:p>
            <w:pPr>
              <w:keepNext/>
              <w:keepLines/>
              <w:spacing w:after="0"/>
              <w:jc w:val="center"/>
              <w:rPr>
                <w:rFonts w:ascii="Arial" w:hAnsi="Arial"/>
                <w:b/>
                <w:sz w:val="18"/>
                <w:lang w:eastAsia="en-GB"/>
              </w:rPr>
            </w:pPr>
            <w:r>
              <w:rPr>
                <w:rFonts w:ascii="Arial" w:hAnsi="Arial"/>
                <w:b/>
                <w:sz w:val="18"/>
                <w:lang w:eastAsia="en-GB"/>
              </w:rPr>
              <w:t>(MHz)</w:t>
            </w:r>
          </w:p>
        </w:tc>
        <w:tc>
          <w:tcPr>
            <w:tcW w:w="2589"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Spectrum Emission Limit (dBm)</w:t>
            </w:r>
          </w:p>
        </w:tc>
        <w:tc>
          <w:tcPr>
            <w:tcW w:w="1982"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[0.09 – 0.28]</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-2 for PC3</w:t>
            </w:r>
          </w:p>
          <w:p>
            <w:pPr>
              <w:keepNext/>
              <w:keepLines/>
              <w:spacing w:after="0"/>
              <w:jc w:val="center"/>
              <w:rPr>
                <w:rFonts w:ascii="Arial" w:hAnsi="Arial"/>
                <w:sz w:val="18"/>
                <w:lang w:eastAsia="en-GB"/>
              </w:rPr>
            </w:pPr>
            <w:r>
              <w:rPr>
                <w:rFonts w:ascii="Arial" w:hAnsi="Arial"/>
                <w:sz w:val="18"/>
                <w:lang w:eastAsia="en-GB"/>
              </w:rPr>
              <w:t>-5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[0.28 – 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 for PC3</w:t>
            </w:r>
          </w:p>
          <w:p>
            <w:pPr>
              <w:keepNext/>
              <w:keepLines/>
              <w:spacing w:after="0"/>
              <w:jc w:val="center"/>
              <w:rPr>
                <w:rFonts w:ascii="Arial" w:hAnsi="Arial"/>
                <w:sz w:val="18"/>
                <w:lang w:eastAsia="en-GB"/>
              </w:rPr>
            </w:pPr>
            <w:r>
              <w:rPr>
                <w:rFonts w:ascii="Arial" w:hAnsi="Arial"/>
                <w:sz w:val="18"/>
                <w:lang w:eastAsia="en-GB"/>
              </w:rPr>
              <w:t>-15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[&gt;0.85]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-13 for PC3 and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bl>
    <w:p>
      <w:pPr>
        <w:rPr>
          <w:lang w:eastAsia="en-GB"/>
        </w:rPr>
      </w:pPr>
    </w:p>
    <w:p>
      <w:pPr>
        <w:keepLines/>
        <w:ind w:left="1135" w:hanging="851"/>
        <w:rPr>
          <w:lang w:val="en-US" w:eastAsia="en-GB"/>
        </w:rPr>
      </w:pPr>
      <w:r>
        <w:rPr>
          <w:lang w:eastAsia="en-GB"/>
        </w:rPr>
        <w:t>NOTE:</w:t>
      </w:r>
      <w:r>
        <w:rPr>
          <w:lang w:eastAsia="en-GB"/>
        </w:rPr>
        <w:tab/>
      </w:r>
      <w:r>
        <w:rPr>
          <w:lang w:eastAsia="en-GB"/>
        </w:rPr>
        <w:t>Δf</w:t>
      </w:r>
      <w:r>
        <w:rPr>
          <w:vertAlign w:val="subscript"/>
          <w:lang w:eastAsia="en-GB"/>
        </w:rPr>
        <w:t xml:space="preserve">OOB </w:t>
      </w:r>
      <w:r>
        <w:rPr>
          <w:lang w:eastAsia="en-GB"/>
        </w:rPr>
        <w:t>= 0.09 MHz</w:t>
      </w:r>
      <w:r>
        <w:rPr>
          <w:lang w:val="en-US" w:eastAsia="en-GB"/>
        </w:rPr>
        <w:t xml:space="preserve"> </w:t>
      </w:r>
      <w:r>
        <w:rPr>
          <w:lang w:val="en-US"/>
        </w:rPr>
        <w:t>co</w:t>
      </w:r>
      <w:r>
        <w:rPr>
          <w:lang w:val="en-US" w:eastAsia="en-GB"/>
        </w:rPr>
        <w:t>rresponds to an authorized bandwidth, as defined in C63.26-2015</w:t>
      </w:r>
      <w:r>
        <w:rPr>
          <w:rFonts w:hint="eastAsia"/>
          <w:lang w:val="en-US"/>
        </w:rPr>
        <w:t xml:space="preserve"> </w:t>
      </w:r>
      <w:r>
        <w:rPr>
          <w:lang w:val="en-US"/>
        </w:rPr>
        <w:t>[10]</w:t>
      </w:r>
      <w:r>
        <w:rPr>
          <w:lang w:val="en-US" w:eastAsia="en-GB"/>
        </w:rPr>
        <w:t xml:space="preserve">, of </w:t>
      </w:r>
      <w:r>
        <w:rPr>
          <w:rFonts w:hint="eastAsia"/>
          <w:lang w:val="en-US"/>
        </w:rPr>
        <w:t>0</w:t>
      </w:r>
      <w:r>
        <w:rPr>
          <w:lang w:val="en-US" w:eastAsia="en-GB"/>
        </w:rPr>
        <w:t>.38 MHz.</w:t>
      </w:r>
    </w:p>
    <w:p>
      <w:pPr>
        <w:rPr>
          <w:rFonts w:eastAsiaTheme="minorEastAsia"/>
        </w:rPr>
      </w:pPr>
      <w:r>
        <w:rPr>
          <w:lang w:eastAsia="en-GB"/>
        </w:rPr>
        <w:t>The normative reference for this requirement is TS 36.102 [11] subclauses 6.5B.4.</w:t>
      </w:r>
      <w:r>
        <w:rPr>
          <w:rFonts w:hint="eastAsia" w:eastAsiaTheme="minorEastAsia"/>
        </w:rPr>
        <w:t>4</w:t>
      </w:r>
      <w:r>
        <w:rPr>
          <w:rFonts w:eastAsiaTheme="minorEastAsia"/>
        </w:rPr>
        <w:t>.2.</w:t>
      </w:r>
    </w:p>
    <w:p>
      <w:pPr>
        <w:keepNext/>
        <w:keepLines/>
        <w:spacing w:before="120"/>
        <w:ind w:left="1985" w:hanging="1985"/>
        <w:rPr>
          <w:rFonts w:ascii="Arial" w:hAnsi="Arial"/>
          <w:lang w:eastAsia="en-GB"/>
        </w:rPr>
      </w:pPr>
      <w:r>
        <w:rPr>
          <w:rFonts w:ascii="Arial" w:hAnsi="Arial"/>
          <w:lang w:eastAsia="en-GB"/>
        </w:rPr>
        <w:t>6.5B.4.4.3.2</w:t>
      </w:r>
      <w:r>
        <w:rPr>
          <w:rFonts w:ascii="Arial" w:hAnsi="Arial"/>
          <w:lang w:eastAsia="en-GB"/>
        </w:rPr>
        <w:tab/>
      </w:r>
      <w:r>
        <w:rPr>
          <w:rFonts w:ascii="Arial" w:hAnsi="Arial"/>
          <w:lang w:eastAsia="en-GB"/>
        </w:rPr>
        <w:t>Minimum requirement (network signalled value "NS_24")</w:t>
      </w:r>
    </w:p>
    <w:p>
      <w:pPr>
        <w:rPr>
          <w:lang w:eastAsia="en-GB"/>
        </w:rPr>
      </w:pPr>
      <w:r>
        <w:rPr>
          <w:lang w:eastAsia="en-GB"/>
        </w:rPr>
        <w:t xml:space="preserve">When "NS_24" is indicated in the cell, the power of any UE emission shall not exceed the levels specified in Table 6.5B.4.4.3.2-1. </w:t>
      </w:r>
    </w:p>
    <w:p>
      <w:pPr>
        <w:keepNext/>
        <w:keepLines/>
        <w:spacing w:before="60"/>
        <w:jc w:val="center"/>
        <w:rPr>
          <w:rFonts w:ascii="Arial" w:hAnsi="Arial"/>
          <w:b/>
          <w:lang w:eastAsia="en-GB"/>
        </w:rPr>
      </w:pPr>
      <w:r>
        <w:rPr>
          <w:rFonts w:ascii="Arial" w:hAnsi="Arial"/>
          <w:b/>
          <w:lang w:eastAsia="en-GB"/>
        </w:rPr>
        <w:t xml:space="preserve">Table 6.5B.4.4.3.2-1: Additional requirements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hint="eastAsia" w:ascii="Arial" w:hAnsi="Arial" w:cs="Arial"/>
                <w:b/>
                <w:sz w:val="18"/>
                <w:lang w:val="en-US"/>
              </w:rPr>
              <w:t>200kHz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keepNext/>
              <w:keepLines/>
              <w:spacing w:after="0"/>
              <w:ind w:left="851" w:hanging="851"/>
              <w:rPr>
                <w:rFonts w:ascii="Arial" w:hAnsi="Arial"/>
                <w:sz w:val="18"/>
                <w:lang w:eastAsia="ja-JP"/>
              </w:rPr>
            </w:pPr>
            <w:r>
              <w:rPr>
                <w:rFonts w:ascii="Arial" w:hAnsi="Arial"/>
                <w:sz w:val="18"/>
                <w:lang w:eastAsia="en-GB"/>
              </w:rPr>
              <w:t>NOTE 1:</w:t>
            </w:r>
            <w:r>
              <w:rPr>
                <w:rFonts w:ascii="Arial" w:hAnsi="Arial"/>
                <w:sz w:val="18"/>
                <w:vertAlign w:val="superscript"/>
                <w:lang w:eastAsia="en-GB"/>
              </w:rPr>
              <w:tab/>
            </w:r>
            <w:r>
              <w:rPr>
                <w:rFonts w:ascii="Arial" w:hAnsi="Arial"/>
                <w:sz w:val="18"/>
                <w:lang w:eastAsia="ja-JP"/>
              </w:rPr>
              <w:t>This requirement</w:t>
            </w:r>
            <w:r>
              <w:rPr>
                <w:rFonts w:hint="eastAsia" w:ascii="Arial" w:hAnsi="Arial"/>
                <w:sz w:val="18"/>
                <w:lang w:eastAsia="ja-JP"/>
              </w:rPr>
              <w:t xml:space="preserve"> appl</w:t>
            </w:r>
            <w:r>
              <w:rPr>
                <w:rFonts w:ascii="Arial" w:hAnsi="Arial"/>
                <w:sz w:val="18"/>
                <w:lang w:eastAsia="ja-JP"/>
              </w:rPr>
              <w:t>ies</w:t>
            </w:r>
            <w:r>
              <w:rPr>
                <w:rFonts w:hint="eastAsia" w:ascii="Arial" w:hAnsi="Arial"/>
                <w:sz w:val="18"/>
                <w:lang w:eastAsia="ja-JP"/>
              </w:rPr>
              <w:t xml:space="preserve"> </w:t>
            </w:r>
            <w:r>
              <w:rPr>
                <w:rFonts w:ascii="Arial" w:hAnsi="Arial"/>
                <w:sz w:val="18"/>
                <w:lang w:eastAsia="ja-JP"/>
              </w:rPr>
              <w:t xml:space="preserve">at a </w:t>
            </w:r>
            <w:r>
              <w:rPr>
                <w:rFonts w:hint="eastAsia" w:ascii="Arial" w:hAnsi="Arial"/>
                <w:sz w:val="18"/>
                <w:lang w:eastAsia="ja-JP"/>
              </w:rPr>
              <w:t xml:space="preserve">frequency </w:t>
            </w:r>
            <w:r>
              <w:rPr>
                <w:rFonts w:ascii="Arial" w:hAnsi="Arial"/>
                <w:sz w:val="18"/>
                <w:lang w:eastAsia="ja-JP"/>
              </w:rPr>
              <w:t xml:space="preserve">offset equal or larger than 5 MHz from the upper </w:t>
            </w:r>
            <w:r>
              <w:rPr>
                <w:rFonts w:hint="eastAsia" w:ascii="Arial" w:hAnsi="Arial"/>
                <w:sz w:val="18"/>
                <w:lang w:eastAsia="ja-JP"/>
              </w:rPr>
              <w:t>edge of the channel bandwidth</w:t>
            </w:r>
            <w:r>
              <w:rPr>
                <w:rFonts w:ascii="Arial" w:hAnsi="Arial"/>
                <w:sz w:val="18"/>
                <w:lang w:eastAsia="ja-JP"/>
              </w:rPr>
              <w:t>, whenever these frequencies overlap with the specified frequency band.</w:t>
            </w:r>
          </w:p>
        </w:tc>
      </w:tr>
    </w:tbl>
    <w:p/>
    <w:p>
      <w:pPr>
        <w:rPr>
          <w:rFonts w:eastAsiaTheme="minorEastAsia"/>
        </w:rPr>
      </w:pPr>
      <w:bookmarkStart w:id="655" w:name="_Hlk141260715"/>
      <w:r>
        <w:rPr>
          <w:lang w:eastAsia="en-GB"/>
        </w:rPr>
        <w:t>The normative reference for this requirement is TS 36.102 [11] subclauses 6.5B.4.</w:t>
      </w:r>
      <w:r>
        <w:rPr>
          <w:rFonts w:hint="eastAsia" w:eastAsiaTheme="minorEastAsia"/>
        </w:rPr>
        <w:t>4</w:t>
      </w:r>
      <w:r>
        <w:rPr>
          <w:rFonts w:eastAsiaTheme="minorEastAsia"/>
        </w:rPr>
        <w:t>.3.</w:t>
      </w:r>
    </w:p>
    <w:bookmarkEnd w:id="653"/>
    <w:bookmarkEnd w:id="655"/>
    <w:p>
      <w:pPr>
        <w:pStyle w:val="9"/>
        <w:rPr>
          <w:lang w:eastAsia="en-GB"/>
        </w:rPr>
      </w:pPr>
      <w:r>
        <w:rPr>
          <w:lang w:eastAsia="en-GB"/>
        </w:rPr>
        <w:t>6.5B.4.4.4</w:t>
      </w:r>
      <w:r>
        <w:rPr>
          <w:lang w:eastAsia="en-GB"/>
        </w:rPr>
        <w:tab/>
      </w:r>
      <w:r>
        <w:rPr>
          <w:lang w:eastAsia="en-GB"/>
        </w:rPr>
        <w:t>Test description</w:t>
      </w:r>
    </w:p>
    <w:p>
      <w:pPr>
        <w:keepNext/>
        <w:keepLines/>
        <w:spacing w:before="120"/>
        <w:ind w:left="1985" w:hanging="1985"/>
        <w:rPr>
          <w:rFonts w:ascii="Arial" w:hAnsi="Arial" w:eastAsia="MS Mincho"/>
          <w:snapToGrid w:val="0"/>
          <w:lang w:eastAsia="en-GB"/>
        </w:rPr>
      </w:pPr>
      <w:r>
        <w:rPr>
          <w:rFonts w:ascii="Arial" w:hAnsi="Arial"/>
          <w:lang w:eastAsia="en-GB"/>
        </w:rPr>
        <w:t>6.5B.4.4.4.1</w:t>
      </w:r>
      <w:r>
        <w:rPr>
          <w:rFonts w:ascii="Arial" w:hAnsi="Arial"/>
          <w:lang w:eastAsia="en-GB"/>
        </w:rPr>
        <w:tab/>
      </w:r>
      <w:r>
        <w:rPr>
          <w:rFonts w:ascii="Arial" w:hAnsi="Arial"/>
          <w:snapToGrid w:val="0"/>
          <w:lang w:eastAsia="en-GB"/>
        </w:rPr>
        <w:t>Initial conditions</w:t>
      </w:r>
    </w:p>
    <w:p>
      <w:pPr>
        <w:rPr>
          <w:lang w:eastAsia="en-GB"/>
        </w:rPr>
      </w:pPr>
      <w:r>
        <w:rPr>
          <w:lang w:eastAsia="en-GB"/>
        </w:rPr>
        <w:t>Initial conditions are a set of test configurations the UE needs to be tested in and the steps for the SS to take with the UE to reach the correct measurement state.</w:t>
      </w:r>
    </w:p>
    <w:p>
      <w:pPr>
        <w:rPr>
          <w:lang w:eastAsia="en-GB"/>
        </w:rPr>
      </w:pPr>
      <w:r>
        <w:rPr>
          <w:lang w:eastAsia="en-GB"/>
        </w:rPr>
        <w:t>The initial test configurations consist of environmental conditions, test frequencies, and channel bandwidths based on NB-IOT NTN operating bands specified in sub-clause 5.2B. All of these configurations shall be tested with applicable test parameters for each channel bandwidth, and are shown in Table 6.5B.4.4.4.1-1 to Table 6.5B.4.4.4.1-2. The details of the uplink reference measurement channels (RMCs) are specified in</w:t>
      </w:r>
      <w:r>
        <w:t xml:space="preserve"> </w:t>
      </w:r>
      <w:r>
        <w:rPr>
          <w:lang w:eastAsia="en-GB"/>
        </w:rPr>
        <w:t xml:space="preserve">Annexes A.2. </w:t>
      </w:r>
      <w:r>
        <w:rPr>
          <w:rFonts w:cs="v5.0.0"/>
          <w:lang w:eastAsia="en-GB"/>
        </w:rPr>
        <w:t>Configurations of NPDSCH and NPDCCH before measurement are specified in Annex C.2.</w:t>
      </w:r>
    </w:p>
    <w:p>
      <w:pPr>
        <w:keepNext/>
        <w:keepLines/>
        <w:spacing w:before="60"/>
        <w:jc w:val="center"/>
        <w:rPr>
          <w:rFonts w:ascii="Arial" w:hAnsi="Arial"/>
          <w:b/>
          <w:lang w:eastAsia="en-GB"/>
        </w:rPr>
      </w:pPr>
      <w:bookmarkStart w:id="656" w:name="_Hlk141261628"/>
      <w:r>
        <w:rPr>
          <w:rFonts w:ascii="Arial" w:hAnsi="Arial"/>
          <w:b/>
          <w:lang w:eastAsia="en-GB"/>
        </w:rPr>
        <w:t>Table 6.5B.4.4.4.1-1</w:t>
      </w:r>
      <w:bookmarkEnd w:id="656"/>
      <w:r>
        <w:rPr>
          <w:rFonts w:ascii="Arial" w:hAnsi="Arial"/>
          <w:b/>
          <w:lang w:eastAsia="en-GB"/>
        </w:rPr>
        <w:t>: Test Configuration Table (network signalled value "</w:t>
      </w:r>
      <w:r>
        <w:t xml:space="preserve"> </w:t>
      </w:r>
      <w:r>
        <w:rPr>
          <w:rFonts w:ascii="Arial" w:hAnsi="Arial"/>
          <w:b/>
          <w:lang w:eastAsia="en-GB"/>
        </w:rPr>
        <w:t>NS_02N ")</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r>
              <w:rPr>
                <w:rFonts w:ascii="Arial" w:hAnsi="Arial"/>
                <w:sz w:val="18"/>
                <w:vertAlign w:val="superscript"/>
              </w:rPr>
              <w:t xml:space="preserve"> </w:t>
            </w:r>
            <w:r>
              <w:rPr>
                <w:rFonts w:ascii="Arial" w:hAnsi="Arial"/>
                <w:sz w:val="18"/>
              </w:rP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3@3</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3@9</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6@6</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lang w:eastAsia="en-GB"/>
        </w:rPr>
      </w:pPr>
    </w:p>
    <w:p>
      <w:pPr>
        <w:keepNext/>
        <w:keepLines/>
        <w:spacing w:before="60"/>
        <w:jc w:val="center"/>
        <w:rPr>
          <w:rFonts w:ascii="Arial" w:hAnsi="Arial"/>
          <w:b/>
          <w:lang w:eastAsia="en-GB"/>
        </w:rPr>
      </w:pPr>
      <w:r>
        <w:rPr>
          <w:rFonts w:ascii="Arial" w:hAnsi="Arial"/>
          <w:b/>
          <w:lang w:eastAsia="en-GB"/>
        </w:rPr>
        <w:t>Table 6.5B.4.4.4.1-2 Test Configuration Table (network signalled value "NS_24")</w:t>
      </w:r>
    </w:p>
    <w:tbl>
      <w:tblPr>
        <w:tblStyle w:val="89"/>
        <w:tblW w:w="7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5"/>
        <w:gridCol w:w="2365"/>
        <w:gridCol w:w="1210"/>
        <w:gridCol w:w="1276"/>
        <w:gridCol w:w="15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jc w:val="center"/>
              <w:rPr>
                <w:rFonts w:ascii="Arial" w:hAnsi="Arial"/>
                <w:b/>
                <w:sz w:val="18"/>
              </w:rPr>
            </w:pPr>
            <w:r>
              <w:rPr>
                <w:rFonts w:ascii="Arial" w:hAnsi="Arial"/>
                <w:sz w:val="18"/>
              </w:rPr>
              <w:t>TS 36.508 [12] subclause 8.1.1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Normal,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0" w:type="dxa"/>
            <w:gridSpan w:val="2"/>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bCs/>
                <w:sz w:val="18"/>
              </w:rPr>
              <w:t>Test Frequencies as specified in</w:t>
            </w:r>
          </w:p>
          <w:p>
            <w:pPr>
              <w:keepNext/>
              <w:keepLines/>
              <w:spacing w:after="0"/>
              <w:jc w:val="center"/>
              <w:rPr>
                <w:rFonts w:ascii="Arial" w:hAnsi="Arial"/>
                <w:b/>
                <w:sz w:val="18"/>
              </w:rPr>
            </w:pPr>
            <w:r>
              <w:rPr>
                <w:rFonts w:ascii="Arial" w:hAnsi="Arial"/>
                <w:sz w:val="18"/>
              </w:rPr>
              <w:t>TS 36.508 [12] subclause 8.1.3.1</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Cs/>
                <w:sz w:val="18"/>
              </w:rP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vMerge w:val="restart"/>
            <w:tcBorders>
              <w:top w:val="single" w:color="auto" w:sz="4" w:space="0"/>
              <w:left w:val="single" w:color="auto" w:sz="4" w:space="0"/>
              <w:right w:val="single" w:color="auto" w:sz="4" w:space="0"/>
            </w:tcBorders>
          </w:tcPr>
          <w:p>
            <w:pPr>
              <w:keepNext/>
              <w:keepLines/>
              <w:spacing w:after="0"/>
              <w:jc w:val="center"/>
              <w:rPr>
                <w:rFonts w:ascii="Arial" w:hAnsi="Arial"/>
                <w:b/>
                <w:sz w:val="18"/>
              </w:rPr>
            </w:pPr>
            <w:r>
              <w:rPr>
                <w:rFonts w:ascii="Arial" w:hAnsi="Arial"/>
                <w:sz w:val="18"/>
              </w:rPr>
              <w:t>Configuration ID</w:t>
            </w:r>
          </w:p>
        </w:tc>
        <w:tc>
          <w:tcPr>
            <w:tcW w:w="23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3997"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5" w:type="dxa"/>
            <w:vMerge w:val="continue"/>
            <w:tcBorders>
              <w:left w:val="single" w:color="auto" w:sz="4" w:space="0"/>
              <w:bottom w:val="single" w:color="auto" w:sz="4" w:space="0"/>
              <w:right w:val="single" w:color="auto" w:sz="4" w:space="0"/>
            </w:tcBorders>
          </w:tcPr>
          <w:p>
            <w:pPr>
              <w:keepNext/>
              <w:keepLines/>
              <w:spacing w:after="0"/>
              <w:jc w:val="center"/>
              <w:rPr>
                <w:rFonts w:ascii="Arial" w:hAnsi="Arial"/>
                <w:sz w:val="18"/>
              </w:rPr>
            </w:pPr>
          </w:p>
        </w:tc>
        <w:tc>
          <w:tcPr>
            <w:tcW w:w="2365" w:type="dxa"/>
            <w:tcBorders>
              <w:top w:val="single" w:color="auto" w:sz="4" w:space="0"/>
              <w:left w:val="single" w:color="auto" w:sz="4" w:space="0"/>
              <w:right w:val="single" w:color="auto" w:sz="4" w:space="0"/>
            </w:tcBorders>
          </w:tcPr>
          <w:p>
            <w:pPr>
              <w:keepNext/>
              <w:keepLines/>
              <w:spacing w:after="0"/>
              <w:jc w:val="center"/>
              <w:rPr>
                <w:rFonts w:ascii="Arial" w:hAnsi="Arial"/>
                <w:sz w:val="18"/>
              </w:rPr>
            </w:pPr>
            <w:r>
              <w:rPr>
                <w:rFonts w:ascii="Arial" w:hAnsi="Arial"/>
                <w:sz w:val="18"/>
              </w:rPr>
              <w:t>N/A for Maximum Power Reduction (MPR) test case</w:t>
            </w:r>
          </w:p>
        </w:tc>
        <w:tc>
          <w:tcPr>
            <w:tcW w:w="121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Modulation</w:t>
            </w:r>
          </w:p>
        </w:tc>
        <w:tc>
          <w:tcPr>
            <w:tcW w:w="127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N</w:t>
            </w:r>
            <w:r>
              <w:rPr>
                <w:rFonts w:ascii="Arial" w:hAnsi="Arial"/>
                <w:sz w:val="18"/>
                <w:vertAlign w:val="subscript"/>
              </w:rPr>
              <w:t>tones</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w:t>
            </w:r>
            <w:r>
              <w:rPr>
                <w:rFonts w:ascii="Arial" w:hAnsi="Arial"/>
                <w:sz w:val="18"/>
                <w:vertAlign w:val="superscript"/>
              </w:rPr>
              <w:t xml:space="preserve"> </w:t>
            </w:r>
            <w:r>
              <w:rPr>
                <w:rFonts w:ascii="Arial" w:hAnsi="Arial"/>
                <w:sz w:val="18"/>
              </w:rPr>
              <w:t>(Note 1)</w:t>
            </w:r>
          </w:p>
        </w:tc>
        <w:tc>
          <w:tcPr>
            <w:tcW w:w="2365" w:type="dxa"/>
            <w:vMerge w:val="restart"/>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2</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3@3</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3</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3@9</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4</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5</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6@6</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6</w:t>
            </w:r>
            <w:r>
              <w:rPr>
                <w:rFonts w:ascii="Arial" w:hAnsi="Arial"/>
                <w:sz w:val="18"/>
                <w:vertAlign w:val="superscript"/>
              </w:rPr>
              <w:t xml:space="preserve"> </w:t>
            </w:r>
            <w:r>
              <w:rPr>
                <w:rFonts w:ascii="Arial" w:hAnsi="Arial"/>
                <w:sz w:val="18"/>
              </w:rPr>
              <w:t>(Note 1)</w:t>
            </w:r>
          </w:p>
        </w:tc>
        <w:tc>
          <w:tcPr>
            <w:tcW w:w="2365" w:type="dxa"/>
            <w:vMerge w:val="continue"/>
            <w:tcBorders>
              <w:left w:val="single" w:color="auto" w:sz="4" w:space="0"/>
              <w:right w:val="single" w:color="auto" w:sz="4" w:space="0"/>
            </w:tcBorders>
            <w:vAlign w:val="center"/>
          </w:tcPr>
          <w:p>
            <w:pPr>
              <w:spacing w:after="0"/>
              <w:rPr>
                <w:rFonts w:ascii="Arial" w:hAnsi="Arial"/>
                <w:color w:val="000000"/>
                <w:sz w:val="18"/>
                <w:lang w:eastAsia="ja-JP"/>
              </w:rPr>
            </w:pPr>
          </w:p>
        </w:tc>
        <w:tc>
          <w:tcPr>
            <w:tcW w:w="1210"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QPSK</w:t>
            </w:r>
          </w:p>
        </w:tc>
        <w:tc>
          <w:tcPr>
            <w:tcW w:w="1276" w:type="dxa"/>
            <w:tcBorders>
              <w:left w:val="single" w:color="auto" w:sz="4" w:space="0"/>
              <w:right w:val="single" w:color="auto" w:sz="4" w:space="0"/>
            </w:tcBorders>
          </w:tcPr>
          <w:p>
            <w:pPr>
              <w:keepNext/>
              <w:keepLines/>
              <w:spacing w:after="0"/>
              <w:jc w:val="center"/>
              <w:rPr>
                <w:rFonts w:ascii="Arial" w:hAnsi="Arial"/>
                <w:sz w:val="18"/>
              </w:rPr>
            </w:pPr>
            <w:r>
              <w:rPr>
                <w:rFonts w:ascii="Arial" w:hAnsi="Arial"/>
                <w:sz w:val="18"/>
              </w:rPr>
              <w:t>12@0</w:t>
            </w:r>
          </w:p>
        </w:tc>
        <w:tc>
          <w:tcPr>
            <w:tcW w:w="151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27" w:type="dxa"/>
            <w:gridSpan w:val="5"/>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sz w:val="18"/>
              </w:rPr>
              <w:t>Applicable to UE supporting UL multi-tone transmissions</w:t>
            </w:r>
          </w:p>
        </w:tc>
      </w:tr>
    </w:tbl>
    <w:p>
      <w:pPr>
        <w:rPr>
          <w:color w:val="0070C0"/>
          <w:lang w:eastAsia="en-GB"/>
        </w:rPr>
      </w:pPr>
    </w:p>
    <w:p>
      <w:pPr>
        <w:ind w:left="568" w:hanging="284"/>
        <w:rPr>
          <w:lang w:eastAsia="en-GB"/>
        </w:rPr>
      </w:pPr>
      <w:r>
        <w:rPr>
          <w:lang w:eastAsia="en-GB"/>
        </w:rPr>
        <w:t>1.</w:t>
      </w:r>
      <w:r>
        <w:rPr>
          <w:lang w:eastAsia="en-GB"/>
        </w:rPr>
        <w:tab/>
      </w:r>
      <w:r>
        <w:rPr>
          <w:lang w:eastAsia="en-GB"/>
        </w:rPr>
        <w:t>Connect the SS to the UE antenna connectors as shown in TS 36.508[12] Annex A Figure A.7 using only main UE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4.4.3.</w:t>
      </w:r>
    </w:p>
    <w:p>
      <w:pPr>
        <w:ind w:left="568" w:hanging="284"/>
        <w:rPr>
          <w:lang w:eastAsia="en-GB"/>
        </w:rPr>
      </w:pPr>
      <w:r>
        <w:rPr>
          <w:lang w:eastAsia="en-GB"/>
        </w:rPr>
        <w:t>3.</w:t>
      </w:r>
      <w:r>
        <w:rPr>
          <w:lang w:eastAsia="en-GB"/>
        </w:rPr>
        <w:tab/>
      </w:r>
      <w:r>
        <w:rPr>
          <w:lang w:eastAsia="en-GB"/>
        </w:rPr>
        <w:t xml:space="preserve">Downlink signals are initially set up according to Annex </w:t>
      </w:r>
      <w:r>
        <w:rPr>
          <w:lang w:eastAsia="ko-KR"/>
        </w:rPr>
        <w:t xml:space="preserve">C0, </w:t>
      </w:r>
      <w:r>
        <w:rPr>
          <w:lang w:eastAsia="en-GB"/>
        </w:rPr>
        <w:t>C.1 and C.3.0, and uplink signals according to Annex H.1 and H.3.0.</w:t>
      </w:r>
    </w:p>
    <w:p>
      <w:pPr>
        <w:ind w:left="568" w:hanging="284"/>
        <w:rPr>
          <w:lang w:eastAsia="en-GB"/>
        </w:rPr>
      </w:pPr>
      <w:r>
        <w:rPr>
          <w:lang w:eastAsia="en-GB"/>
        </w:rPr>
        <w:t>4.</w:t>
      </w:r>
      <w:r>
        <w:rPr>
          <w:lang w:eastAsia="en-GB"/>
        </w:rPr>
        <w:tab/>
      </w:r>
      <w:r>
        <w:rPr>
          <w:lang w:eastAsia="en-GB"/>
        </w:rPr>
        <w:t xml:space="preserve">The UL Reference Measurement channels are set according to </w:t>
      </w:r>
      <w:bookmarkStart w:id="657" w:name="_Hlk141262737"/>
      <w:r>
        <w:rPr>
          <w:lang w:eastAsia="en-GB"/>
        </w:rPr>
        <w:t xml:space="preserve">Table 6.5B.4.4.4.1-1 to Table 6.5B.4.4.4.1-2 </w:t>
      </w:r>
      <w:bookmarkEnd w:id="657"/>
      <w:r>
        <w:rPr>
          <w:rFonts w:eastAsia="MS Mincho"/>
          <w:lang w:eastAsia="en-GB"/>
        </w:rPr>
        <w:t>depending on network signal value</w:t>
      </w:r>
      <w:r>
        <w:rPr>
          <w:lang w:eastAsia="en-GB"/>
        </w:rPr>
        <w:t>.</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lang w:eastAsia="en-GB"/>
        </w:rPr>
        <w:t>Ensure the UE is in State 3A-RF-CE according to TS 36.508 [12] clause 5.2A.2AA. Message contents are defined in clause 6.5B.4.4.4.3.</w:t>
      </w:r>
    </w:p>
    <w:p>
      <w:pPr>
        <w:keepNext/>
        <w:keepLines/>
        <w:spacing w:before="120"/>
        <w:ind w:left="1985" w:hanging="1985"/>
        <w:rPr>
          <w:rFonts w:ascii="Arial" w:hAnsi="Arial"/>
          <w:snapToGrid w:val="0"/>
          <w:lang w:eastAsia="en-GB"/>
        </w:rPr>
      </w:pPr>
      <w:bookmarkStart w:id="658" w:name="_Hlk141273203"/>
      <w:r>
        <w:rPr>
          <w:rFonts w:ascii="Arial" w:hAnsi="Arial"/>
          <w:lang w:eastAsia="en-GB"/>
        </w:rPr>
        <w:t>6.5B.4.4</w:t>
      </w:r>
      <w:bookmarkEnd w:id="658"/>
      <w:r>
        <w:rPr>
          <w:rFonts w:ascii="Arial" w:hAnsi="Arial"/>
          <w:lang w:eastAsia="en-GB"/>
        </w:rPr>
        <w:t>.4.2</w:t>
      </w:r>
      <w:r>
        <w:rPr>
          <w:rFonts w:ascii="Arial" w:hAnsi="Arial"/>
          <w:lang w:eastAsia="en-GB"/>
        </w:rPr>
        <w:tab/>
      </w:r>
      <w:r>
        <w:rPr>
          <w:rFonts w:ascii="Arial" w:hAnsi="Arial"/>
          <w:snapToGrid w:val="0"/>
          <w:lang w:eastAsia="en-GB"/>
        </w:rPr>
        <w:t>Test procedure</w:t>
      </w:r>
    </w:p>
    <w:p>
      <w:pPr>
        <w:ind w:left="568" w:hanging="284"/>
        <w:rPr>
          <w:lang w:eastAsia="en-GB"/>
        </w:rPr>
      </w:pPr>
      <w:r>
        <w:rPr>
          <w:lang w:eastAsia="en-GB"/>
        </w:rPr>
        <w:t>1.</w:t>
      </w:r>
      <w:r>
        <w:rPr>
          <w:lang w:eastAsia="en-GB"/>
        </w:rPr>
        <w:tab/>
      </w:r>
      <w:r>
        <w:rPr>
          <w:lang w:eastAsia="en-GB"/>
        </w:rPr>
        <w:t xml:space="preserve">SS sends uplink scheduling information </w:t>
      </w:r>
      <w:r>
        <w:rPr>
          <w:rFonts w:eastAsia="MS Mincho"/>
          <w:lang w:eastAsia="en-GB"/>
        </w:rPr>
        <w:t>for each UL HARQ process</w:t>
      </w:r>
      <w:r>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Pr>
          <w:rFonts w:eastAsia="MS Mincho"/>
          <w:lang w:eastAsia="en-GB"/>
        </w:rPr>
        <w:t>.</w:t>
      </w:r>
    </w:p>
    <w:p>
      <w:pPr>
        <w:ind w:left="568" w:hanging="284"/>
        <w:rPr>
          <w:lang w:eastAsia="en-GB"/>
        </w:rPr>
      </w:pPr>
      <w:r>
        <w:rPr>
          <w:lang w:eastAsia="en-GB"/>
        </w:rPr>
        <w:t>2.</w:t>
      </w:r>
      <w:r>
        <w:rPr>
          <w:lang w:eastAsia="en-GB"/>
        </w:rPr>
        <w:tab/>
      </w:r>
      <w:r>
        <w:rPr>
          <w:lang w:eastAsia="en-GB"/>
        </w:rPr>
        <w:t xml:space="preserve">Send continuously uplink power control "up" commands </w:t>
      </w:r>
      <w:r>
        <w:rPr>
          <w:rFonts w:eastAsia="MS Mincho"/>
          <w:lang w:eastAsia="en-GB"/>
        </w:rPr>
        <w:t>in the uplink scheduling information</w:t>
      </w:r>
      <w:r>
        <w:rPr>
          <w:lang w:eastAsia="en-GB"/>
        </w:rPr>
        <w:t xml:space="preserve"> to the UE until the UE transmits at P</w:t>
      </w:r>
      <w:r>
        <w:rPr>
          <w:vertAlign w:val="subscript"/>
          <w:lang w:eastAsia="en-GB"/>
        </w:rPr>
        <w:t>UMAX</w:t>
      </w:r>
      <w:r>
        <w:rPr>
          <w:lang w:eastAsia="en-GB"/>
        </w:rPr>
        <w:t xml:space="preserve"> level</w:t>
      </w:r>
      <w:r>
        <w:rPr>
          <w:rFonts w:eastAsia="MS Mincho"/>
          <w:lang w:eastAsia="en-GB"/>
        </w:rPr>
        <w:t>.</w:t>
      </w:r>
    </w:p>
    <w:p>
      <w:pPr>
        <w:ind w:left="568" w:hanging="284"/>
        <w:rPr>
          <w:lang w:eastAsia="en-GB"/>
        </w:rPr>
      </w:pPr>
      <w:r>
        <w:rPr>
          <w:lang w:eastAsia="en-GB"/>
        </w:rPr>
        <w:t>3.</w:t>
      </w:r>
      <w:r>
        <w:rPr>
          <w:lang w:eastAsia="en-GB"/>
        </w:rPr>
        <w:tab/>
      </w:r>
      <w:r>
        <w:rPr>
          <w:lang w:eastAsia="en-GB"/>
        </w:rPr>
        <w:t>Measure the mean power of the UE in the channel bandwidth of the radio access mode according to the test configuration, which shall meet the requirements described in Tables 6.2B.3.5-1 to 6.2B.3.5</w:t>
      </w:r>
      <w:r>
        <w:rPr>
          <w:lang w:eastAsia="en-GB"/>
        </w:rPr>
        <w:noBreakHyphen/>
      </w:r>
      <w:r>
        <w:rPr>
          <w:lang w:eastAsia="en-GB"/>
        </w:rPr>
        <w:t>2 for Power Class 3 UEs as appropriate. The period of the measurement shall be at least one sub-frame (1ms).</w:t>
      </w:r>
    </w:p>
    <w:p>
      <w:pPr>
        <w:ind w:left="568" w:hanging="284"/>
        <w:rPr>
          <w:lang w:eastAsia="en-GB"/>
        </w:rPr>
      </w:pPr>
      <w:r>
        <w:rPr>
          <w:lang w:eastAsia="en-GB"/>
        </w:rPr>
        <w:t>4.</w:t>
      </w:r>
      <w:r>
        <w:rPr>
          <w:lang w:eastAsia="en-GB"/>
        </w:rPr>
        <w:tab/>
      </w:r>
      <w:r>
        <w:rPr>
          <w:lang w:eastAsia="en-GB"/>
        </w:rPr>
        <w:t xml:space="preserve">Measure the power of the transmitted signal with a measurement filter of bandwidths according to Table 6.5B.4.4.5.1-1 to </w:t>
      </w:r>
      <w:r>
        <w:rPr>
          <w:rFonts w:eastAsia="MS Mincho"/>
          <w:lang w:eastAsia="en-GB"/>
        </w:rPr>
        <w:t>6.5B.4.4.5.</w:t>
      </w:r>
      <w:r>
        <w:rPr>
          <w:lang w:eastAsia="en-GB"/>
        </w:rPr>
        <w:t>2</w:t>
      </w:r>
      <w:r>
        <w:rPr>
          <w:rFonts w:eastAsia="MS Mincho"/>
          <w:lang w:eastAsia="en-GB"/>
        </w:rPr>
        <w:t>-1</w:t>
      </w:r>
      <w:r>
        <w:rPr>
          <w:lang w:eastAsia="en-GB"/>
        </w:rPr>
        <w:t xml:space="preserve"> as appropriate. The centre frequency of the filter shall be stepped in contiguous steps according to the same table. The measured power shall be verified for each step. The measurement period shall capture the active </w:t>
      </w:r>
      <w:r>
        <w:rPr>
          <w:rFonts w:eastAsia="MS Mincho"/>
          <w:lang w:eastAsia="en-GB"/>
        </w:rPr>
        <w:t>time slot</w:t>
      </w:r>
      <w:r>
        <w:rPr>
          <w:lang w:eastAsia="en-GB"/>
        </w:rPr>
        <w:t>s. During measurement the spectrum analyser shall be set to 'Detector' = RMS.</w:t>
      </w:r>
    </w:p>
    <w:p>
      <w:pPr>
        <w:keepNext/>
        <w:keepLines/>
        <w:spacing w:before="120"/>
        <w:ind w:left="1985" w:hanging="1985"/>
        <w:rPr>
          <w:rFonts w:ascii="Arial" w:hAnsi="Arial"/>
          <w:snapToGrid w:val="0"/>
          <w:lang w:eastAsia="en-GB"/>
        </w:rPr>
      </w:pPr>
      <w:r>
        <w:rPr>
          <w:rFonts w:ascii="Arial" w:hAnsi="Arial"/>
          <w:lang w:eastAsia="en-GB"/>
        </w:rPr>
        <w:t>6.5B.4.4.4.3</w:t>
      </w:r>
      <w:r>
        <w:rPr>
          <w:rFonts w:ascii="Arial" w:hAnsi="Arial"/>
          <w:lang w:eastAsia="en-GB"/>
        </w:rPr>
        <w:tab/>
      </w:r>
      <w:r>
        <w:rPr>
          <w:rFonts w:ascii="Arial" w:hAnsi="Arial"/>
          <w:snapToGrid w:val="0"/>
          <w:lang w:eastAsia="en-GB"/>
        </w:rPr>
        <w:t>Message contents</w:t>
      </w:r>
    </w:p>
    <w:p>
      <w:pPr>
        <w:rPr>
          <w:lang w:eastAsia="en-GB"/>
        </w:rPr>
      </w:pPr>
      <w:r>
        <w:rPr>
          <w:lang w:eastAsia="en-GB"/>
        </w:rPr>
        <w:t>Message contents are same as in clause 6.2B.3.4.3.</w:t>
      </w:r>
    </w:p>
    <w:p>
      <w:pPr>
        <w:pStyle w:val="9"/>
        <w:rPr>
          <w:rFonts w:eastAsia="MS Mincho"/>
          <w:lang w:eastAsia="en-GB"/>
        </w:rPr>
      </w:pPr>
      <w:bookmarkStart w:id="659" w:name="_Hlk141274009"/>
      <w:r>
        <w:rPr>
          <w:snapToGrid w:val="0"/>
          <w:lang w:eastAsia="en-GB"/>
        </w:rPr>
        <w:t>6.5B.4.4.5</w:t>
      </w:r>
      <w:bookmarkEnd w:id="659"/>
      <w:r>
        <w:rPr>
          <w:snapToGrid w:val="0"/>
          <w:lang w:eastAsia="en-GB"/>
        </w:rPr>
        <w:tab/>
      </w:r>
      <w:r>
        <w:rPr>
          <w:lang w:eastAsia="en-GB"/>
        </w:rPr>
        <w:t>Test requirement</w:t>
      </w:r>
    </w:p>
    <w:p>
      <w:pPr>
        <w:rPr>
          <w:lang w:eastAsia="en-GB"/>
        </w:rPr>
      </w:pPr>
      <w:r>
        <w:rPr>
          <w:lang w:eastAsia="en-GB"/>
        </w:rPr>
        <w:t>The measured UE mean power in the channel bandwidth, derived in step 3, shall fulfil requirements in Tables 6.2B.3.5-1 to 6.2B.3.5</w:t>
      </w:r>
      <w:r>
        <w:rPr>
          <w:lang w:eastAsia="en-GB"/>
        </w:rPr>
        <w:noBreakHyphen/>
      </w:r>
      <w:r>
        <w:rPr>
          <w:lang w:eastAsia="en-GB"/>
        </w:rPr>
        <w:t>2 as appropriate.</w:t>
      </w:r>
    </w:p>
    <w:p>
      <w:pPr>
        <w:keepNext/>
        <w:keepLines/>
        <w:spacing w:before="120"/>
        <w:ind w:left="1985" w:hanging="1985"/>
        <w:rPr>
          <w:rFonts w:ascii="Arial" w:hAnsi="Arial"/>
          <w:lang w:eastAsia="en-GB"/>
        </w:rPr>
      </w:pPr>
      <w:r>
        <w:rPr>
          <w:rFonts w:ascii="Arial" w:hAnsi="Arial"/>
          <w:lang w:eastAsia="en-GB"/>
        </w:rPr>
        <w:t>6.5B.4.4.5.1</w:t>
      </w:r>
      <w:r>
        <w:rPr>
          <w:rFonts w:ascii="Arial" w:hAnsi="Arial"/>
          <w:lang w:eastAsia="en-GB"/>
        </w:rPr>
        <w:tab/>
      </w:r>
      <w:r>
        <w:rPr>
          <w:rFonts w:ascii="Arial" w:hAnsi="Arial"/>
          <w:lang w:eastAsia="en-GB"/>
        </w:rPr>
        <w:t>Test requirement (network signalled value "NS_02N ")</w:t>
      </w:r>
    </w:p>
    <w:p>
      <w:pPr>
        <w:rPr>
          <w:rFonts w:eastAsia="PMingLiU"/>
          <w:lang w:eastAsia="zh-TW"/>
        </w:rPr>
      </w:pPr>
      <w:r>
        <w:rPr>
          <w:color w:val="000000"/>
          <w:lang w:val="en-US" w:eastAsia="en-GB"/>
        </w:rPr>
        <w:t>When "NS_</w:t>
      </w:r>
      <w:r>
        <w:rPr>
          <w:rFonts w:hint="eastAsia"/>
          <w:color w:val="000000"/>
          <w:lang w:val="en-US"/>
        </w:rPr>
        <w:t>02N</w:t>
      </w:r>
      <w:r>
        <w:rPr>
          <w:color w:val="000000"/>
          <w:lang w:val="en-US" w:eastAsia="en-GB"/>
        </w:rPr>
        <w:t xml:space="preserve">" is indicated in the cell, the power of any UE </w:t>
      </w:r>
      <w:r>
        <w:rPr>
          <w:rFonts w:hint="eastAsia"/>
          <w:color w:val="000000"/>
          <w:lang w:val="en-US"/>
        </w:rPr>
        <w:t xml:space="preserve">spurious </w:t>
      </w:r>
      <w:r>
        <w:rPr>
          <w:color w:val="000000"/>
          <w:lang w:val="en-US" w:eastAsia="en-GB"/>
        </w:rPr>
        <w:t>emission shall not exceed the levels specified in Table 6.5B.4.4.5.1-1 and 6.5B.4.4.5.1-2.</w:t>
      </w:r>
      <w:r>
        <w:rPr>
          <w:color w:val="000000"/>
          <w:lang w:val="en-US"/>
        </w:rPr>
        <w:t xml:space="preserve"> </w:t>
      </w:r>
      <w:r>
        <w:rPr>
          <w:color w:val="000000"/>
          <w:lang w:eastAsia="en-GB"/>
        </w:rPr>
        <w:t>This requirement also applies for the frequency ranges that are less than F</w:t>
      </w:r>
      <w:r>
        <w:rPr>
          <w:color w:val="000000"/>
          <w:vertAlign w:val="subscript"/>
          <w:lang w:eastAsia="en-GB"/>
        </w:rPr>
        <w:t>OOB</w:t>
      </w:r>
      <w:r>
        <w:rPr>
          <w:color w:val="000000"/>
          <w:lang w:eastAsia="en-GB"/>
        </w:rPr>
        <w:t xml:space="preserve"> (</w:t>
      </w:r>
      <w:r>
        <w:rPr>
          <w:color w:val="000000"/>
          <w:lang w:val="en-US" w:eastAsia="en-GB"/>
        </w:rPr>
        <w:t xml:space="preserve">MHz) </w:t>
      </w:r>
      <w:r>
        <w:rPr>
          <w:color w:val="000000"/>
          <w:lang w:val="en-US"/>
        </w:rPr>
        <w:t xml:space="preserve">specified in </w:t>
      </w:r>
      <w:r>
        <w:rPr>
          <w:color w:val="000000"/>
          <w:lang w:val="en-US" w:eastAsia="en-GB"/>
        </w:rPr>
        <w:t>6.5B.</w:t>
      </w:r>
      <w:r>
        <w:rPr>
          <w:color w:val="000000"/>
          <w:lang w:val="en-US"/>
        </w:rPr>
        <w:t>4</w:t>
      </w:r>
      <w:r>
        <w:rPr>
          <w:color w:val="000000"/>
          <w:lang w:val="en-US" w:eastAsia="en-GB"/>
        </w:rPr>
        <w:t>.</w:t>
      </w:r>
      <w:r>
        <w:rPr>
          <w:color w:val="000000"/>
          <w:lang w:val="en-US"/>
        </w:rPr>
        <w:t>2</w:t>
      </w:r>
      <w:r>
        <w:rPr>
          <w:color w:val="000000"/>
          <w:lang w:val="en-US" w:eastAsia="en-GB"/>
        </w:rPr>
        <w:t xml:space="preserve"> from the edge of the channel bandwidth. </w:t>
      </w:r>
      <w:r>
        <w:rPr>
          <w:lang w:eastAsia="en-GB"/>
        </w:rPr>
        <w:t xml:space="preserve">Network signalling remark NS_02N applies integer-value 2. </w:t>
      </w:r>
    </w:p>
    <w:p>
      <w:pPr>
        <w:keepNext/>
        <w:keepLines/>
        <w:spacing w:before="60"/>
        <w:jc w:val="center"/>
        <w:rPr>
          <w:rFonts w:ascii="Arial" w:hAnsi="Arial"/>
          <w:b/>
          <w:lang w:eastAsia="en-GB"/>
        </w:rPr>
      </w:pPr>
      <w:r>
        <w:rPr>
          <w:rFonts w:ascii="Arial" w:hAnsi="Arial"/>
          <w:b/>
          <w:lang w:eastAsia="en-GB"/>
        </w:rPr>
        <w:t>Table 6.5B.</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w:t>
      </w:r>
      <w:r>
        <w:rPr>
          <w:rFonts w:ascii="Arial" w:hAnsi="Arial"/>
          <w:b/>
          <w:lang w:val="en-US"/>
        </w:rPr>
        <w:t>5.1</w:t>
      </w:r>
      <w:r>
        <w:rPr>
          <w:rFonts w:ascii="Arial" w:hAnsi="Arial"/>
          <w:b/>
          <w:lang w:eastAsia="en-GB"/>
        </w:rPr>
        <w:t xml:space="preserve">-1: Additional requirements for </w:t>
      </w:r>
      <w:r>
        <w:rPr>
          <w:rFonts w:ascii="Arial" w:hAnsi="Arial" w:eastAsia="Yu Mincho"/>
          <w:b/>
          <w:lang w:eastAsia="en-GB"/>
        </w:rPr>
        <w:t>"</w:t>
      </w:r>
      <w:r>
        <w:rPr>
          <w:rFonts w:ascii="Arial" w:hAnsi="Arial"/>
          <w:b/>
          <w:lang w:eastAsia="en-GB"/>
        </w:rPr>
        <w:t>NS_</w:t>
      </w:r>
      <w:r>
        <w:rPr>
          <w:rFonts w:hint="eastAsia" w:ascii="Arial" w:hAnsi="Arial"/>
          <w:b/>
          <w:lang w:val="en-US"/>
        </w:rPr>
        <w:t>02</w:t>
      </w:r>
      <w:r>
        <w:rPr>
          <w:rFonts w:ascii="Arial" w:hAnsi="Arial"/>
          <w:b/>
          <w:lang w:val="en-US" w:eastAsia="en-GB"/>
        </w:rPr>
        <w:t>N</w:t>
      </w:r>
      <w:r>
        <w:rPr>
          <w:rFonts w:ascii="Arial" w:hAnsi="Arial" w:eastAsia="Yu Mincho"/>
          <w:b/>
          <w:lang w:eastAsia="en-GB"/>
        </w:rPr>
        <w:t>"</w:t>
      </w:r>
    </w:p>
    <w:tbl>
      <w:tblPr>
        <w:tblStyle w:val="89"/>
        <w:tblW w:w="75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8"/>
        <w:gridCol w:w="2065"/>
        <w:gridCol w:w="1377"/>
        <w:gridCol w:w="2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5" w:hRule="atLeast"/>
          <w:jc w:val="center"/>
        </w:trPr>
        <w:tc>
          <w:tcPr>
            <w:tcW w:w="1848"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Frequency band</w:t>
            </w:r>
          </w:p>
          <w:p>
            <w:pPr>
              <w:keepNext/>
              <w:keepLines/>
              <w:spacing w:after="0"/>
              <w:jc w:val="center"/>
              <w:rPr>
                <w:rFonts w:ascii="Arial" w:hAnsi="Arial" w:cs="Arial"/>
                <w:b/>
                <w:bCs/>
                <w:sz w:val="18"/>
                <w:lang w:eastAsia="en-GB"/>
              </w:rPr>
            </w:pPr>
            <w:r>
              <w:rPr>
                <w:rFonts w:ascii="Arial" w:hAnsi="Arial" w:cs="Arial"/>
                <w:b/>
                <w:bCs/>
                <w:sz w:val="18"/>
                <w:lang w:eastAsia="en-GB"/>
              </w:rPr>
              <w:t>(MHz)</w:t>
            </w:r>
          </w:p>
        </w:tc>
        <w:tc>
          <w:tcPr>
            <w:tcW w:w="2065" w:type="dxa"/>
          </w:tcPr>
          <w:p>
            <w:pPr>
              <w:keepNext/>
              <w:keepLines/>
              <w:spacing w:after="0"/>
              <w:jc w:val="center"/>
              <w:rPr>
                <w:rFonts w:ascii="Arial" w:hAnsi="Arial" w:cs="Arial"/>
                <w:b/>
                <w:bCs/>
                <w:sz w:val="18"/>
                <w:lang w:eastAsia="en-GB"/>
              </w:rPr>
            </w:pPr>
            <w:r>
              <w:rPr>
                <w:rFonts w:ascii="Arial" w:hAnsi="Arial" w:cs="Arial"/>
                <w:b/>
                <w:bCs/>
                <w:sz w:val="18"/>
                <w:lang w:eastAsia="en-GB"/>
              </w:rPr>
              <w:t>Channel bandwidth / Spectrum emission limit</w:t>
            </w:r>
            <w:r>
              <w:rPr>
                <w:rFonts w:ascii="Arial" w:hAnsi="Arial" w:cs="Arial"/>
                <w:b/>
                <w:bCs/>
                <w:sz w:val="18"/>
                <w:vertAlign w:val="superscript"/>
                <w:lang w:eastAsia="en-GB"/>
              </w:rPr>
              <w:t>1</w:t>
            </w:r>
            <w:r>
              <w:rPr>
                <w:rFonts w:ascii="Arial" w:hAnsi="Arial" w:cs="Arial"/>
                <w:b/>
                <w:bCs/>
                <w:sz w:val="18"/>
                <w:lang w:eastAsia="en-GB"/>
              </w:rPr>
              <w:t xml:space="preserve"> (dB</w:t>
            </w:r>
            <w:r>
              <w:rPr>
                <w:rFonts w:hint="eastAsia" w:ascii="Arial" w:hAnsi="Arial" w:cs="Arial"/>
                <w:b/>
                <w:bCs/>
                <w:sz w:val="18"/>
                <w:lang w:val="en-US"/>
              </w:rPr>
              <w:t>m</w:t>
            </w:r>
            <w:r>
              <w:rPr>
                <w:rFonts w:ascii="Arial" w:hAnsi="Arial" w:cs="Arial"/>
                <w:b/>
                <w:bCs/>
                <w:sz w:val="18"/>
                <w:lang w:eastAsia="en-GB"/>
              </w:rPr>
              <w:t>)</w:t>
            </w:r>
          </w:p>
        </w:tc>
        <w:tc>
          <w:tcPr>
            <w:tcW w:w="1377"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 xml:space="preserve">Measurement bandwidth </w:t>
            </w:r>
          </w:p>
        </w:tc>
        <w:tc>
          <w:tcPr>
            <w:tcW w:w="2222" w:type="dxa"/>
            <w:vMerge w:val="restart"/>
          </w:tcPr>
          <w:p>
            <w:pPr>
              <w:keepNext/>
              <w:keepLines/>
              <w:spacing w:after="0"/>
              <w:jc w:val="center"/>
              <w:rPr>
                <w:rFonts w:ascii="Arial" w:hAnsi="Arial" w:cs="Arial"/>
                <w:b/>
                <w:bCs/>
                <w:sz w:val="18"/>
                <w:lang w:eastAsia="en-GB"/>
              </w:rPr>
            </w:pPr>
            <w:r>
              <w:rPr>
                <w:rFonts w:ascii="Arial" w:hAnsi="Arial" w:cs="Arial"/>
                <w:b/>
                <w:bCs/>
                <w:sz w:val="18"/>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1" w:hRule="atLeast"/>
          <w:jc w:val="center"/>
        </w:trPr>
        <w:tc>
          <w:tcPr>
            <w:tcW w:w="1848" w:type="dxa"/>
            <w:vMerge w:val="continue"/>
          </w:tcPr>
          <w:p>
            <w:pPr>
              <w:keepNext/>
              <w:keepLines/>
              <w:spacing w:after="0"/>
              <w:jc w:val="center"/>
              <w:rPr>
                <w:rFonts w:ascii="Arial" w:hAnsi="Arial" w:cs="Arial"/>
                <w:sz w:val="18"/>
                <w:lang w:eastAsia="en-GB"/>
              </w:rPr>
            </w:pPr>
          </w:p>
        </w:tc>
        <w:tc>
          <w:tcPr>
            <w:tcW w:w="2065" w:type="dxa"/>
          </w:tcPr>
          <w:p>
            <w:pPr>
              <w:keepNext/>
              <w:keepLines/>
              <w:spacing w:after="0"/>
              <w:jc w:val="center"/>
              <w:rPr>
                <w:rFonts w:ascii="Arial" w:hAnsi="Arial" w:cs="Arial"/>
                <w:sz w:val="18"/>
                <w:lang w:val="en-US"/>
              </w:rPr>
            </w:pPr>
            <w:r>
              <w:rPr>
                <w:rFonts w:hint="eastAsia" w:ascii="Arial" w:hAnsi="Arial" w:cs="Arial"/>
                <w:sz w:val="18"/>
                <w:lang w:val="en-US"/>
              </w:rPr>
              <w:t>200kHz</w:t>
            </w:r>
          </w:p>
        </w:tc>
        <w:tc>
          <w:tcPr>
            <w:tcW w:w="1377" w:type="dxa"/>
            <w:vMerge w:val="continue"/>
          </w:tcPr>
          <w:p>
            <w:pPr>
              <w:keepNext/>
              <w:keepLines/>
              <w:ind w:left="800"/>
              <w:jc w:val="center"/>
              <w:rPr>
                <w:rFonts w:ascii="Arial" w:hAnsi="Arial" w:cs="Arial"/>
                <w:snapToGrid w:val="0"/>
                <w:kern w:val="2"/>
                <w:sz w:val="18"/>
                <w:szCs w:val="18"/>
                <w:lang w:eastAsia="en-GB"/>
              </w:rPr>
            </w:pPr>
          </w:p>
        </w:tc>
        <w:tc>
          <w:tcPr>
            <w:tcW w:w="2222" w:type="dxa"/>
            <w:vMerge w:val="continue"/>
            <w:tcBorders>
              <w:bottom w:val="single" w:color="auto" w:sz="4" w:space="0"/>
            </w:tcBorders>
          </w:tcPr>
          <w:p>
            <w:pPr>
              <w:keepNext/>
              <w:keepLines/>
              <w:ind w:left="800"/>
              <w:jc w:val="center"/>
              <w:rPr>
                <w:rFonts w:ascii="Arial" w:hAnsi="Arial" w:cs="Arial"/>
                <w:snapToGrid w:val="0"/>
                <w:kern w:val="2"/>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15</w:t>
            </w:r>
            <w:r>
              <w:rPr>
                <w:rFonts w:ascii="Arial" w:hAnsi="Arial" w:cs="Arial"/>
                <w:sz w:val="18"/>
                <w:szCs w:val="18"/>
                <w:lang w:val="en-US" w:eastAsia="en-GB"/>
              </w:rPr>
              <w:t>59</w:t>
            </w:r>
            <w:r>
              <w:rPr>
                <w:rFonts w:ascii="Arial" w:hAnsi="Arial" w:cs="Arial"/>
                <w:sz w:val="18"/>
                <w:szCs w:val="18"/>
                <w:lang w:eastAsia="en-GB"/>
              </w:rPr>
              <w:t>≤ f ≤ 16</w:t>
            </w:r>
            <w:r>
              <w:rPr>
                <w:rFonts w:ascii="Arial" w:hAnsi="Arial" w:cs="Arial"/>
                <w:sz w:val="18"/>
                <w:szCs w:val="18"/>
                <w:lang w:val="en-US" w:eastAsia="en-GB"/>
              </w:rPr>
              <w:t>05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p>
        </w:tc>
        <w:tc>
          <w:tcPr>
            <w:tcW w:w="1377"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700 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605</w:t>
            </w:r>
            <w:r>
              <w:rPr>
                <w:rFonts w:ascii="Arial" w:hAnsi="Arial" w:cs="Arial"/>
                <w:sz w:val="18"/>
                <w:szCs w:val="18"/>
                <w:lang w:eastAsia="en-GB"/>
              </w:rPr>
              <w:t>≤ f ≤ 1610</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val="en-US" w:eastAsia="en-GB"/>
              </w:rPr>
              <w:t>-50</w:t>
            </w:r>
            <w:r>
              <w:rPr>
                <w:rFonts w:ascii="Arial" w:hAnsi="Arial" w:cs="Arial"/>
                <w:sz w:val="18"/>
                <w:szCs w:val="18"/>
                <w:lang w:eastAsia="en-GB"/>
              </w:rPr>
              <w:t xml:space="preserve"> </w:t>
            </w:r>
            <w:r>
              <w:rPr>
                <w:rFonts w:ascii="Arial" w:hAnsi="Arial" w:cs="Arial"/>
                <w:sz w:val="18"/>
                <w:szCs w:val="18"/>
                <w:lang w:val="en-US" w:eastAsia="en-GB"/>
              </w:rPr>
              <w:t>+ 24/5 (f-1605)</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700Hz</w:t>
            </w:r>
          </w:p>
        </w:tc>
        <w:tc>
          <w:tcPr>
            <w:tcW w:w="2222" w:type="dxa"/>
            <w:tcBorders>
              <w:top w:val="nil"/>
              <w:bottom w:val="nil"/>
            </w:tcBorders>
            <w:shd w:val="clear" w:color="auto" w:fill="auto"/>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1</w:t>
            </w:r>
            <w:r>
              <w:rPr>
                <w:rFonts w:ascii="Arial" w:hAnsi="Arial" w:cs="Arial"/>
                <w:sz w:val="18"/>
                <w:szCs w:val="18"/>
                <w:lang w:val="en-US" w:eastAsia="en-GB"/>
              </w:rPr>
              <w:t>559</w:t>
            </w:r>
            <w:r>
              <w:rPr>
                <w:rFonts w:ascii="Arial" w:hAnsi="Arial" w:cs="Arial"/>
                <w:sz w:val="18"/>
                <w:szCs w:val="18"/>
                <w:lang w:eastAsia="en-GB"/>
              </w:rPr>
              <w:t xml:space="preserve"> ≤ f ≤ 160</w:t>
            </w:r>
            <w:r>
              <w:rPr>
                <w:rFonts w:ascii="Arial" w:hAnsi="Arial" w:cs="Arial"/>
                <w:sz w:val="18"/>
                <w:szCs w:val="18"/>
                <w:lang w:val="en-US" w:eastAsia="en-GB"/>
              </w:rPr>
              <w:t>5</w:t>
            </w:r>
          </w:p>
        </w:tc>
        <w:tc>
          <w:tcPr>
            <w:tcW w:w="2065" w:type="dxa"/>
          </w:tcPr>
          <w:p>
            <w:pPr>
              <w:keepNext/>
              <w:keepLines/>
              <w:spacing w:after="0"/>
              <w:jc w:val="center"/>
              <w:rPr>
                <w:rFonts w:ascii="Arial" w:hAnsi="Arial" w:cs="Arial"/>
                <w:sz w:val="18"/>
                <w:szCs w:val="18"/>
                <w:lang w:val="en-US" w:eastAsia="en-GB"/>
              </w:rPr>
            </w:pPr>
            <w:r>
              <w:rPr>
                <w:rFonts w:ascii="Arial" w:hAnsi="Arial" w:cs="Arial"/>
                <w:sz w:val="18"/>
                <w:szCs w:val="18"/>
                <w:lang w:eastAsia="en-GB"/>
              </w:rPr>
              <w:t>-40</w:t>
            </w:r>
          </w:p>
        </w:tc>
        <w:tc>
          <w:tcPr>
            <w:tcW w:w="1377" w:type="dxa"/>
          </w:tcPr>
          <w:p>
            <w:pPr>
              <w:keepNext/>
              <w:keepLines/>
              <w:spacing w:after="0"/>
              <w:jc w:val="center"/>
              <w:rPr>
                <w:rFonts w:ascii="Arial" w:hAnsi="Arial" w:cs="Arial"/>
                <w:sz w:val="18"/>
                <w:szCs w:val="18"/>
                <w:lang w:eastAsia="en-GB"/>
              </w:rPr>
            </w:pPr>
            <w:r>
              <w:rPr>
                <w:rFonts w:ascii="Arial" w:hAnsi="Arial" w:cs="Arial"/>
                <w:sz w:val="18"/>
                <w:szCs w:val="18"/>
                <w:lang w:eastAsia="en-GB"/>
              </w:rPr>
              <w:t>1MHz</w:t>
            </w:r>
          </w:p>
        </w:tc>
        <w:tc>
          <w:tcPr>
            <w:tcW w:w="2222" w:type="dxa"/>
            <w:tcBorders>
              <w:bottom w:val="nil"/>
            </w:tcBorders>
            <w:shd w:val="clear" w:color="auto" w:fill="auto"/>
          </w:tcPr>
          <w:p>
            <w:pPr>
              <w:keepNext/>
              <w:keepLines/>
              <w:spacing w:after="0"/>
              <w:jc w:val="center"/>
              <w:rPr>
                <w:rFonts w:ascii="Arial" w:hAnsi="Arial" w:cs="Arial"/>
                <w:sz w:val="18"/>
                <w:szCs w:val="18"/>
                <w:lang w:eastAsia="en-GB"/>
              </w:rPr>
            </w:pPr>
            <w:r>
              <w:rPr>
                <w:rFonts w:ascii="Arial" w:hAnsi="Arial" w:cs="Arial"/>
                <w:sz w:val="18"/>
                <w:szCs w:val="18"/>
                <w:lang w:eastAsia="en-GB"/>
              </w:rPr>
              <w:t>Averaged over any 2 millisecond active transmission interval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8" w:type="dxa"/>
          </w:tcPr>
          <w:p>
            <w:pPr>
              <w:keepNext/>
              <w:keepLines/>
              <w:spacing w:after="0"/>
              <w:jc w:val="center"/>
              <w:rPr>
                <w:rFonts w:ascii="Arial" w:hAnsi="Arial" w:cs="Arial"/>
                <w:sz w:val="18"/>
                <w:lang w:eastAsia="en-GB"/>
              </w:rPr>
            </w:pPr>
            <w:r>
              <w:rPr>
                <w:rFonts w:ascii="Arial" w:hAnsi="Arial" w:cs="Arial"/>
                <w:sz w:val="18"/>
                <w:lang w:eastAsia="en-GB"/>
              </w:rPr>
              <w:t>160</w:t>
            </w:r>
            <w:r>
              <w:rPr>
                <w:rFonts w:ascii="Arial" w:hAnsi="Arial" w:cs="Arial"/>
                <w:sz w:val="18"/>
                <w:lang w:val="en-US" w:eastAsia="en-GB"/>
              </w:rPr>
              <w:t>5</w:t>
            </w:r>
            <w:r>
              <w:rPr>
                <w:rFonts w:ascii="Arial" w:hAnsi="Arial" w:cs="Arial"/>
                <w:sz w:val="18"/>
                <w:lang w:eastAsia="en-GB"/>
              </w:rPr>
              <w:t>≤ f ≤ 1610</w:t>
            </w:r>
          </w:p>
        </w:tc>
        <w:tc>
          <w:tcPr>
            <w:tcW w:w="2065" w:type="dxa"/>
          </w:tcPr>
          <w:p>
            <w:pPr>
              <w:keepNext/>
              <w:keepLines/>
              <w:spacing w:after="0"/>
              <w:jc w:val="center"/>
              <w:rPr>
                <w:rFonts w:ascii="Arial" w:hAnsi="Arial" w:cs="Arial"/>
                <w:sz w:val="18"/>
                <w:lang w:val="en-US" w:eastAsia="en-GB"/>
              </w:rPr>
            </w:pPr>
            <w:r>
              <w:rPr>
                <w:rFonts w:ascii="Arial" w:hAnsi="Arial" w:cs="Arial"/>
                <w:sz w:val="18"/>
                <w:szCs w:val="18"/>
                <w:lang w:eastAsia="en-GB"/>
              </w:rPr>
              <w:t>-40</w:t>
            </w:r>
            <w:r>
              <w:rPr>
                <w:rFonts w:ascii="Arial" w:hAnsi="Arial" w:cs="Arial"/>
                <w:sz w:val="18"/>
                <w:lang w:eastAsia="en-GB"/>
              </w:rPr>
              <w:t xml:space="preserve"> </w:t>
            </w:r>
            <w:r>
              <w:rPr>
                <w:rFonts w:ascii="Arial" w:hAnsi="Arial" w:cs="Arial"/>
                <w:sz w:val="18"/>
                <w:lang w:val="en-US" w:eastAsia="en-GB"/>
              </w:rPr>
              <w:t>+ 24/5 (f-1605)</w:t>
            </w:r>
          </w:p>
        </w:tc>
        <w:tc>
          <w:tcPr>
            <w:tcW w:w="1377" w:type="dxa"/>
          </w:tcPr>
          <w:p>
            <w:pPr>
              <w:keepNext/>
              <w:keepLines/>
              <w:spacing w:after="0"/>
              <w:jc w:val="center"/>
              <w:rPr>
                <w:rFonts w:ascii="Arial" w:hAnsi="Arial" w:cs="Arial"/>
                <w:sz w:val="18"/>
                <w:lang w:eastAsia="en-GB"/>
              </w:rPr>
            </w:pPr>
            <w:r>
              <w:rPr>
                <w:rFonts w:ascii="Arial" w:hAnsi="Arial" w:cs="Arial"/>
                <w:sz w:val="18"/>
                <w:lang w:eastAsia="en-GB"/>
              </w:rPr>
              <w:t>1MHz</w:t>
            </w:r>
          </w:p>
        </w:tc>
        <w:tc>
          <w:tcPr>
            <w:tcW w:w="2222" w:type="dxa"/>
            <w:tcBorders>
              <w:top w:val="nil"/>
              <w:bottom w:val="nil"/>
            </w:tcBorders>
            <w:shd w:val="clear" w:color="auto" w:fill="auto"/>
          </w:tcPr>
          <w:p>
            <w:pPr>
              <w:keepNext/>
              <w:keepLines/>
              <w:spacing w:after="0"/>
              <w:jc w:val="center"/>
              <w:rPr>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12" w:type="dxa"/>
            <w:gridSpan w:val="4"/>
          </w:tcPr>
          <w:p>
            <w:pPr>
              <w:keepNext/>
              <w:keepLines/>
              <w:spacing w:after="0"/>
              <w:ind w:left="851" w:hanging="851"/>
              <w:rPr>
                <w:sz w:val="18"/>
                <w:lang w:eastAsia="en-GB"/>
              </w:rPr>
            </w:pPr>
            <w:r>
              <w:rPr>
                <w:rFonts w:ascii="Arial" w:hAnsi="Arial" w:cs="Arial"/>
                <w:sz w:val="18"/>
                <w:lang w:eastAsia="en-GB"/>
              </w:rPr>
              <w:t>NOTE:</w:t>
            </w:r>
            <w:r>
              <w:rPr>
                <w:rFonts w:ascii="Arial" w:hAnsi="Arial"/>
                <w:sz w:val="18"/>
                <w:lang w:eastAsia="en-GB"/>
              </w:rPr>
              <w:tab/>
            </w:r>
            <w:r>
              <w:rPr>
                <w:rFonts w:ascii="Arial" w:hAnsi="Arial"/>
                <w:sz w:val="18"/>
                <w:lang w:eastAsia="en-GB"/>
              </w:rPr>
              <w:t>The EIRP requirement in regulation is converted to conducted requirement using a 0 dBi antenna.</w:t>
            </w:r>
          </w:p>
        </w:tc>
      </w:tr>
    </w:tbl>
    <w:p>
      <w:pPr>
        <w:rPr>
          <w:lang w:val="en-US"/>
        </w:rPr>
      </w:pPr>
    </w:p>
    <w:p>
      <w:pPr>
        <w:keepNext/>
        <w:keepLines/>
        <w:spacing w:before="60"/>
        <w:jc w:val="center"/>
        <w:rPr>
          <w:rFonts w:ascii="Arial" w:hAnsi="Arial"/>
          <w:b/>
          <w:color w:val="000000"/>
          <w:lang w:eastAsia="en-GB"/>
        </w:rPr>
      </w:pPr>
      <w:r>
        <w:rPr>
          <w:rFonts w:ascii="Arial" w:hAnsi="Arial"/>
          <w:b/>
          <w:color w:val="000000"/>
          <w:lang w:eastAsia="en-GB"/>
        </w:rPr>
        <w:t>Table 6.5B.4.</w:t>
      </w:r>
      <w:r>
        <w:rPr>
          <w:rFonts w:ascii="Arial" w:hAnsi="Arial"/>
          <w:b/>
          <w:color w:val="000000"/>
          <w:lang w:val="en-US"/>
        </w:rPr>
        <w:t>4</w:t>
      </w:r>
      <w:r>
        <w:rPr>
          <w:rFonts w:hint="eastAsia" w:ascii="Arial" w:hAnsi="Arial"/>
          <w:b/>
          <w:color w:val="000000"/>
          <w:lang w:val="en-US"/>
        </w:rPr>
        <w:t>.</w:t>
      </w:r>
      <w:r>
        <w:rPr>
          <w:rFonts w:ascii="Arial" w:hAnsi="Arial"/>
          <w:b/>
          <w:color w:val="000000"/>
          <w:lang w:val="en-US"/>
        </w:rPr>
        <w:t>5.1-</w:t>
      </w:r>
      <w:r>
        <w:rPr>
          <w:rFonts w:hint="eastAsia" w:ascii="Arial" w:hAnsi="Arial"/>
          <w:b/>
          <w:color w:val="000000"/>
          <w:lang w:val="en-US"/>
        </w:rPr>
        <w:t>2</w:t>
      </w:r>
      <w:r>
        <w:rPr>
          <w:rFonts w:ascii="Arial" w:hAnsi="Arial"/>
          <w:b/>
          <w:color w:val="000000"/>
          <w:lang w:eastAsia="en-GB"/>
        </w:rPr>
        <w:t>: Additional requirements</w:t>
      </w:r>
      <w:r>
        <w:rPr>
          <w:rFonts w:ascii="Arial" w:hAnsi="Arial"/>
          <w:b/>
          <w:lang w:eastAsia="en-GB"/>
        </w:rPr>
        <w:t xml:space="preserve"> for </w:t>
      </w:r>
      <w:r>
        <w:rPr>
          <w:rFonts w:ascii="Arial" w:hAnsi="Arial" w:eastAsia="Yu Mincho"/>
          <w:b/>
          <w:lang w:eastAsia="en-GB"/>
        </w:rPr>
        <w:t>"</w:t>
      </w:r>
      <w:r>
        <w:rPr>
          <w:rFonts w:ascii="Arial" w:hAnsi="Arial"/>
          <w:b/>
          <w:lang w:eastAsia="en-GB"/>
        </w:rPr>
        <w:t>NS_</w:t>
      </w:r>
      <w:r>
        <w:rPr>
          <w:rFonts w:ascii="Arial" w:hAnsi="Arial"/>
          <w:b/>
          <w:lang w:val="en-US"/>
        </w:rPr>
        <w:t>02</w:t>
      </w:r>
      <w:r>
        <w:rPr>
          <w:rFonts w:ascii="Arial" w:hAnsi="Arial"/>
          <w:b/>
          <w:lang w:val="en-US" w:eastAsia="en-GB"/>
        </w:rPr>
        <w:t>N</w:t>
      </w:r>
      <w:r>
        <w:rPr>
          <w:rFonts w:ascii="Arial" w:hAnsi="Arial" w:eastAsia="Yu Mincho"/>
          <w:b/>
          <w:lang w:eastAsia="en-GB"/>
        </w:rPr>
        <w:t>"</w:t>
      </w:r>
    </w:p>
    <w:tbl>
      <w:tblPr>
        <w:tblStyle w:val="89"/>
        <w:tblW w:w="56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84"/>
        <w:gridCol w:w="2589"/>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084"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Δf</w:t>
            </w:r>
            <w:r>
              <w:rPr>
                <w:rFonts w:ascii="Arial" w:hAnsi="Arial"/>
                <w:b/>
                <w:sz w:val="18"/>
                <w:vertAlign w:val="subscript"/>
                <w:lang w:eastAsia="en-GB"/>
              </w:rPr>
              <w:t>OOB</w:t>
            </w:r>
          </w:p>
          <w:p>
            <w:pPr>
              <w:keepNext/>
              <w:keepLines/>
              <w:spacing w:after="0"/>
              <w:jc w:val="center"/>
              <w:rPr>
                <w:rFonts w:ascii="Arial" w:hAnsi="Arial"/>
                <w:b/>
                <w:sz w:val="18"/>
                <w:lang w:eastAsia="en-GB"/>
              </w:rPr>
            </w:pPr>
            <w:r>
              <w:rPr>
                <w:rFonts w:ascii="Arial" w:hAnsi="Arial"/>
                <w:b/>
                <w:sz w:val="18"/>
                <w:lang w:eastAsia="en-GB"/>
              </w:rPr>
              <w:t>(MHz)</w:t>
            </w:r>
          </w:p>
        </w:tc>
        <w:tc>
          <w:tcPr>
            <w:tcW w:w="2589"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Spectrum Emission Limit (dBm)</w:t>
            </w:r>
          </w:p>
        </w:tc>
        <w:tc>
          <w:tcPr>
            <w:tcW w:w="1982" w:type="dxa"/>
            <w:tcMar>
              <w:top w:w="0" w:type="dxa"/>
              <w:left w:w="108" w:type="dxa"/>
              <w:bottom w:w="0" w:type="dxa"/>
              <w:right w:w="108" w:type="dxa"/>
            </w:tcMar>
          </w:tcPr>
          <w:p>
            <w:pPr>
              <w:keepNext/>
              <w:keepLines/>
              <w:spacing w:after="0"/>
              <w:jc w:val="center"/>
              <w:rPr>
                <w:rFonts w:ascii="Arial" w:hAnsi="Arial"/>
                <w:b/>
                <w:sz w:val="18"/>
                <w:lang w:eastAsia="en-GB"/>
              </w:rPr>
            </w:pPr>
            <w:r>
              <w:rPr>
                <w:rFonts w:ascii="Arial" w:hAnsi="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[0.09 – 0.28]</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-2 for PC3</w:t>
            </w:r>
          </w:p>
          <w:p>
            <w:pPr>
              <w:keepNext/>
              <w:keepLines/>
              <w:spacing w:after="0"/>
              <w:jc w:val="center"/>
              <w:rPr>
                <w:rFonts w:ascii="Arial" w:hAnsi="Arial"/>
                <w:sz w:val="18"/>
                <w:lang w:eastAsia="en-GB"/>
              </w:rPr>
            </w:pPr>
            <w:r>
              <w:rPr>
                <w:rFonts w:ascii="Arial" w:hAnsi="Arial"/>
                <w:sz w:val="18"/>
                <w:lang w:eastAsia="en-GB"/>
              </w:rPr>
              <w:t>-5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[0.28 – 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-12 for PC3</w:t>
            </w:r>
          </w:p>
          <w:p>
            <w:pPr>
              <w:keepNext/>
              <w:keepLines/>
              <w:spacing w:after="0"/>
              <w:jc w:val="center"/>
              <w:rPr>
                <w:rFonts w:ascii="Arial" w:hAnsi="Arial"/>
                <w:sz w:val="18"/>
                <w:lang w:eastAsia="en-GB"/>
              </w:rPr>
            </w:pPr>
            <w:r>
              <w:rPr>
                <w:rFonts w:ascii="Arial" w:hAnsi="Arial"/>
                <w:sz w:val="18"/>
                <w:lang w:eastAsia="en-GB"/>
              </w:rPr>
              <w:t>-15 for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84"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keepNext/>
              <w:keepLines/>
              <w:spacing w:after="0"/>
              <w:jc w:val="center"/>
              <w:rPr>
                <w:rFonts w:ascii="Arial" w:hAnsi="Arial"/>
                <w:sz w:val="18"/>
                <w:lang w:eastAsia="en-GB"/>
              </w:rPr>
            </w:pPr>
            <w:r>
              <w:rPr>
                <w:rFonts w:ascii="Symbol" w:hAnsi="Symbol"/>
                <w:sz w:val="18"/>
                <w:lang w:eastAsia="en-GB"/>
              </w:rPr>
              <w:t></w:t>
            </w:r>
            <w:r>
              <w:rPr>
                <w:rFonts w:ascii="Arial" w:hAnsi="Arial"/>
                <w:sz w:val="18"/>
                <w:lang w:eastAsia="en-GB"/>
              </w:rPr>
              <w:t xml:space="preserve"> [&gt;0.85]</w:t>
            </w:r>
          </w:p>
        </w:tc>
        <w:tc>
          <w:tcPr>
            <w:tcW w:w="2589"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-13 for PC3 and PC5</w:t>
            </w:r>
          </w:p>
        </w:tc>
        <w:tc>
          <w:tcPr>
            <w:tcW w:w="1982" w:type="dxa"/>
            <w:tcMar>
              <w:top w:w="0" w:type="dxa"/>
              <w:left w:w="108" w:type="dxa"/>
              <w:bottom w:w="0" w:type="dxa"/>
              <w:right w:w="108" w:type="dxa"/>
            </w:tcMar>
          </w:tcPr>
          <w:p>
            <w:pPr>
              <w:keepNext/>
              <w:keepLines/>
              <w:spacing w:after="0"/>
              <w:jc w:val="center"/>
              <w:rPr>
                <w:rFonts w:ascii="Arial" w:hAnsi="Arial"/>
                <w:sz w:val="18"/>
                <w:lang w:eastAsia="en-GB"/>
              </w:rPr>
            </w:pPr>
            <w:r>
              <w:rPr>
                <w:rFonts w:ascii="Arial" w:hAnsi="Arial"/>
                <w:sz w:val="18"/>
                <w:lang w:eastAsia="en-GB"/>
              </w:rPr>
              <w:t>4 kHz</w:t>
            </w:r>
          </w:p>
        </w:tc>
      </w:tr>
    </w:tbl>
    <w:p>
      <w:pPr>
        <w:rPr>
          <w:lang w:eastAsia="en-GB"/>
        </w:rPr>
      </w:pPr>
    </w:p>
    <w:p>
      <w:pPr>
        <w:keepLines/>
        <w:ind w:left="1135" w:hanging="851"/>
        <w:rPr>
          <w:lang w:eastAsia="en-GB"/>
        </w:rPr>
      </w:pPr>
      <w:r>
        <w:rPr>
          <w:lang w:eastAsia="en-GB"/>
        </w:rPr>
        <w:t>NOTE:</w:t>
      </w:r>
      <w:r>
        <w:rPr>
          <w:lang w:eastAsia="en-GB"/>
        </w:rPr>
        <w:tab/>
      </w:r>
      <w:r>
        <w:rPr>
          <w:lang w:eastAsia="en-GB"/>
        </w:rPr>
        <w:t>Δf</w:t>
      </w:r>
      <w:r>
        <w:rPr>
          <w:vertAlign w:val="subscript"/>
          <w:lang w:eastAsia="en-GB"/>
        </w:rPr>
        <w:t xml:space="preserve">OOB </w:t>
      </w:r>
      <w:r>
        <w:rPr>
          <w:lang w:eastAsia="en-GB"/>
        </w:rPr>
        <w:t>= 0.09 MHz</w:t>
      </w:r>
      <w:r>
        <w:rPr>
          <w:lang w:val="en-US" w:eastAsia="en-GB"/>
        </w:rPr>
        <w:t xml:space="preserve"> </w:t>
      </w:r>
      <w:r>
        <w:rPr>
          <w:lang w:val="en-US"/>
        </w:rPr>
        <w:t>co</w:t>
      </w:r>
      <w:r>
        <w:rPr>
          <w:lang w:val="en-US" w:eastAsia="en-GB"/>
        </w:rPr>
        <w:t>rresponds to an authorized bandwidth, as defined in C63.26-2015</w:t>
      </w:r>
      <w:r>
        <w:rPr>
          <w:rFonts w:hint="eastAsia"/>
          <w:lang w:val="en-US"/>
        </w:rPr>
        <w:t xml:space="preserve"> </w:t>
      </w:r>
      <w:r>
        <w:rPr>
          <w:lang w:val="en-US"/>
        </w:rPr>
        <w:t>[10]</w:t>
      </w:r>
      <w:r>
        <w:rPr>
          <w:lang w:val="en-US" w:eastAsia="en-GB"/>
        </w:rPr>
        <w:t xml:space="preserve">, of </w:t>
      </w:r>
      <w:r>
        <w:rPr>
          <w:rFonts w:hint="eastAsia"/>
          <w:lang w:val="en-US"/>
        </w:rPr>
        <w:t>0</w:t>
      </w:r>
      <w:r>
        <w:rPr>
          <w:lang w:val="en-US" w:eastAsia="en-GB"/>
        </w:rPr>
        <w:t>.38 MHz.</w:t>
      </w:r>
    </w:p>
    <w:p>
      <w:pPr>
        <w:keepNext/>
        <w:keepLines/>
        <w:spacing w:before="120"/>
        <w:ind w:left="1985" w:hanging="1985"/>
        <w:rPr>
          <w:rFonts w:ascii="Arial" w:hAnsi="Arial"/>
          <w:lang w:eastAsia="en-GB"/>
        </w:rPr>
      </w:pPr>
      <w:r>
        <w:rPr>
          <w:rFonts w:ascii="Arial" w:hAnsi="Arial"/>
          <w:lang w:eastAsia="en-GB"/>
        </w:rPr>
        <w:t>6.5B.4.4.5.2</w:t>
      </w:r>
      <w:r>
        <w:rPr>
          <w:rFonts w:ascii="Arial" w:hAnsi="Arial"/>
          <w:lang w:eastAsia="en-GB"/>
        </w:rPr>
        <w:tab/>
      </w:r>
      <w:r>
        <w:rPr>
          <w:rFonts w:ascii="Arial" w:hAnsi="Arial"/>
          <w:lang w:eastAsia="en-GB"/>
        </w:rPr>
        <w:t>Test requirement (network signalled value "NS_24")</w:t>
      </w:r>
    </w:p>
    <w:p>
      <w:pPr>
        <w:rPr>
          <w:lang w:eastAsia="en-GB"/>
        </w:rPr>
      </w:pPr>
      <w:r>
        <w:rPr>
          <w:lang w:eastAsia="en-GB"/>
        </w:rPr>
        <w:t>When "NS_24" is indicated in the cell, the power of any UE emission shall not exceed the levels specified in Table 6.5B.</w:t>
      </w:r>
      <w:r>
        <w:rPr>
          <w:lang w:val="en-US"/>
        </w:rPr>
        <w:t>4</w:t>
      </w:r>
      <w:r>
        <w:rPr>
          <w:lang w:eastAsia="en-GB"/>
        </w:rPr>
        <w:t>.</w:t>
      </w:r>
      <w:r>
        <w:rPr>
          <w:lang w:val="en-US"/>
        </w:rPr>
        <w:t>4.5.2</w:t>
      </w:r>
      <w:r>
        <w:rPr>
          <w:lang w:eastAsia="en-GB"/>
        </w:rPr>
        <w:t xml:space="preserve">-1. </w:t>
      </w:r>
    </w:p>
    <w:p>
      <w:pPr>
        <w:keepNext/>
        <w:keepLines/>
        <w:spacing w:before="60"/>
        <w:jc w:val="center"/>
        <w:rPr>
          <w:rFonts w:ascii="Arial" w:hAnsi="Arial"/>
          <w:b/>
          <w:lang w:eastAsia="en-GB"/>
        </w:rPr>
      </w:pPr>
      <w:r>
        <w:rPr>
          <w:rFonts w:ascii="Arial" w:hAnsi="Arial"/>
          <w:b/>
          <w:lang w:eastAsia="en-GB"/>
        </w:rPr>
        <w:t>Table 6.5B.</w:t>
      </w:r>
      <w:r>
        <w:rPr>
          <w:rFonts w:ascii="Arial" w:hAnsi="Arial"/>
          <w:b/>
          <w:lang w:val="en-US"/>
        </w:rPr>
        <w:t>4</w:t>
      </w:r>
      <w:r>
        <w:rPr>
          <w:rFonts w:ascii="Arial" w:hAnsi="Arial"/>
          <w:b/>
          <w:lang w:eastAsia="en-GB"/>
        </w:rPr>
        <w:t>.</w:t>
      </w:r>
      <w:r>
        <w:rPr>
          <w:rFonts w:ascii="Arial" w:hAnsi="Arial"/>
          <w:b/>
          <w:lang w:val="en-US"/>
        </w:rPr>
        <w:t>4</w:t>
      </w:r>
      <w:r>
        <w:rPr>
          <w:rFonts w:hint="eastAsia" w:ascii="Arial" w:hAnsi="Arial"/>
          <w:b/>
          <w:lang w:val="en-US"/>
        </w:rPr>
        <w:t>.</w:t>
      </w:r>
      <w:r>
        <w:rPr>
          <w:rFonts w:ascii="Arial" w:hAnsi="Arial"/>
          <w:b/>
          <w:lang w:val="en-US"/>
        </w:rPr>
        <w:t>5.2</w:t>
      </w:r>
      <w:r>
        <w:rPr>
          <w:rFonts w:ascii="Arial" w:hAnsi="Arial"/>
          <w:b/>
          <w:lang w:eastAsia="en-GB"/>
        </w:rPr>
        <w:t xml:space="preserve">-1: Additional requirements for </w:t>
      </w:r>
      <w:r>
        <w:rPr>
          <w:rFonts w:ascii="Arial" w:hAnsi="Arial" w:eastAsia="Yu Mincho"/>
          <w:b/>
          <w:lang w:eastAsia="en-GB"/>
        </w:rPr>
        <w:t>"</w:t>
      </w:r>
      <w:r>
        <w:rPr>
          <w:rFonts w:ascii="Arial" w:hAnsi="Arial"/>
          <w:b/>
          <w:lang w:eastAsia="en-GB"/>
        </w:rPr>
        <w:t>NS_</w:t>
      </w:r>
      <w:r>
        <w:rPr>
          <w:rFonts w:ascii="Arial" w:hAnsi="Arial"/>
          <w:b/>
          <w:lang w:val="en-US"/>
        </w:rPr>
        <w:t>24</w:t>
      </w:r>
      <w:r>
        <w:rPr>
          <w:rFonts w:ascii="Arial" w:hAnsi="Arial" w:eastAsia="Yu Mincho"/>
          <w:b/>
          <w:lang w:eastAsia="en-GB"/>
        </w:rPr>
        <w:t>"</w:t>
      </w:r>
    </w:p>
    <w:tbl>
      <w:tblPr>
        <w:tblStyle w:val="89"/>
        <w:tblW w:w="75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686"/>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restart"/>
          </w:tcPr>
          <w:p>
            <w:pPr>
              <w:keepNext/>
              <w:keepLines/>
              <w:spacing w:after="0"/>
              <w:jc w:val="center"/>
              <w:rPr>
                <w:rFonts w:ascii="Arial" w:hAnsi="Arial" w:cs="Arial"/>
                <w:b/>
                <w:sz w:val="18"/>
                <w:lang w:eastAsia="en-GB"/>
              </w:rPr>
            </w:pPr>
            <w:r>
              <w:rPr>
                <w:rFonts w:ascii="Arial" w:hAnsi="Arial" w:cs="Arial"/>
                <w:b/>
                <w:sz w:val="18"/>
                <w:lang w:eastAsia="en-GB"/>
              </w:rPr>
              <w:t>Frequency band</w:t>
            </w:r>
          </w:p>
          <w:p>
            <w:pPr>
              <w:keepNext/>
              <w:keepLines/>
              <w:spacing w:after="0"/>
              <w:jc w:val="center"/>
              <w:rPr>
                <w:rFonts w:ascii="Arial" w:hAnsi="Arial" w:cs="Arial"/>
                <w:b/>
                <w:sz w:val="18"/>
                <w:lang w:eastAsia="en-GB"/>
              </w:rPr>
            </w:pPr>
            <w:r>
              <w:rPr>
                <w:rFonts w:ascii="Arial" w:hAnsi="Arial" w:cs="Arial"/>
                <w:b/>
                <w:sz w:val="18"/>
                <w:lang w:eastAsia="en-GB"/>
              </w:rPr>
              <w:t>(MHz)</w:t>
            </w:r>
          </w:p>
        </w:tc>
        <w:tc>
          <w:tcPr>
            <w:tcW w:w="3686" w:type="dxa"/>
          </w:tcPr>
          <w:p>
            <w:pPr>
              <w:keepNext/>
              <w:keepLines/>
              <w:spacing w:after="0"/>
              <w:jc w:val="center"/>
              <w:rPr>
                <w:rFonts w:ascii="Arial" w:hAnsi="Arial" w:cs="Arial"/>
                <w:b/>
                <w:sz w:val="18"/>
                <w:lang w:eastAsia="en-GB"/>
              </w:rPr>
            </w:pPr>
            <w:r>
              <w:rPr>
                <w:rFonts w:ascii="Arial" w:hAnsi="Arial" w:cs="Arial"/>
                <w:b/>
                <w:sz w:val="18"/>
                <w:lang w:eastAsia="en-GB"/>
              </w:rPr>
              <w:t>Channel bandwidth /</w:t>
            </w:r>
          </w:p>
          <w:p>
            <w:pPr>
              <w:keepNext/>
              <w:keepLines/>
              <w:spacing w:after="0"/>
              <w:jc w:val="center"/>
              <w:rPr>
                <w:rFonts w:ascii="Arial" w:hAnsi="Arial" w:cs="Arial"/>
                <w:b/>
                <w:sz w:val="18"/>
                <w:lang w:eastAsia="en-GB"/>
              </w:rPr>
            </w:pPr>
            <w:r>
              <w:rPr>
                <w:rFonts w:ascii="Arial" w:hAnsi="Arial" w:cs="Arial"/>
                <w:b/>
                <w:sz w:val="18"/>
                <w:lang w:eastAsia="en-GB"/>
              </w:rPr>
              <w:t>Spectrum emission limit</w:t>
            </w:r>
          </w:p>
          <w:p>
            <w:pPr>
              <w:keepNext/>
              <w:keepLines/>
              <w:spacing w:after="0"/>
              <w:jc w:val="center"/>
              <w:rPr>
                <w:rFonts w:ascii="Arial" w:hAnsi="Arial" w:cs="Arial"/>
                <w:b/>
                <w:sz w:val="18"/>
                <w:lang w:eastAsia="en-GB"/>
              </w:rPr>
            </w:pPr>
            <w:r>
              <w:rPr>
                <w:rFonts w:ascii="Arial" w:hAnsi="Arial" w:cs="Arial"/>
                <w:b/>
                <w:sz w:val="18"/>
                <w:lang w:eastAsia="en-GB"/>
              </w:rPr>
              <w:t>(dBm)</w:t>
            </w:r>
          </w:p>
        </w:tc>
        <w:tc>
          <w:tcPr>
            <w:tcW w:w="1701" w:type="dxa"/>
            <w:vMerge w:val="restart"/>
          </w:tcPr>
          <w:p>
            <w:pPr>
              <w:keepNext/>
              <w:keepLines/>
              <w:spacing w:after="0"/>
              <w:jc w:val="center"/>
              <w:rPr>
                <w:rFonts w:ascii="Arial" w:hAnsi="Arial" w:cs="Arial"/>
                <w:b/>
                <w:sz w:val="18"/>
                <w:lang w:eastAsia="en-GB"/>
              </w:rPr>
            </w:pPr>
            <w:r>
              <w:rPr>
                <w:rFonts w:ascii="Arial" w:hAnsi="Arial" w:cs="Arial"/>
                <w:b/>
                <w:sz w:val="18"/>
                <w:lang w:eastAsia="en-GB"/>
              </w:rPr>
              <w:t>Measurement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vMerge w:val="continue"/>
          </w:tcPr>
          <w:p>
            <w:pPr>
              <w:keepNext/>
              <w:keepLines/>
              <w:spacing w:after="0"/>
              <w:jc w:val="center"/>
              <w:rPr>
                <w:rFonts w:ascii="Arial" w:hAnsi="Arial" w:cs="Arial"/>
                <w:b/>
                <w:sz w:val="18"/>
                <w:lang w:eastAsia="en-GB"/>
              </w:rPr>
            </w:pPr>
          </w:p>
        </w:tc>
        <w:tc>
          <w:tcPr>
            <w:tcW w:w="3686" w:type="dxa"/>
          </w:tcPr>
          <w:p>
            <w:pPr>
              <w:keepNext/>
              <w:keepLines/>
              <w:spacing w:after="0"/>
              <w:jc w:val="center"/>
              <w:rPr>
                <w:rFonts w:ascii="Arial" w:hAnsi="Arial" w:cs="Arial"/>
                <w:b/>
                <w:sz w:val="18"/>
                <w:lang w:val="en-US"/>
              </w:rPr>
            </w:pPr>
            <w:r>
              <w:rPr>
                <w:rFonts w:hint="eastAsia" w:ascii="Arial" w:hAnsi="Arial" w:cs="Arial"/>
                <w:b/>
                <w:sz w:val="18"/>
                <w:lang w:val="en-US"/>
              </w:rPr>
              <w:t>200kHz</w:t>
            </w:r>
          </w:p>
        </w:tc>
        <w:tc>
          <w:tcPr>
            <w:tcW w:w="1701" w:type="dxa"/>
            <w:vMerge w:val="continue"/>
          </w:tcPr>
          <w:p>
            <w:pPr>
              <w:keepNext/>
              <w:keepLines/>
              <w:spacing w:after="0"/>
              <w:jc w:val="center"/>
              <w:rPr>
                <w:rFonts w:ascii="Arial" w:hAnsi="Arial"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0" w:type="dxa"/>
          </w:tcPr>
          <w:p>
            <w:pPr>
              <w:keepNext/>
              <w:keepLines/>
              <w:spacing w:after="0"/>
              <w:jc w:val="center"/>
              <w:rPr>
                <w:rFonts w:ascii="Arial" w:hAnsi="Arial" w:cs="Arial"/>
                <w:sz w:val="18"/>
                <w:lang w:eastAsia="en-GB"/>
              </w:rPr>
            </w:pPr>
            <w:r>
              <w:rPr>
                <w:rFonts w:ascii="Arial" w:hAnsi="Arial" w:cs="Arial"/>
                <w:sz w:val="18"/>
                <w:lang w:eastAsia="en-GB"/>
              </w:rPr>
              <w:t>Band 34</w:t>
            </w:r>
          </w:p>
        </w:tc>
        <w:tc>
          <w:tcPr>
            <w:tcW w:w="3686" w:type="dxa"/>
          </w:tcPr>
          <w:p>
            <w:pPr>
              <w:keepNext/>
              <w:keepLines/>
              <w:spacing w:after="0"/>
              <w:jc w:val="center"/>
              <w:rPr>
                <w:rFonts w:ascii="Arial" w:hAnsi="Arial" w:cs="Arial"/>
                <w:sz w:val="18"/>
                <w:lang w:eastAsia="en-GB"/>
              </w:rPr>
            </w:pPr>
            <w:r>
              <w:rPr>
                <w:rFonts w:ascii="Arial" w:hAnsi="Arial" w:cs="Arial"/>
                <w:sz w:val="18"/>
                <w:lang w:eastAsia="en-GB"/>
              </w:rPr>
              <w:t>-50</w:t>
            </w:r>
          </w:p>
        </w:tc>
        <w:tc>
          <w:tcPr>
            <w:tcW w:w="1701" w:type="dxa"/>
          </w:tcPr>
          <w:p>
            <w:pPr>
              <w:keepNext/>
              <w:keepLines/>
              <w:spacing w:after="0"/>
              <w:jc w:val="center"/>
              <w:rPr>
                <w:rFonts w:ascii="Arial" w:hAnsi="Arial" w:cs="Arial"/>
                <w:sz w:val="18"/>
                <w:lang w:eastAsia="en-GB"/>
              </w:rPr>
            </w:pPr>
            <w:r>
              <w:rPr>
                <w:rFonts w:ascii="Arial" w:hAnsi="Arial" w:cs="Arial"/>
                <w:sz w:val="18"/>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07" w:type="dxa"/>
            <w:gridSpan w:val="3"/>
          </w:tcPr>
          <w:p>
            <w:pPr>
              <w:keepNext/>
              <w:keepLines/>
              <w:spacing w:after="0"/>
              <w:ind w:left="851" w:hanging="851"/>
              <w:rPr>
                <w:rFonts w:ascii="Arial" w:hAnsi="Arial"/>
                <w:sz w:val="18"/>
                <w:lang w:eastAsia="ja-JP"/>
              </w:rPr>
            </w:pPr>
            <w:r>
              <w:rPr>
                <w:rFonts w:ascii="Arial" w:hAnsi="Arial"/>
                <w:sz w:val="18"/>
                <w:lang w:eastAsia="en-GB"/>
              </w:rPr>
              <w:t>NOTE 1:</w:t>
            </w:r>
            <w:r>
              <w:rPr>
                <w:rFonts w:ascii="Arial" w:hAnsi="Arial"/>
                <w:sz w:val="18"/>
                <w:vertAlign w:val="superscript"/>
                <w:lang w:eastAsia="en-GB"/>
              </w:rPr>
              <w:tab/>
            </w:r>
            <w:r>
              <w:rPr>
                <w:rFonts w:ascii="Arial" w:hAnsi="Arial"/>
                <w:sz w:val="18"/>
                <w:lang w:eastAsia="ja-JP"/>
              </w:rPr>
              <w:t>This requirement</w:t>
            </w:r>
            <w:r>
              <w:rPr>
                <w:rFonts w:hint="eastAsia" w:ascii="Arial" w:hAnsi="Arial"/>
                <w:sz w:val="18"/>
                <w:lang w:eastAsia="ja-JP"/>
              </w:rPr>
              <w:t xml:space="preserve"> appl</w:t>
            </w:r>
            <w:r>
              <w:rPr>
                <w:rFonts w:ascii="Arial" w:hAnsi="Arial"/>
                <w:sz w:val="18"/>
                <w:lang w:eastAsia="ja-JP"/>
              </w:rPr>
              <w:t>ies</w:t>
            </w:r>
            <w:r>
              <w:rPr>
                <w:rFonts w:hint="eastAsia" w:ascii="Arial" w:hAnsi="Arial"/>
                <w:sz w:val="18"/>
                <w:lang w:eastAsia="ja-JP"/>
              </w:rPr>
              <w:t xml:space="preserve"> </w:t>
            </w:r>
            <w:r>
              <w:rPr>
                <w:rFonts w:ascii="Arial" w:hAnsi="Arial"/>
                <w:sz w:val="18"/>
                <w:lang w:eastAsia="ja-JP"/>
              </w:rPr>
              <w:t xml:space="preserve">at a </w:t>
            </w:r>
            <w:r>
              <w:rPr>
                <w:rFonts w:hint="eastAsia" w:ascii="Arial" w:hAnsi="Arial"/>
                <w:sz w:val="18"/>
                <w:lang w:eastAsia="ja-JP"/>
              </w:rPr>
              <w:t xml:space="preserve">frequency </w:t>
            </w:r>
            <w:r>
              <w:rPr>
                <w:rFonts w:ascii="Arial" w:hAnsi="Arial"/>
                <w:sz w:val="18"/>
                <w:lang w:eastAsia="ja-JP"/>
              </w:rPr>
              <w:t xml:space="preserve">offset equal or larger than 5 MHz from the upper </w:t>
            </w:r>
            <w:r>
              <w:rPr>
                <w:rFonts w:hint="eastAsia" w:ascii="Arial" w:hAnsi="Arial"/>
                <w:sz w:val="18"/>
                <w:lang w:eastAsia="ja-JP"/>
              </w:rPr>
              <w:t>edge of the channel bandwidth</w:t>
            </w:r>
            <w:r>
              <w:rPr>
                <w:rFonts w:ascii="Arial" w:hAnsi="Arial"/>
                <w:sz w:val="18"/>
                <w:lang w:eastAsia="ja-JP"/>
              </w:rPr>
              <w:t>, whenever these frequencies overlap with the specified frequency band.</w:t>
            </w:r>
          </w:p>
        </w:tc>
      </w:tr>
      <w:bookmarkEnd w:id="646"/>
      <w:bookmarkEnd w:id="647"/>
      <w:bookmarkEnd w:id="648"/>
      <w:bookmarkEnd w:id="649"/>
    </w:tbl>
    <w:p/>
    <w:p>
      <w:pPr>
        <w:pStyle w:val="4"/>
      </w:pPr>
      <w:bookmarkStart w:id="660" w:name="_Toc121162877"/>
      <w:bookmarkStart w:id="661" w:name="_Toc14168"/>
      <w:bookmarkStart w:id="662" w:name="_Toc111062072"/>
      <w:bookmarkStart w:id="663" w:name="_Toc120570085"/>
      <w:bookmarkStart w:id="664" w:name="_Toc31379"/>
      <w:bookmarkStart w:id="665" w:name="_Toc368026349"/>
      <w:bookmarkStart w:id="666" w:name="_Toc1051"/>
      <w:r>
        <w:t>6.6</w:t>
      </w:r>
      <w:r>
        <w:tab/>
      </w:r>
      <w:r>
        <w:t>Transmit intermodulation</w:t>
      </w:r>
      <w:bookmarkEnd w:id="660"/>
      <w:bookmarkEnd w:id="661"/>
      <w:bookmarkEnd w:id="662"/>
      <w:bookmarkEnd w:id="663"/>
      <w:bookmarkEnd w:id="664"/>
      <w:bookmarkEnd w:id="665"/>
      <w:bookmarkEnd w:id="666"/>
    </w:p>
    <w:p>
      <w:pPr>
        <w:rPr>
          <w:rFonts w:eastAsia="宋体"/>
          <w:color w:val="000000" w:themeColor="text1"/>
          <w14:textFill>
            <w14:solidFill>
              <w14:schemeClr w14:val="tx1"/>
            </w14:solidFill>
          </w14:textFill>
        </w:rPr>
      </w:pPr>
      <w:r>
        <w:rPr>
          <w:rFonts w:eastAsia="宋体"/>
          <w:color w:val="000000" w:themeColor="text1"/>
          <w14:textFill>
            <w14:solidFill>
              <w14:schemeClr w14:val="tx1"/>
            </w14:solidFill>
          </w14:textFill>
        </w:rPr>
        <w:t>This clause is reserved.</w:t>
      </w:r>
    </w:p>
    <w:p>
      <w:pPr>
        <w:pStyle w:val="4"/>
      </w:pPr>
      <w:bookmarkStart w:id="667" w:name="_Toc24207"/>
      <w:bookmarkStart w:id="668" w:name="_Toc121162878"/>
      <w:bookmarkStart w:id="669" w:name="_Toc19811"/>
      <w:bookmarkStart w:id="670" w:name="_Toc102"/>
      <w:bookmarkStart w:id="671" w:name="_Toc120570086"/>
      <w:r>
        <w:t>6.6A</w:t>
      </w:r>
      <w:r>
        <w:tab/>
      </w:r>
      <w:r>
        <w:t xml:space="preserve">Transmit intermodulation </w:t>
      </w:r>
      <w:r>
        <w:rPr>
          <w:rFonts w:hint="eastAsia"/>
        </w:rPr>
        <w:t xml:space="preserve">for category </w:t>
      </w:r>
      <w:r>
        <w:t>M1</w:t>
      </w:r>
      <w:bookmarkEnd w:id="667"/>
      <w:bookmarkEnd w:id="668"/>
      <w:bookmarkEnd w:id="669"/>
      <w:bookmarkEnd w:id="670"/>
      <w:bookmarkEnd w:id="671"/>
    </w:p>
    <w:p>
      <w:r>
        <w:t>For category M1 UE, Tx intermodulation requirements are not applicable.</w:t>
      </w:r>
    </w:p>
    <w:p>
      <w:pPr>
        <w:pStyle w:val="4"/>
      </w:pPr>
      <w:bookmarkStart w:id="672" w:name="_Toc120570087"/>
      <w:bookmarkStart w:id="673" w:name="_Toc15646"/>
      <w:bookmarkStart w:id="674" w:name="_Toc8447"/>
      <w:bookmarkStart w:id="675" w:name="_Toc121162879"/>
      <w:bookmarkStart w:id="676" w:name="_Toc13095"/>
      <w:r>
        <w:t>6.6B</w:t>
      </w:r>
      <w:r>
        <w:tab/>
      </w:r>
      <w:r>
        <w:t xml:space="preserve">Transmit intermodulation </w:t>
      </w:r>
      <w:r>
        <w:rPr>
          <w:rFonts w:hint="eastAsia"/>
        </w:rPr>
        <w:t>for category NB1 and NB2</w:t>
      </w:r>
      <w:bookmarkEnd w:id="672"/>
      <w:bookmarkEnd w:id="673"/>
      <w:bookmarkEnd w:id="674"/>
      <w:bookmarkEnd w:id="675"/>
      <w:bookmarkEnd w:id="676"/>
    </w:p>
    <w:p>
      <w:pPr>
        <w:keepLines/>
        <w:ind w:left="1135" w:hanging="851"/>
        <w:rPr>
          <w:i/>
          <w:color w:val="FF0000"/>
        </w:rPr>
      </w:pPr>
      <w:r>
        <w:rPr>
          <w:i/>
          <w:color w:val="FF0000"/>
        </w:rPr>
        <w:t>Editor’s Note: This clause is incomplete. The following aspects are either missing or not yet determined:</w:t>
      </w:r>
    </w:p>
    <w:p>
      <w:pPr>
        <w:keepLines/>
        <w:ind w:left="1135" w:hanging="851"/>
        <w:rPr>
          <w:i/>
          <w:color w:val="FF0000"/>
        </w:rPr>
      </w:pPr>
      <w:r>
        <w:rPr>
          <w:i/>
          <w:color w:val="FF0000"/>
        </w:rPr>
        <w:t>- Addition to applicability spec is pending</w:t>
      </w:r>
    </w:p>
    <w:p>
      <w:pPr>
        <w:keepLines/>
        <w:ind w:left="1135" w:hanging="851"/>
        <w:rPr>
          <w:i/>
          <w:color w:val="FF0000"/>
        </w:rPr>
      </w:pPr>
      <w:r>
        <w:rPr>
          <w:i/>
          <w:color w:val="FF0000"/>
        </w:rPr>
        <w:t>- Initial condition and call setup procedure to support satellite access are TBD</w:t>
      </w:r>
    </w:p>
    <w:p>
      <w:pPr>
        <w:keepLines/>
        <w:ind w:left="1135" w:hanging="851"/>
        <w:rPr>
          <w:i/>
          <w:color w:val="FF0000"/>
        </w:rPr>
      </w:pPr>
      <w:r>
        <w:rPr>
          <w:i/>
          <w:color w:val="FF0000"/>
        </w:rPr>
        <w:t>- Message exceptions specific to satellite access is TBD</w:t>
      </w:r>
    </w:p>
    <w:p>
      <w:pPr>
        <w:keepLines/>
        <w:ind w:left="1135" w:hanging="851"/>
        <w:rPr>
          <w:i/>
          <w:color w:val="FF0000"/>
        </w:rPr>
      </w:pPr>
      <w:r>
        <w:rPr>
          <w:i/>
          <w:color w:val="FF0000"/>
        </w:rPr>
        <w:t>- Test Points analysis is TBD</w:t>
      </w:r>
    </w:p>
    <w:p>
      <w:pPr>
        <w:keepLines/>
        <w:ind w:left="1135" w:hanging="851"/>
        <w:rPr>
          <w:i/>
          <w:color w:val="FF0000"/>
        </w:rPr>
      </w:pPr>
      <w:r>
        <w:rPr>
          <w:i/>
          <w:color w:val="FF0000"/>
        </w:rPr>
        <w:t>- Test configuration is TBD</w:t>
      </w:r>
    </w:p>
    <w:p>
      <w:pPr>
        <w:keepLines/>
        <w:ind w:left="1135" w:hanging="851"/>
        <w:rPr>
          <w:rFonts w:eastAsia="PMingLiU"/>
          <w:i/>
          <w:color w:val="FF0000"/>
          <w:lang w:eastAsia="zh-TW"/>
        </w:rPr>
      </w:pPr>
      <w:r>
        <w:rPr>
          <w:i/>
          <w:color w:val="FF0000"/>
        </w:rPr>
        <w:t>- Annex F MU/TT is TBD</w:t>
      </w:r>
    </w:p>
    <w:p>
      <w:pPr>
        <w:keepNext/>
        <w:keepLines/>
        <w:spacing w:before="120"/>
        <w:ind w:left="1985" w:hanging="1985"/>
        <w:rPr>
          <w:rFonts w:ascii="Arial" w:hAnsi="Arial"/>
          <w:lang w:eastAsia="en-GB"/>
        </w:rPr>
      </w:pPr>
      <w:r>
        <w:rPr>
          <w:rFonts w:ascii="Arial" w:hAnsi="Arial"/>
          <w:lang w:eastAsia="en-GB"/>
        </w:rPr>
        <w:t>6.6B.1</w:t>
      </w:r>
      <w:r>
        <w:rPr>
          <w:rFonts w:ascii="Arial" w:hAnsi="Arial"/>
          <w:lang w:eastAsia="en-GB"/>
        </w:rPr>
        <w:tab/>
      </w:r>
      <w:r>
        <w:rPr>
          <w:rFonts w:ascii="Arial" w:hAnsi="Arial"/>
          <w:lang w:eastAsia="en-GB"/>
        </w:rPr>
        <w:t>Test purpose</w:t>
      </w:r>
    </w:p>
    <w:p>
      <w:pPr>
        <w:rPr>
          <w:rFonts w:cs="v5.0.0"/>
          <w:lang w:eastAsia="en-GB"/>
        </w:rPr>
      </w:pPr>
      <w:r>
        <w:rPr>
          <w:rFonts w:cs="v5.0.0"/>
          <w:lang w:eastAsia="en-GB"/>
        </w:rPr>
        <w:t>To verify that the UE transmit intermodulation does not exceed the described value in the test requirement.</w:t>
      </w:r>
    </w:p>
    <w:p>
      <w:pPr>
        <w:keepNext/>
        <w:keepLines/>
        <w:spacing w:before="120"/>
        <w:ind w:left="1985" w:hanging="1985"/>
        <w:rPr>
          <w:rFonts w:ascii="Arial" w:hAnsi="Arial"/>
          <w:lang w:eastAsia="en-GB"/>
        </w:rPr>
      </w:pPr>
      <w:r>
        <w:rPr>
          <w:rFonts w:ascii="Arial" w:hAnsi="Arial"/>
          <w:lang w:eastAsia="en-GB"/>
        </w:rPr>
        <w:t>6.6B.2</w:t>
      </w:r>
      <w:r>
        <w:rPr>
          <w:rFonts w:ascii="Arial" w:hAnsi="Arial"/>
          <w:lang w:eastAsia="en-GB"/>
        </w:rPr>
        <w:tab/>
      </w:r>
      <w:r>
        <w:rPr>
          <w:rFonts w:ascii="Arial" w:hAnsi="Arial"/>
          <w:lang w:eastAsia="en-GB"/>
        </w:rPr>
        <w:t>Test applicability</w:t>
      </w:r>
    </w:p>
    <w:p>
      <w:r>
        <w:t>This test case applies to all types of</w:t>
      </w:r>
      <w:r>
        <w:rPr>
          <w:lang w:eastAsia="zh-TW"/>
        </w:rPr>
        <w:t xml:space="preserve"> NB-IoT </w:t>
      </w:r>
      <w:r>
        <w:t>UE release 1</w:t>
      </w:r>
      <w:r>
        <w:rPr>
          <w:lang w:eastAsia="zh-TW"/>
        </w:rPr>
        <w:t>7</w:t>
      </w:r>
      <w:r>
        <w:t xml:space="preserve"> and forward of category</w:t>
      </w:r>
      <w:r>
        <w:rPr>
          <w:lang w:eastAsia="zh-TW"/>
        </w:rPr>
        <w:t xml:space="preserve"> NB1 and</w:t>
      </w:r>
      <w:r>
        <w:t xml:space="preserve"> NB2 that support satellite access operation.</w:t>
      </w:r>
    </w:p>
    <w:p>
      <w:pPr>
        <w:keepNext/>
        <w:keepLines/>
        <w:spacing w:before="120"/>
        <w:ind w:left="1985" w:hanging="1985"/>
        <w:rPr>
          <w:rFonts w:ascii="Arial" w:hAnsi="Arial"/>
          <w:lang w:eastAsia="en-GB"/>
        </w:rPr>
      </w:pPr>
      <w:r>
        <w:rPr>
          <w:rFonts w:ascii="Arial" w:hAnsi="Arial" w:cs="v5.0.0"/>
          <w:lang w:eastAsia="en-GB"/>
        </w:rPr>
        <w:t>6.6B.3</w:t>
      </w:r>
      <w:r>
        <w:rPr>
          <w:rFonts w:ascii="Arial" w:hAnsi="Arial" w:cs="v5.0.0"/>
          <w:lang w:eastAsia="en-GB"/>
        </w:rPr>
        <w:tab/>
      </w:r>
      <w:r>
        <w:rPr>
          <w:rFonts w:ascii="Arial" w:hAnsi="Arial"/>
          <w:lang w:eastAsia="en-GB"/>
        </w:rPr>
        <w:t>Minimum conformance requirements</w:t>
      </w:r>
    </w:p>
    <w:p>
      <w:pPr>
        <w:rPr>
          <w:rFonts w:cs="v5.0.0"/>
          <w:lang w:eastAsia="en-GB"/>
        </w:rPr>
      </w:pPr>
      <w:r>
        <w:rPr>
          <w:rFonts w:cs="v5.0.0"/>
          <w:lang w:eastAsia="en-GB"/>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pPr>
        <w:rPr>
          <w:rFonts w:cs="v5.0.0"/>
          <w:lang w:eastAsia="en-GB"/>
        </w:rPr>
      </w:pPr>
      <w:r>
        <w:rPr>
          <w:rFonts w:cs="v5.0.0"/>
          <w:lang w:eastAsia="en-GB"/>
        </w:rPr>
        <w:t xml:space="preserve">The UE category NB1 and NB2 transmitter intermodulation attenuation is defined by the ratio of the </w:t>
      </w:r>
      <w:r>
        <w:rPr>
          <w:lang w:eastAsia="en-GB"/>
        </w:rPr>
        <w:t>mean</w:t>
      </w:r>
      <w:r>
        <w:rPr>
          <w:rFonts w:cs="v5.0.0"/>
          <w:lang w:eastAsia="en-GB"/>
        </w:rPr>
        <w:t xml:space="preserve"> power of the wanted signal to the </w:t>
      </w:r>
      <w:r>
        <w:rPr>
          <w:lang w:eastAsia="en-GB"/>
        </w:rPr>
        <w:t>mean</w:t>
      </w:r>
      <w:r>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pPr>
        <w:keepNext/>
        <w:keepLines/>
        <w:spacing w:before="60"/>
        <w:jc w:val="center"/>
        <w:rPr>
          <w:rFonts w:ascii="Arial" w:hAnsi="Arial"/>
          <w:b/>
          <w:lang w:eastAsia="en-GB"/>
        </w:rPr>
      </w:pPr>
      <w:r>
        <w:rPr>
          <w:rFonts w:ascii="Arial" w:hAnsi="Arial"/>
          <w:b/>
          <w:lang w:eastAsia="en-GB"/>
        </w:rPr>
        <w:t xml:space="preserve">Table </w:t>
      </w:r>
      <w:r>
        <w:rPr>
          <w:rFonts w:ascii="Arial" w:hAnsi="Arial" w:cs="v5.0.0"/>
          <w:b/>
          <w:lang w:eastAsia="en-GB"/>
        </w:rPr>
        <w:t>6.6B.3-1</w:t>
      </w:r>
      <w:r>
        <w:rPr>
          <w:rFonts w:ascii="Arial" w:hAnsi="Arial"/>
          <w:b/>
          <w:lang w:eastAsia="en-GB"/>
        </w:rPr>
        <w:t>: UE category NB1 and NB2 transmitter IM requirement</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1534"/>
        <w:gridCol w:w="15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3"/>
            <w:shd w:val="clear" w:color="auto" w:fill="auto"/>
            <w:vAlign w:val="center"/>
          </w:tcPr>
          <w:p>
            <w:pPr>
              <w:keepNext/>
              <w:keepLines/>
              <w:spacing w:after="0"/>
              <w:jc w:val="center"/>
              <w:rPr>
                <w:rFonts w:ascii="Arial" w:hAnsi="Arial" w:cs="Arial"/>
                <w:b/>
                <w:sz w:val="18"/>
              </w:rPr>
            </w:pPr>
            <w:r>
              <w:rPr>
                <w:rFonts w:ascii="Arial" w:hAnsi="Arial"/>
                <w:b/>
                <w:sz w:val="18"/>
              </w:rPr>
              <w:t>Parameters for transmitter intermodulation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BW Channel (UL)</w:t>
            </w:r>
          </w:p>
        </w:tc>
        <w:tc>
          <w:tcPr>
            <w:tcW w:w="0" w:type="auto"/>
            <w:gridSpan w:val="2"/>
            <w:shd w:val="clear" w:color="auto" w:fill="auto"/>
            <w:vAlign w:val="center"/>
          </w:tcPr>
          <w:p>
            <w:pPr>
              <w:keepNext/>
              <w:keepLines/>
              <w:spacing w:after="0"/>
              <w:jc w:val="center"/>
              <w:rPr>
                <w:rFonts w:ascii="Arial" w:hAnsi="Arial"/>
                <w:sz w:val="18"/>
              </w:rPr>
            </w:pPr>
            <w:r>
              <w:rPr>
                <w:rFonts w:ascii="Arial" w:hAnsi="Arial"/>
                <w:sz w:val="18"/>
              </w:rPr>
              <w:t>15 kHz (1 tone</w:t>
            </w:r>
            <w:r>
              <w:rPr>
                <w:rFonts w:ascii="Arial" w:hAnsi="Arial" w:cs="Arial"/>
                <w:sz w:val="18"/>
                <w:lang w:eastAsia="en-GB"/>
              </w:rPr>
              <w:t xml:space="preserve"> at sub-carrier 5 or 6</w:t>
            </w:r>
            <w:r>
              <w:rPr>
                <w:rFonts w:ascii="Arial" w:hAnsi="Arial"/>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Interference Signal Frequency Offset</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180 kHz</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Interference CW Signal Level</w:t>
            </w:r>
          </w:p>
        </w:tc>
        <w:tc>
          <w:tcPr>
            <w:tcW w:w="0" w:type="auto"/>
            <w:gridSpan w:val="2"/>
            <w:shd w:val="clear" w:color="auto" w:fill="auto"/>
            <w:vAlign w:val="center"/>
          </w:tcPr>
          <w:p>
            <w:pPr>
              <w:keepNext/>
              <w:keepLines/>
              <w:spacing w:after="0"/>
              <w:jc w:val="center"/>
              <w:rPr>
                <w:rFonts w:ascii="Arial" w:hAnsi="Arial"/>
                <w:sz w:val="18"/>
              </w:rPr>
            </w:pPr>
            <w:r>
              <w:rPr>
                <w:rFonts w:ascii="Arial" w:hAnsi="Arial"/>
                <w:sz w:val="18"/>
              </w:rPr>
              <w:t>-40dBc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 xml:space="preserve">Intermodulation Product </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-20 dBc</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-39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keepNext/>
              <w:keepLines/>
              <w:spacing w:after="0"/>
              <w:jc w:val="center"/>
              <w:rPr>
                <w:rFonts w:ascii="Arial" w:hAnsi="Arial"/>
                <w:sz w:val="18"/>
              </w:rPr>
            </w:pPr>
            <w:r>
              <w:rPr>
                <w:rFonts w:ascii="Arial" w:hAnsi="Arial"/>
                <w:sz w:val="18"/>
              </w:rPr>
              <w:t>Measurement bandwidth</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30 kHz</w:t>
            </w:r>
          </w:p>
        </w:tc>
        <w:tc>
          <w:tcPr>
            <w:tcW w:w="0" w:type="auto"/>
            <w:shd w:val="clear" w:color="auto" w:fill="auto"/>
            <w:vAlign w:val="center"/>
          </w:tcPr>
          <w:p>
            <w:pPr>
              <w:keepNext/>
              <w:keepLines/>
              <w:spacing w:after="0"/>
              <w:jc w:val="center"/>
              <w:rPr>
                <w:rFonts w:ascii="Arial" w:hAnsi="Arial"/>
                <w:sz w:val="18"/>
              </w:rPr>
            </w:pPr>
            <w:r>
              <w:rPr>
                <w:rFonts w:ascii="Arial" w:hAnsi="Arial"/>
                <w:sz w:val="18"/>
              </w:rPr>
              <w:t>30 kHz</w:t>
            </w:r>
          </w:p>
        </w:tc>
      </w:tr>
    </w:tbl>
    <w:p>
      <w:pPr>
        <w:rPr>
          <w:rFonts w:cs="v5.0.0"/>
          <w:lang w:eastAsia="en-GB"/>
        </w:rPr>
      </w:pPr>
    </w:p>
    <w:p>
      <w:pPr>
        <w:rPr>
          <w:lang w:eastAsia="en-GB"/>
        </w:rPr>
      </w:pPr>
      <w:r>
        <w:rPr>
          <w:lang w:eastAsia="en-GB"/>
        </w:rPr>
        <w:t>The normative reference for this requirement is TS 36.102 [11] clause 6.6B.</w:t>
      </w:r>
    </w:p>
    <w:p>
      <w:pPr>
        <w:keepNext/>
        <w:keepLines/>
        <w:spacing w:before="120"/>
        <w:ind w:left="1985" w:hanging="1985"/>
        <w:rPr>
          <w:rFonts w:ascii="Arial" w:hAnsi="Arial"/>
          <w:lang w:eastAsia="en-GB"/>
        </w:rPr>
      </w:pPr>
      <w:r>
        <w:rPr>
          <w:rFonts w:ascii="Arial" w:hAnsi="Arial"/>
          <w:lang w:eastAsia="en-GB"/>
        </w:rPr>
        <w:t>6.6B.4</w:t>
      </w:r>
      <w:r>
        <w:rPr>
          <w:rFonts w:ascii="Arial" w:hAnsi="Arial"/>
          <w:lang w:eastAsia="en-GB"/>
        </w:rPr>
        <w:tab/>
      </w:r>
      <w:r>
        <w:rPr>
          <w:rFonts w:ascii="Arial" w:hAnsi="Arial"/>
          <w:lang w:eastAsia="en-GB"/>
        </w:rPr>
        <w:t>Test description</w:t>
      </w:r>
    </w:p>
    <w:p>
      <w:pPr>
        <w:keepNext/>
        <w:keepLines/>
        <w:spacing w:before="120"/>
        <w:ind w:left="1985" w:hanging="1985"/>
        <w:rPr>
          <w:rFonts w:ascii="Arial" w:hAnsi="Arial"/>
          <w:lang w:eastAsia="en-GB"/>
        </w:rPr>
      </w:pPr>
      <w:r>
        <w:rPr>
          <w:rFonts w:ascii="Arial" w:hAnsi="Arial"/>
          <w:lang w:eastAsia="en-GB"/>
        </w:rPr>
        <w:t>6.6B.4.1</w:t>
      </w:r>
      <w:r>
        <w:rPr>
          <w:rFonts w:ascii="Arial" w:hAnsi="Arial"/>
          <w:lang w:eastAsia="en-GB"/>
        </w:rPr>
        <w:tab/>
      </w:r>
      <w:r>
        <w:rPr>
          <w:rFonts w:ascii="Arial" w:hAnsi="Arial"/>
          <w:lang w:eastAsia="en-GB"/>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NB-IoT in clause 5.2B. All of these configurations shall be tested with applicable test parameters shown in table 6.6B4.1-1. The details of the uplink reference measurement channels (RMCs) are specified in Annexes A.2.4.</w:t>
      </w:r>
      <w:r>
        <w:rPr>
          <w:lang w:eastAsia="ko-KR"/>
        </w:rPr>
        <w:t xml:space="preserve"> </w:t>
      </w:r>
      <w:r>
        <w:t>Configurations of NPDSCH and NPDCCH before measurement are specified in Annex C.2.</w:t>
      </w:r>
    </w:p>
    <w:p>
      <w:pPr>
        <w:pStyle w:val="113"/>
      </w:pPr>
      <w:r>
        <w:t xml:space="preserve">Table 6.6B.4.1-1: Test Configuration Table for FDD </w:t>
      </w:r>
    </w:p>
    <w:tbl>
      <w:tblPr>
        <w:tblStyle w:val="89"/>
        <w:tblW w:w="93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1522"/>
        <w:gridCol w:w="2616"/>
        <w:gridCol w:w="1792"/>
        <w:gridCol w:w="2058"/>
        <w:gridCol w:w="13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9340" w:type="dxa"/>
            <w:gridSpan w:val="5"/>
            <w:shd w:val="clear" w:color="auto" w:fill="FFFFFF"/>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pStyle w:val="105"/>
              <w:jc w:val="left"/>
            </w:pPr>
            <w:r>
              <w:t>Test Environment as specified in</w:t>
            </w:r>
          </w:p>
          <w:p>
            <w:pPr>
              <w:pStyle w:val="105"/>
              <w:jc w:val="left"/>
            </w:pPr>
            <w:r>
              <w:t>TS 36.508[12] subclause 8.1.1</w:t>
            </w:r>
          </w:p>
        </w:tc>
        <w:tc>
          <w:tcPr>
            <w:tcW w:w="5202" w:type="dxa"/>
            <w:gridSpan w:val="3"/>
            <w:shd w:val="clear" w:color="auto" w:fill="FFFFFF"/>
            <w:tcMar>
              <w:top w:w="0" w:type="dxa"/>
              <w:left w:w="108" w:type="dxa"/>
              <w:bottom w:w="0" w:type="dxa"/>
              <w:right w:w="108" w:type="dxa"/>
            </w:tcMar>
          </w:tcPr>
          <w:p>
            <w:pPr>
              <w:pStyle w:val="105"/>
              <w:jc w:val="left"/>
            </w:pPr>
            <w:r>
              <w:rPr>
                <w:rFonts w:cs="v5.0.0"/>
                <w:bCs/>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4138" w:type="dxa"/>
            <w:gridSpan w:val="2"/>
            <w:shd w:val="clear" w:color="auto" w:fill="FFFFFF"/>
          </w:tcPr>
          <w:p>
            <w:pPr>
              <w:pStyle w:val="105"/>
              <w:jc w:val="left"/>
            </w:pPr>
            <w:r>
              <w:t>Test Frequencies as specified in</w:t>
            </w:r>
          </w:p>
          <w:p>
            <w:pPr>
              <w:pStyle w:val="105"/>
              <w:jc w:val="left"/>
            </w:pPr>
            <w:r>
              <w:t>TS 36.508 [12] subclause 8.1.3.1</w:t>
            </w:r>
          </w:p>
        </w:tc>
        <w:tc>
          <w:tcPr>
            <w:tcW w:w="5202" w:type="dxa"/>
            <w:gridSpan w:val="3"/>
            <w:shd w:val="clear" w:color="auto" w:fill="FFFFFF"/>
            <w:tcMar>
              <w:top w:w="0" w:type="dxa"/>
              <w:left w:w="108" w:type="dxa"/>
              <w:bottom w:w="0" w:type="dxa"/>
              <w:right w:w="108" w:type="dxa"/>
            </w:tcMar>
          </w:tcPr>
          <w:p>
            <w:pPr>
              <w:pStyle w:val="105"/>
              <w:jc w:val="left"/>
            </w:pPr>
            <w:r>
              <w:rPr>
                <w:rFonts w:eastAsia="微软雅黑" w:cs="Arial"/>
              </w:rPr>
              <w:t>Frequency ranges defined in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9340" w:type="dxa"/>
            <w:gridSpan w:val="5"/>
            <w:shd w:val="clear" w:color="auto" w:fill="FFFFFF"/>
          </w:tcPr>
          <w:p>
            <w:pPr>
              <w:pStyle w:val="104"/>
              <w:spacing w:line="252" w:lineRule="auto"/>
            </w:pPr>
            <w:r>
              <w:t>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522" w:type="dxa"/>
            <w:shd w:val="clear" w:color="auto" w:fill="FFFFFF"/>
          </w:tcPr>
          <w:p>
            <w:pPr>
              <w:pStyle w:val="104"/>
              <w:spacing w:line="252" w:lineRule="auto"/>
            </w:pPr>
            <w:r>
              <w:t>Configuration ID</w:t>
            </w:r>
          </w:p>
        </w:tc>
        <w:tc>
          <w:tcPr>
            <w:tcW w:w="2616" w:type="dxa"/>
            <w:shd w:val="clear" w:color="auto" w:fill="FFFFFF"/>
            <w:tcMar>
              <w:top w:w="0" w:type="dxa"/>
              <w:left w:w="108" w:type="dxa"/>
              <w:bottom w:w="0" w:type="dxa"/>
              <w:right w:w="108" w:type="dxa"/>
            </w:tcMar>
          </w:tcPr>
          <w:p>
            <w:pPr>
              <w:pStyle w:val="104"/>
              <w:spacing w:line="252" w:lineRule="auto"/>
            </w:pPr>
            <w:r>
              <w:t>Downlink Configuration</w:t>
            </w:r>
          </w:p>
        </w:tc>
        <w:tc>
          <w:tcPr>
            <w:tcW w:w="5202" w:type="dxa"/>
            <w:gridSpan w:val="3"/>
            <w:shd w:val="clear" w:color="auto" w:fill="FFFFFF"/>
            <w:tcMar>
              <w:top w:w="0" w:type="dxa"/>
              <w:left w:w="108" w:type="dxa"/>
              <w:bottom w:w="0" w:type="dxa"/>
              <w:right w:w="108" w:type="dxa"/>
            </w:tcMar>
          </w:tcPr>
          <w:p>
            <w:pPr>
              <w:pStyle w:val="104"/>
              <w:spacing w:line="252" w:lineRule="auto"/>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pStyle w:val="105"/>
            </w:pPr>
          </w:p>
        </w:tc>
        <w:tc>
          <w:tcPr>
            <w:tcW w:w="2616" w:type="dxa"/>
            <w:vMerge w:val="restart"/>
            <w:shd w:val="clear" w:color="auto" w:fill="FFFFFF"/>
            <w:tcMar>
              <w:top w:w="0" w:type="dxa"/>
              <w:left w:w="108" w:type="dxa"/>
              <w:bottom w:w="0" w:type="dxa"/>
              <w:right w:w="108" w:type="dxa"/>
            </w:tcMar>
          </w:tcPr>
          <w:p>
            <w:pPr>
              <w:pStyle w:val="105"/>
            </w:pPr>
            <w:r>
              <w:t>N/A</w:t>
            </w:r>
          </w:p>
        </w:tc>
        <w:tc>
          <w:tcPr>
            <w:tcW w:w="1792" w:type="dxa"/>
            <w:shd w:val="clear" w:color="auto" w:fill="FFFFFF"/>
            <w:tcMar>
              <w:top w:w="0" w:type="dxa"/>
              <w:left w:w="108" w:type="dxa"/>
              <w:bottom w:w="0" w:type="dxa"/>
              <w:right w:w="108" w:type="dxa"/>
            </w:tcMar>
          </w:tcPr>
          <w:p>
            <w:pPr>
              <w:pStyle w:val="105"/>
            </w:pPr>
            <w:r>
              <w:t>Modulation</w:t>
            </w:r>
          </w:p>
        </w:tc>
        <w:tc>
          <w:tcPr>
            <w:tcW w:w="2058" w:type="dxa"/>
            <w:shd w:val="clear" w:color="auto" w:fill="FFFFFF"/>
            <w:tcMar>
              <w:top w:w="0" w:type="dxa"/>
              <w:left w:w="108" w:type="dxa"/>
              <w:bottom w:w="0" w:type="dxa"/>
              <w:right w:w="108" w:type="dxa"/>
            </w:tcMar>
          </w:tcPr>
          <w:p>
            <w:pPr>
              <w:pStyle w:val="105"/>
            </w:pPr>
            <w:r>
              <w:t>N</w:t>
            </w:r>
            <w:r>
              <w:rPr>
                <w:vertAlign w:val="subscript"/>
              </w:rPr>
              <w:t>tones</w:t>
            </w:r>
          </w:p>
        </w:tc>
        <w:tc>
          <w:tcPr>
            <w:tcW w:w="1352" w:type="dxa"/>
            <w:shd w:val="clear" w:color="auto" w:fill="FFFFFF"/>
            <w:tcMar>
              <w:top w:w="0" w:type="dxa"/>
              <w:left w:w="108" w:type="dxa"/>
              <w:bottom w:w="0" w:type="dxa"/>
              <w:right w:w="108" w:type="dxa"/>
            </w:tcMar>
          </w:tcPr>
          <w:p>
            <w:pPr>
              <w:pStyle w:val="105"/>
            </w:pPr>
            <w:r>
              <w:t>Sub-carrier spacing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0" w:type="dxa"/>
            <w:left w:w="0" w:type="dxa"/>
            <w:bottom w:w="0" w:type="dxa"/>
            <w:right w:w="0" w:type="dxa"/>
          </w:tblCellMar>
        </w:tblPrEx>
        <w:trPr>
          <w:cantSplit/>
          <w:jc w:val="center"/>
        </w:trPr>
        <w:tc>
          <w:tcPr>
            <w:tcW w:w="1522" w:type="dxa"/>
            <w:shd w:val="clear" w:color="auto" w:fill="FFFFFF"/>
          </w:tcPr>
          <w:p>
            <w:pPr>
              <w:pStyle w:val="105"/>
            </w:pPr>
            <w:r>
              <w:rPr>
                <w:rFonts w:cs="Arial"/>
              </w:rPr>
              <w:t>1</w:t>
            </w:r>
          </w:p>
        </w:tc>
        <w:tc>
          <w:tcPr>
            <w:tcW w:w="0" w:type="auto"/>
            <w:vMerge w:val="continue"/>
            <w:shd w:val="clear" w:color="auto" w:fill="FFFFFF"/>
            <w:vAlign w:val="center"/>
          </w:tcPr>
          <w:p>
            <w:pPr>
              <w:pStyle w:val="48"/>
              <w:numPr>
                <w:ilvl w:val="0"/>
                <w:numId w:val="13"/>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pPr>
              <w:pStyle w:val="105"/>
            </w:pPr>
            <w:r>
              <w:t>QPSK</w:t>
            </w:r>
          </w:p>
        </w:tc>
        <w:tc>
          <w:tcPr>
            <w:tcW w:w="2058" w:type="dxa"/>
            <w:shd w:val="clear" w:color="auto" w:fill="FFFFFF"/>
            <w:tcMar>
              <w:top w:w="0" w:type="dxa"/>
              <w:left w:w="108" w:type="dxa"/>
              <w:bottom w:w="0" w:type="dxa"/>
              <w:right w:w="108" w:type="dxa"/>
            </w:tcMar>
          </w:tcPr>
          <w:p>
            <w:pPr>
              <w:pStyle w:val="105"/>
            </w:pPr>
            <w:r>
              <w:t>1@5</w:t>
            </w:r>
          </w:p>
        </w:tc>
        <w:tc>
          <w:tcPr>
            <w:tcW w:w="1352" w:type="dxa"/>
            <w:shd w:val="clear" w:color="auto" w:fill="FFFFFF"/>
            <w:tcMar>
              <w:top w:w="0" w:type="dxa"/>
              <w:left w:w="108" w:type="dxa"/>
              <w:bottom w:w="0" w:type="dxa"/>
              <w:right w:w="108" w:type="dxa"/>
            </w:tcMar>
          </w:tcPr>
          <w:p>
            <w:pPr>
              <w:pStyle w:val="105"/>
            </w:pPr>
            <w:r>
              <w:t>15kHz</w:t>
            </w:r>
          </w:p>
        </w:tc>
      </w:tr>
    </w:tbl>
    <w:p>
      <w:pPr>
        <w:ind w:left="568" w:hanging="284"/>
        <w:rPr>
          <w:rFonts w:eastAsia="Times New Roman"/>
          <w:lang w:eastAsia="en-GB"/>
        </w:rPr>
      </w:pPr>
    </w:p>
    <w:p>
      <w:pPr>
        <w:ind w:left="568" w:hanging="284"/>
        <w:rPr>
          <w:lang w:eastAsia="en-GB"/>
        </w:rPr>
      </w:pPr>
      <w:r>
        <w:rPr>
          <w:lang w:eastAsia="en-GB"/>
        </w:rPr>
        <w:t>1.</w:t>
      </w:r>
      <w:r>
        <w:rPr>
          <w:lang w:eastAsia="en-GB"/>
        </w:rPr>
        <w:tab/>
      </w:r>
      <w:r>
        <w:rPr>
          <w:lang w:eastAsia="en-GB"/>
        </w:rPr>
        <w:t>Connect the SS to the UE antenna connectors as shown in TS 36.508 [12] Annex A, Figure A.2 using only main Tx/Rx antenna.</w:t>
      </w:r>
    </w:p>
    <w:p>
      <w:pPr>
        <w:ind w:left="568" w:hanging="284"/>
        <w:rPr>
          <w:lang w:eastAsia="en-GB"/>
        </w:rPr>
      </w:pPr>
      <w:r>
        <w:rPr>
          <w:lang w:eastAsia="en-GB"/>
        </w:rPr>
        <w:t>2.</w:t>
      </w:r>
      <w:r>
        <w:rPr>
          <w:lang w:eastAsia="en-GB"/>
        </w:rPr>
        <w:tab/>
      </w:r>
      <w:r>
        <w:rPr>
          <w:lang w:eastAsia="en-GB"/>
        </w:rPr>
        <w:t>The parameter settings for the cell are set up according to TS 36.508 [12] subclause 8.1.4.3.</w:t>
      </w:r>
    </w:p>
    <w:p>
      <w:pPr>
        <w:ind w:left="568" w:hanging="284"/>
        <w:rPr>
          <w:lang w:eastAsia="en-GB"/>
        </w:rPr>
      </w:pPr>
      <w:r>
        <w:rPr>
          <w:lang w:eastAsia="en-GB"/>
        </w:rPr>
        <w:t>3.</w:t>
      </w:r>
      <w:r>
        <w:rPr>
          <w:lang w:eastAsia="en-GB"/>
        </w:rPr>
        <w:tab/>
      </w:r>
      <w:r>
        <w:rPr>
          <w:lang w:eastAsia="en-GB"/>
        </w:rPr>
        <w:t>Downlink signals are initially set up according to Annex C.0, C.1, and C.3.0, and uplink signals according to Annex H.1.1 and H.4.0.</w:t>
      </w:r>
    </w:p>
    <w:p>
      <w:pPr>
        <w:ind w:left="568" w:hanging="284"/>
        <w:rPr>
          <w:lang w:eastAsia="en-GB"/>
        </w:rPr>
      </w:pPr>
      <w:r>
        <w:rPr>
          <w:lang w:eastAsia="en-GB"/>
        </w:rPr>
        <w:t>4.</w:t>
      </w:r>
      <w:r>
        <w:rPr>
          <w:lang w:eastAsia="en-GB"/>
        </w:rPr>
        <w:tab/>
      </w:r>
      <w:r>
        <w:rPr>
          <w:lang w:eastAsia="en-GB"/>
        </w:rPr>
        <w:t>The UL Reference Measurement channels are set according to Table 6.6B.4.1-1.</w:t>
      </w:r>
    </w:p>
    <w:p>
      <w:pPr>
        <w:ind w:left="568" w:hanging="284"/>
        <w:rPr>
          <w:lang w:eastAsia="en-GB"/>
        </w:rPr>
      </w:pPr>
      <w:r>
        <w:rPr>
          <w:lang w:eastAsia="en-GB"/>
        </w:rPr>
        <w:t>5.</w:t>
      </w:r>
      <w:r>
        <w:rPr>
          <w:lang w:eastAsia="en-GB"/>
        </w:rPr>
        <w:tab/>
      </w:r>
      <w:r>
        <w:rPr>
          <w:lang w:eastAsia="en-GB"/>
        </w:rPr>
        <w:t>Propagation conditions are set according to Annex B.0.</w:t>
      </w:r>
    </w:p>
    <w:p>
      <w:pPr>
        <w:ind w:left="568" w:hanging="284"/>
        <w:rPr>
          <w:lang w:eastAsia="en-GB"/>
        </w:rPr>
      </w:pPr>
      <w:r>
        <w:rPr>
          <w:lang w:eastAsia="en-GB"/>
        </w:rPr>
        <w:t>6.</w:t>
      </w:r>
      <w:r>
        <w:rPr>
          <w:lang w:eastAsia="en-GB"/>
        </w:rPr>
        <w:tab/>
      </w:r>
      <w:r>
        <w:rPr>
          <w:lang w:eastAsia="en-GB"/>
        </w:rPr>
        <w:t>Ensure the UE is in State 2A-NB with CP CIoT Optimisation according to TS 36.508 [12] clause 8.1.5. Message contents are defined in clause 6.6B.4.3.</w:t>
      </w:r>
    </w:p>
    <w:p>
      <w:pPr>
        <w:keepNext/>
        <w:keepLines/>
        <w:spacing w:before="120"/>
        <w:ind w:left="1985" w:hanging="1985"/>
        <w:rPr>
          <w:rFonts w:ascii="Arial" w:hAnsi="Arial"/>
          <w:lang w:eastAsia="en-GB"/>
        </w:rPr>
      </w:pPr>
      <w:r>
        <w:rPr>
          <w:rFonts w:ascii="Arial" w:hAnsi="Arial"/>
          <w:lang w:eastAsia="en-GB"/>
        </w:rPr>
        <w:t>6.6B.4.2</w:t>
      </w:r>
      <w:r>
        <w:rPr>
          <w:rFonts w:ascii="Arial" w:hAnsi="Arial"/>
          <w:lang w:eastAsia="en-GB"/>
        </w:rPr>
        <w:tab/>
      </w:r>
      <w:r>
        <w:rPr>
          <w:rFonts w:ascii="Arial" w:hAnsi="Arial"/>
          <w:lang w:eastAsia="en-GB"/>
        </w:rPr>
        <w:t>Test procedure</w:t>
      </w:r>
    </w:p>
    <w:p>
      <w:pPr>
        <w:ind w:left="568" w:hanging="284"/>
        <w:rPr>
          <w:lang w:eastAsia="en-GB"/>
        </w:rPr>
      </w:pPr>
      <w:r>
        <w:rPr>
          <w:lang w:eastAsia="en-GB"/>
        </w:rPr>
        <w:t>1.</w:t>
      </w:r>
      <w:r>
        <w:rPr>
          <w:lang w:eastAsia="en-GB"/>
        </w:rPr>
        <w:tab/>
      </w:r>
      <w:r>
        <w:rPr>
          <w:lang w:eastAsia="en-GB"/>
        </w:rPr>
        <w:t xml:space="preserve">SS sends uplink scheduling information </w:t>
      </w:r>
      <w:r>
        <w:rPr>
          <w:rFonts w:eastAsia="Times New Roman"/>
          <w:lang w:eastAsia="en-GB"/>
        </w:rPr>
        <w:t xml:space="preserve">for </w:t>
      </w:r>
      <w:r>
        <w:rPr>
          <w:lang w:eastAsia="en-GB"/>
        </w:rPr>
        <w:t>the</w:t>
      </w:r>
      <w:r>
        <w:rPr>
          <w:rFonts w:eastAsia="Times New Roman"/>
          <w:lang w:eastAsia="en-GB"/>
        </w:rPr>
        <w:t xml:space="preserve"> UL HARQ process</w:t>
      </w:r>
      <w:r>
        <w:rPr>
          <w:lang w:eastAsia="en-GB"/>
        </w:rPr>
        <w:t xml:space="preserve"> via NPDCCH DCI format N0 for C_RNTI to schedule the UL RMC according to Table 6.6B.4.1-1. Since the UE has no payload and no loopback data to send the UE sends uplink MAC padding bits on the UL RMC</w:t>
      </w:r>
      <w:r>
        <w:rPr>
          <w:rFonts w:eastAsia="Times New Roman"/>
          <w:lang w:eastAsia="en-GB"/>
        </w:rPr>
        <w:t>.</w:t>
      </w:r>
      <w:r>
        <w:rPr>
          <w:lang w:eastAsia="en-GB"/>
        </w:rPr>
        <w:t xml:space="preserve"> (UE should be already transmitting P</w:t>
      </w:r>
      <w:r>
        <w:rPr>
          <w:vertAlign w:val="baseline"/>
          <w:lang w:eastAsia="en-GB"/>
        </w:rPr>
        <w:t>UMAX</w:t>
      </w:r>
      <w:r>
        <w:rPr>
          <w:lang w:eastAsia="en-GB"/>
        </w:rPr>
        <w:t xml:space="preserve"> after Initial Conditions setting).</w:t>
      </w:r>
    </w:p>
    <w:p>
      <w:pPr>
        <w:ind w:left="568" w:hanging="284"/>
        <w:rPr>
          <w:lang w:eastAsia="en-GB"/>
        </w:rPr>
      </w:pPr>
      <w:r>
        <w:rPr>
          <w:lang w:eastAsia="en-GB"/>
        </w:rPr>
        <w:t>2.</w:t>
      </w:r>
      <w:r>
        <w:rPr>
          <w:lang w:eastAsia="en-GB"/>
        </w:rPr>
        <w:tab/>
      </w:r>
      <w:r>
        <w:rPr>
          <w:lang w:eastAsia="en-GB"/>
        </w:rPr>
        <w:t>Measure the mean power of the UE in the channel bandwidth of the radio access mode according to the test configuration, which shall meet the requirements described in Table 6.2B.2.4-1. The measurement period is at least</w:t>
      </w:r>
      <w:r>
        <w:rPr>
          <w:b w:val="0"/>
          <w:lang w:eastAsia="en-GB"/>
        </w:rPr>
        <w:t xml:space="preserve"> </w:t>
      </w:r>
      <w:r>
        <w:rPr>
          <w:lang w:eastAsia="en-GB"/>
        </w:rPr>
        <w:t>one sub-frame</w:t>
      </w:r>
      <w:r>
        <w:rPr>
          <w:b w:val="0"/>
          <w:lang w:eastAsia="en-GB"/>
        </w:rPr>
        <w:t xml:space="preserve"> (</w:t>
      </w:r>
      <w:r>
        <w:rPr>
          <w:lang w:eastAsia="en-GB"/>
        </w:rPr>
        <w:t>1ms) for 15 KHz channel spacing.</w:t>
      </w:r>
    </w:p>
    <w:p>
      <w:pPr>
        <w:ind w:left="568" w:hanging="284"/>
        <w:rPr>
          <w:lang w:eastAsia="en-GB"/>
        </w:rPr>
      </w:pPr>
      <w:r>
        <w:rPr>
          <w:lang w:eastAsia="en-GB"/>
        </w:rPr>
        <w:t>3.</w:t>
      </w:r>
      <w:r>
        <w:rPr>
          <w:lang w:eastAsia="en-GB"/>
        </w:rPr>
        <w:tab/>
      </w:r>
      <w:r>
        <w:rPr>
          <w:lang w:eastAsia="en-GB"/>
        </w:rPr>
        <w:t>Set the interference signal frequency below the UL carrier frequency using the first offset in table 6.6B.5-1.</w:t>
      </w:r>
    </w:p>
    <w:p>
      <w:pPr>
        <w:ind w:left="568" w:hanging="284"/>
        <w:rPr>
          <w:lang w:eastAsia="en-GB"/>
        </w:rPr>
      </w:pPr>
      <w:r>
        <w:rPr>
          <w:lang w:eastAsia="en-GB"/>
        </w:rPr>
        <w:t>4.</w:t>
      </w:r>
      <w:r>
        <w:rPr>
          <w:lang w:eastAsia="en-GB"/>
        </w:rPr>
        <w:tab/>
      </w:r>
      <w:r>
        <w:rPr>
          <w:lang w:eastAsia="en-GB"/>
        </w:rPr>
        <w:t>Set the interference CW signal level according to table 6.6B.5-1.</w:t>
      </w:r>
    </w:p>
    <w:p>
      <w:pPr>
        <w:ind w:left="568" w:hanging="284"/>
        <w:rPr>
          <w:lang w:eastAsia="en-GB"/>
        </w:rPr>
      </w:pPr>
      <w:r>
        <w:rPr>
          <w:lang w:eastAsia="en-GB"/>
        </w:rPr>
        <w:t>5.</w:t>
      </w:r>
      <w:r>
        <w:rPr>
          <w:lang w:eastAsia="en-GB"/>
        </w:rPr>
        <w:tab/>
      </w:r>
      <w:r>
        <w:rPr>
          <w:lang w:eastAsia="en-GB"/>
        </w:rPr>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pPr>
        <w:ind w:left="568" w:hanging="284"/>
        <w:rPr>
          <w:lang w:eastAsia="en-GB"/>
        </w:rPr>
      </w:pPr>
      <w:r>
        <w:rPr>
          <w:lang w:eastAsia="en-GB"/>
        </w:rPr>
        <w:t>6.</w:t>
      </w:r>
      <w:r>
        <w:rPr>
          <w:lang w:eastAsia="en-GB"/>
        </w:rPr>
        <w:tab/>
      </w:r>
      <w:r>
        <w:rPr>
          <w:lang w:eastAsia="en-GB"/>
        </w:rPr>
        <w:t>Set the interference signal frequency above the UL carrier frequency using the first offset in table 6.6B.5-1.</w:t>
      </w:r>
    </w:p>
    <w:p>
      <w:pPr>
        <w:ind w:left="568" w:hanging="284"/>
        <w:rPr>
          <w:lang w:eastAsia="en-GB"/>
        </w:rPr>
      </w:pPr>
      <w:r>
        <w:rPr>
          <w:lang w:eastAsia="en-GB"/>
        </w:rPr>
        <w:t>7.</w:t>
      </w:r>
      <w:r>
        <w:rPr>
          <w:lang w:eastAsia="en-GB"/>
        </w:rPr>
        <w:tab/>
      </w:r>
      <w:r>
        <w:rPr>
          <w:lang w:eastAsia="en-GB"/>
        </w:rPr>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pPr>
        <w:ind w:left="568" w:hanging="284"/>
        <w:rPr>
          <w:lang w:eastAsia="en-GB"/>
        </w:rPr>
      </w:pPr>
      <w:r>
        <w:rPr>
          <w:lang w:eastAsia="en-GB"/>
        </w:rPr>
        <w:t>Repeat the measurement using the second offset in table 6.6B.5-1.</w:t>
      </w:r>
    </w:p>
    <w:p>
      <w:pPr>
        <w:keepNext/>
        <w:keepLines/>
        <w:spacing w:before="120"/>
        <w:ind w:left="1985" w:hanging="1985"/>
        <w:rPr>
          <w:rFonts w:ascii="Arial" w:hAnsi="Arial"/>
          <w:lang w:eastAsia="en-GB"/>
        </w:rPr>
      </w:pPr>
      <w:r>
        <w:rPr>
          <w:rFonts w:ascii="Arial" w:hAnsi="Arial"/>
          <w:lang w:eastAsia="en-GB"/>
        </w:rPr>
        <w:t>6.6B.4.3</w:t>
      </w:r>
      <w:r>
        <w:rPr>
          <w:rFonts w:ascii="Arial" w:hAnsi="Arial"/>
          <w:lang w:eastAsia="en-GB"/>
        </w:rPr>
        <w:tab/>
      </w:r>
      <w:r>
        <w:rPr>
          <w:rFonts w:ascii="Arial" w:hAnsi="Arial"/>
          <w:lang w:eastAsia="en-GB"/>
        </w:rPr>
        <w:t>Message contents</w:t>
      </w:r>
    </w:p>
    <w:p>
      <w:r>
        <w:t>Message contents are according to TS 36.508 [12] subclause 8.1.6.</w:t>
      </w:r>
    </w:p>
    <w:p>
      <w:pPr>
        <w:keepNext/>
        <w:keepLines/>
        <w:spacing w:before="120"/>
        <w:ind w:left="1985" w:hanging="1985"/>
        <w:rPr>
          <w:rFonts w:ascii="Arial" w:hAnsi="Arial"/>
          <w:lang w:eastAsia="en-GB"/>
        </w:rPr>
      </w:pPr>
      <w:r>
        <w:rPr>
          <w:rFonts w:ascii="Arial" w:hAnsi="Arial"/>
          <w:lang w:eastAsia="en-GB"/>
        </w:rPr>
        <w:t>6.6B.5</w:t>
      </w:r>
      <w:r>
        <w:rPr>
          <w:rFonts w:ascii="Arial" w:hAnsi="Arial"/>
          <w:lang w:eastAsia="en-GB"/>
        </w:rPr>
        <w:tab/>
      </w:r>
      <w:r>
        <w:rPr>
          <w:rFonts w:ascii="Arial" w:hAnsi="Arial"/>
          <w:lang w:eastAsia="en-GB"/>
        </w:rPr>
        <w:t>Test requirement</w:t>
      </w:r>
    </w:p>
    <w:p>
      <w:r>
        <w:t>The ratio derived in step 5 and 7, shall not exceed the described value in table 6.6B.5-1</w:t>
      </w:r>
    </w:p>
    <w:p>
      <w:pPr>
        <w:pStyle w:val="113"/>
      </w:pPr>
      <w:r>
        <w:t>Table 6.6B.5-1: Transmit Intermodulation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58"/>
        <w:gridCol w:w="877"/>
        <w:gridCol w:w="8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shd w:val="clear" w:color="auto" w:fill="auto"/>
            <w:vAlign w:val="center"/>
          </w:tcPr>
          <w:p>
            <w:pPr>
              <w:pStyle w:val="105"/>
            </w:pPr>
            <w:r>
              <w:t>BW Channel (UL)</w:t>
            </w:r>
          </w:p>
        </w:tc>
        <w:tc>
          <w:tcPr>
            <w:tcW w:w="0" w:type="auto"/>
            <w:gridSpan w:val="2"/>
            <w:shd w:val="clear" w:color="auto" w:fill="auto"/>
            <w:vAlign w:val="center"/>
          </w:tcPr>
          <w:p>
            <w:pPr>
              <w:pStyle w:val="105"/>
            </w:pPr>
            <w:r>
              <w:t>15 kHz (1 tone)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Interference Signal Frequency Offset</w:t>
            </w:r>
          </w:p>
        </w:tc>
        <w:tc>
          <w:tcPr>
            <w:tcW w:w="0" w:type="auto"/>
            <w:shd w:val="clear" w:color="auto" w:fill="auto"/>
            <w:vAlign w:val="center"/>
          </w:tcPr>
          <w:p>
            <w:pPr>
              <w:pStyle w:val="105"/>
            </w:pPr>
            <w:r>
              <w:t>180 kHz</w:t>
            </w:r>
          </w:p>
        </w:tc>
        <w:tc>
          <w:tcPr>
            <w:tcW w:w="0" w:type="auto"/>
            <w:shd w:val="clear" w:color="auto" w:fill="auto"/>
            <w:vAlign w:val="center"/>
          </w:tcPr>
          <w:p>
            <w:pPr>
              <w:pStyle w:val="105"/>
            </w:pPr>
            <w:r>
              <w:t>360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Interference CW Signal Level</w:t>
            </w:r>
          </w:p>
        </w:tc>
        <w:tc>
          <w:tcPr>
            <w:tcW w:w="0" w:type="auto"/>
            <w:gridSpan w:val="2"/>
            <w:shd w:val="clear" w:color="auto" w:fill="auto"/>
            <w:vAlign w:val="center"/>
          </w:tcPr>
          <w:p>
            <w:pPr>
              <w:pStyle w:val="105"/>
            </w:pPr>
            <w:r>
              <w:t>-40dBc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Intermodulation Product</w:t>
            </w:r>
          </w:p>
        </w:tc>
        <w:tc>
          <w:tcPr>
            <w:tcW w:w="0" w:type="auto"/>
            <w:shd w:val="clear" w:color="auto" w:fill="auto"/>
            <w:vAlign w:val="center"/>
          </w:tcPr>
          <w:p>
            <w:pPr>
              <w:pStyle w:val="105"/>
            </w:pPr>
            <w:r>
              <w:t>-20 dBc</w:t>
            </w:r>
          </w:p>
        </w:tc>
        <w:tc>
          <w:tcPr>
            <w:tcW w:w="0" w:type="auto"/>
            <w:shd w:val="clear" w:color="auto" w:fill="auto"/>
            <w:vAlign w:val="center"/>
          </w:tcPr>
          <w:p>
            <w:pPr>
              <w:pStyle w:val="105"/>
            </w:pPr>
            <w:r>
              <w:t>-39 dBc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0" w:type="auto"/>
            <w:shd w:val="clear" w:color="auto" w:fill="auto"/>
            <w:vAlign w:val="center"/>
          </w:tcPr>
          <w:p>
            <w:pPr>
              <w:pStyle w:val="105"/>
            </w:pPr>
            <w:r>
              <w:t>Measurement bandwidth</w:t>
            </w:r>
          </w:p>
        </w:tc>
        <w:tc>
          <w:tcPr>
            <w:tcW w:w="0" w:type="auto"/>
            <w:shd w:val="clear" w:color="auto" w:fill="auto"/>
            <w:vAlign w:val="center"/>
          </w:tcPr>
          <w:p>
            <w:pPr>
              <w:pStyle w:val="105"/>
            </w:pPr>
            <w:r>
              <w:t>30 kHz</w:t>
            </w:r>
          </w:p>
        </w:tc>
        <w:tc>
          <w:tcPr>
            <w:tcW w:w="0" w:type="auto"/>
            <w:shd w:val="clear" w:color="auto" w:fill="auto"/>
            <w:vAlign w:val="center"/>
          </w:tcPr>
          <w:p>
            <w:pPr>
              <w:pStyle w:val="105"/>
            </w:pPr>
            <w:r>
              <w:t>30 kHz</w:t>
            </w:r>
          </w:p>
        </w:tc>
      </w:tr>
    </w:tbl>
    <w:p/>
    <w:p>
      <w:pPr>
        <w:pStyle w:val="3"/>
      </w:pPr>
      <w:bookmarkStart w:id="677" w:name="_Toc121162880"/>
      <w:bookmarkStart w:id="678" w:name="_Toc754"/>
      <w:bookmarkStart w:id="679" w:name="_Toc1688"/>
      <w:bookmarkStart w:id="680" w:name="_Toc11747"/>
      <w:bookmarkStart w:id="681" w:name="_Toc120570088"/>
      <w:bookmarkStart w:id="682" w:name="_Toc111062075"/>
      <w:bookmarkStart w:id="683" w:name="_Toc368026358"/>
      <w:r>
        <w:t>7</w:t>
      </w:r>
      <w:r>
        <w:tab/>
      </w:r>
      <w:r>
        <w:t>Receiver characteristics</w:t>
      </w:r>
      <w:bookmarkEnd w:id="677"/>
      <w:bookmarkEnd w:id="678"/>
      <w:bookmarkEnd w:id="679"/>
      <w:bookmarkEnd w:id="680"/>
      <w:bookmarkEnd w:id="681"/>
      <w:bookmarkEnd w:id="682"/>
      <w:bookmarkEnd w:id="683"/>
    </w:p>
    <w:p>
      <w:pPr>
        <w:pStyle w:val="4"/>
      </w:pPr>
      <w:bookmarkStart w:id="684" w:name="_Toc121162881"/>
      <w:bookmarkStart w:id="685" w:name="_Toc21839"/>
      <w:bookmarkStart w:id="686" w:name="_Toc32063"/>
      <w:bookmarkStart w:id="687" w:name="_Toc111062076"/>
      <w:bookmarkStart w:id="688" w:name="_Toc120570089"/>
      <w:bookmarkStart w:id="689" w:name="_Toc11768"/>
      <w:bookmarkStart w:id="690" w:name="_Toc368026359"/>
      <w:r>
        <w:t>7.1</w:t>
      </w:r>
      <w:r>
        <w:tab/>
      </w:r>
      <w:r>
        <w:t>General</w:t>
      </w:r>
      <w:bookmarkEnd w:id="684"/>
      <w:bookmarkEnd w:id="685"/>
      <w:bookmarkEnd w:id="686"/>
      <w:bookmarkEnd w:id="687"/>
      <w:bookmarkEnd w:id="688"/>
      <w:bookmarkEnd w:id="689"/>
      <w:bookmarkEnd w:id="690"/>
    </w:p>
    <w:p>
      <w:r>
        <w:t>The requirements in clause 7.1 of TS 36.101 [7] shall apply.</w:t>
      </w:r>
    </w:p>
    <w:p>
      <w:pPr>
        <w:rPr>
          <w:rFonts w:cs="v5.0.0" w:eastAsiaTheme="minorEastAsia"/>
        </w:rPr>
      </w:pPr>
      <w:r>
        <w:rPr>
          <w:rFonts w:cs="v5.0.0" w:eastAsiaTheme="minorEastAsia"/>
        </w:rPr>
        <w:t>All requirements in this section are applicable to devices supporting GSO and/or NGSO satellites.</w:t>
      </w:r>
    </w:p>
    <w:p>
      <w:pPr>
        <w:rPr>
          <w:snapToGrid w:val="0"/>
        </w:rPr>
      </w:pPr>
      <w:r>
        <w:t xml:space="preserve">All </w:t>
      </w:r>
      <w:r>
        <w:rPr>
          <w:rFonts w:hint="eastAsia" w:eastAsia="宋体"/>
          <w:lang w:eastAsia="zh-CN"/>
        </w:rPr>
        <w:t>requirements</w:t>
      </w:r>
      <w:r>
        <w:t xml:space="preserve"> in this section </w:t>
      </w:r>
      <w:r>
        <w:rPr>
          <w:snapToGrid w:val="0"/>
        </w:rPr>
        <w:t xml:space="preserve">shall be verified </w:t>
      </w:r>
      <w:r>
        <w:t>when Doppler conditions are set to zero and delay conditions are set to constant for all types of satellites.</w:t>
      </w:r>
    </w:p>
    <w:p>
      <w:pPr>
        <w:pStyle w:val="4"/>
      </w:pPr>
      <w:bookmarkStart w:id="691" w:name="_Toc120570090"/>
      <w:bookmarkStart w:id="692" w:name="_Toc111062077"/>
      <w:bookmarkStart w:id="693" w:name="_Toc19074"/>
      <w:bookmarkStart w:id="694" w:name="_Toc25696"/>
      <w:bookmarkStart w:id="695" w:name="_Toc5555"/>
      <w:bookmarkStart w:id="696" w:name="_Toc121162882"/>
      <w:bookmarkStart w:id="697" w:name="_Toc368026360"/>
      <w:r>
        <w:t>7.2</w:t>
      </w:r>
      <w:r>
        <w:tab/>
      </w:r>
      <w:r>
        <w:t>Diversity characteristics</w:t>
      </w:r>
      <w:bookmarkEnd w:id="691"/>
      <w:bookmarkEnd w:id="692"/>
      <w:bookmarkEnd w:id="693"/>
      <w:bookmarkEnd w:id="694"/>
      <w:bookmarkEnd w:id="695"/>
      <w:bookmarkEnd w:id="696"/>
      <w:bookmarkEnd w:id="697"/>
    </w:p>
    <w:p/>
    <w:p>
      <w:pPr>
        <w:pStyle w:val="4"/>
      </w:pPr>
      <w:bookmarkStart w:id="698" w:name="_Toc21439"/>
      <w:bookmarkStart w:id="699" w:name="_Toc368026361"/>
      <w:bookmarkStart w:id="700" w:name="_Toc121162883"/>
      <w:bookmarkStart w:id="701" w:name="_Toc680"/>
      <w:bookmarkStart w:id="702" w:name="_Toc29847"/>
      <w:bookmarkStart w:id="703" w:name="_Toc111062078"/>
      <w:bookmarkStart w:id="704" w:name="_Toc120570091"/>
      <w:r>
        <w:t>7.3</w:t>
      </w:r>
      <w:r>
        <w:tab/>
      </w:r>
      <w:r>
        <w:t>Reference sensitivity power level</w:t>
      </w:r>
      <w:bookmarkEnd w:id="698"/>
      <w:bookmarkEnd w:id="699"/>
      <w:bookmarkEnd w:id="700"/>
      <w:bookmarkEnd w:id="701"/>
      <w:bookmarkEnd w:id="702"/>
      <w:bookmarkEnd w:id="703"/>
      <w:bookmarkEnd w:id="704"/>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bookmarkStart w:id="705" w:name="_Toc121162884"/>
      <w:bookmarkStart w:id="706" w:name="_Toc120570092"/>
      <w:bookmarkStart w:id="707" w:name="_Toc15635"/>
    </w:p>
    <w:p>
      <w:pPr>
        <w:pStyle w:val="4"/>
      </w:pPr>
      <w:bookmarkStart w:id="708" w:name="_Toc5125"/>
      <w:bookmarkStart w:id="709" w:name="_Toc17741"/>
      <w:r>
        <w:t>7.3A</w:t>
      </w:r>
      <w:r>
        <w:tab/>
      </w:r>
      <w:r>
        <w:t>Reference sensitivity power level for UE category M1</w:t>
      </w:r>
      <w:bookmarkEnd w:id="705"/>
      <w:bookmarkEnd w:id="706"/>
      <w:bookmarkEnd w:id="707"/>
      <w:bookmarkEnd w:id="708"/>
      <w:bookmarkEnd w:id="709"/>
    </w:p>
    <w:p>
      <w:pPr>
        <w:rPr>
          <w:lang w:eastAsia="zh-TW"/>
        </w:rPr>
      </w:pPr>
    </w:p>
    <w:p>
      <w:pPr>
        <w:pStyle w:val="4"/>
      </w:pPr>
      <w:bookmarkStart w:id="710" w:name="_Toc120570093"/>
      <w:bookmarkStart w:id="711" w:name="_Toc23852"/>
      <w:bookmarkStart w:id="712" w:name="_Toc121162885"/>
      <w:bookmarkStart w:id="713" w:name="_Toc2898"/>
      <w:bookmarkStart w:id="714" w:name="_Toc23644"/>
      <w:r>
        <w:t>7.3B</w:t>
      </w:r>
      <w:r>
        <w:tab/>
      </w:r>
      <w:r>
        <w:t>Reference sensitivity power level for UE category NB1 and NB2</w:t>
      </w:r>
      <w:bookmarkEnd w:id="710"/>
      <w:bookmarkEnd w:id="711"/>
      <w:bookmarkEnd w:id="712"/>
      <w:bookmarkEnd w:id="713"/>
      <w:bookmarkEnd w:id="714"/>
    </w:p>
    <w:p>
      <w:pPr>
        <w:pStyle w:val="112"/>
        <w:rPr>
          <w:i/>
        </w:rPr>
      </w:pPr>
      <w:r>
        <w:rPr>
          <w:i/>
        </w:rPr>
        <w:t>Editor’s Note: This clause is incomplete. The following aspects are either missing or not yet determined:</w:t>
      </w:r>
    </w:p>
    <w:p>
      <w:pPr>
        <w:pStyle w:val="112"/>
        <w:rPr>
          <w:i/>
        </w:rPr>
      </w:pPr>
      <w:r>
        <w:rPr>
          <w:i/>
        </w:rPr>
        <w:t>- Addition to applicability spec is pending</w:t>
      </w:r>
    </w:p>
    <w:p>
      <w:pPr>
        <w:pStyle w:val="112"/>
        <w:rPr>
          <w:i/>
          <w:lang w:eastAsia="zh-TW"/>
        </w:rPr>
      </w:pPr>
      <w:r>
        <w:rPr>
          <w:i/>
        </w:rPr>
        <w:t>- Annex F MU/TT is TBD</w:t>
      </w:r>
    </w:p>
    <w:p>
      <w:pPr>
        <w:pStyle w:val="9"/>
      </w:pPr>
      <w:r>
        <w:t>7.3B.1</w:t>
      </w:r>
      <w:r>
        <w:tab/>
      </w:r>
      <w:r>
        <w:t>Test purpose</w:t>
      </w:r>
    </w:p>
    <w:p>
      <w:r>
        <w:t>To verify the UE's ability to receive data with a given average throughput for a specified reference measurement channel, under conditions of low signal level, ideal propagation and no added noise.</w:t>
      </w:r>
    </w:p>
    <w:p>
      <w:r>
        <w:t>A UE unable to meet the throughput requirement under these conditions will decrease the effective coverage area.</w:t>
      </w:r>
    </w:p>
    <w:p>
      <w:pPr>
        <w:pStyle w:val="9"/>
      </w:pPr>
      <w:r>
        <w:t>7.3B.2</w:t>
      </w:r>
      <w:r>
        <w:tab/>
      </w:r>
      <w:r>
        <w:t>Test applicability</w:t>
      </w:r>
    </w:p>
    <w:p>
      <w:r>
        <w:t>This test case applies to all types of NB-IoT</w:t>
      </w:r>
      <w:r>
        <w:rPr>
          <w:lang w:eastAsia="zh-TW"/>
        </w:rPr>
        <w:t xml:space="preserve"> </w:t>
      </w:r>
      <w:r>
        <w:t xml:space="preserve">UE release 17 and forward of category NB1 and NB2 </w:t>
      </w:r>
      <w:r>
        <w:rPr>
          <w:lang w:eastAsia="zh-TW"/>
        </w:rPr>
        <w:t>that support satellite access operation</w:t>
      </w:r>
      <w:r>
        <w:t>.</w:t>
      </w:r>
    </w:p>
    <w:p>
      <w:pPr>
        <w:pStyle w:val="9"/>
      </w:pPr>
      <w:r>
        <w:t>7.3B.3</w:t>
      </w:r>
      <w:r>
        <w:tab/>
      </w:r>
      <w:r>
        <w:t>Minimum conformance requirements</w:t>
      </w:r>
    </w:p>
    <w:p>
      <w:pPr>
        <w:rPr>
          <w:color w:val="000000" w:themeColor="text1"/>
          <w14:textFill>
            <w14:solidFill>
              <w14:schemeClr w14:val="tx1"/>
            </w14:solidFill>
          </w14:textFill>
        </w:rPr>
      </w:pPr>
      <w:r>
        <w:rPr>
          <w:color w:val="000000" w:themeColor="text1"/>
          <w14:textFill>
            <w14:solidFill>
              <w14:schemeClr w14:val="tx1"/>
            </w14:solidFill>
          </w14:textFill>
        </w:rPr>
        <w:t>The reference sensitivity power level REFSENS is the minimum mean power applied to the single antenna port for UE category NB1 and category NB2, at which the throughput shall meet or exceed the requirements for the specified reference measurement channel.</w:t>
      </w:r>
    </w:p>
    <w:p>
      <w:pPr>
        <w:rPr>
          <w:color w:val="000000" w:themeColor="text1"/>
          <w14:textFill>
            <w14:solidFill>
              <w14:schemeClr w14:val="tx1"/>
            </w14:solidFill>
          </w14:textFill>
        </w:rPr>
      </w:pPr>
      <w:r>
        <w:rPr>
          <w:color w:val="000000" w:themeColor="text1"/>
          <w14:textFill>
            <w14:solidFill>
              <w14:schemeClr w14:val="tx1"/>
            </w14:solidFill>
          </w14:textFill>
        </w:rPr>
        <w:t>The throughput for the REFSENS test is measured based on the Transmission Mode 1 unless specified otherwise.</w:t>
      </w:r>
    </w:p>
    <w:p>
      <w:pPr>
        <w:rPr>
          <w:sz w:val="18"/>
          <w:szCs w:val="18"/>
        </w:rPr>
      </w:pPr>
      <w:r>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p>
    <w:p>
      <w:pPr>
        <w:pStyle w:val="113"/>
      </w:pPr>
      <w:r>
        <w:t>Table 7.3B.3-1: Reference sensitivity for category NB1 and NB2</w:t>
      </w:r>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pPr>
            <w:r>
              <w:t>Operating band</w:t>
            </w:r>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pPr>
            <w:r>
              <w:t>REFSENS [dBm]</w:t>
            </w:r>
          </w:p>
        </w:tc>
      </w:tr>
      <w:tr>
        <w:tblPrEx>
          <w:tblCellMar>
            <w:top w:w="0" w:type="dxa"/>
            <w:left w:w="108" w:type="dxa"/>
            <w:bottom w:w="0" w:type="dxa"/>
            <w:right w:w="108" w:type="dxa"/>
          </w:tblCellMar>
        </w:tblPrEx>
        <w:trPr>
          <w:trHeight w:val="600" w:hRule="atLeast"/>
          <w:jc w:val="center"/>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pPr>
            <w:r>
              <w:rPr>
                <w:rFonts w:eastAsia="Courier New"/>
              </w:rPr>
              <w:t>According to subclause 5.2B</w:t>
            </w:r>
          </w:p>
        </w:tc>
        <w:tc>
          <w:tcPr>
            <w:tcW w:w="1580" w:type="dxa"/>
            <w:tcBorders>
              <w:top w:val="nil"/>
              <w:left w:val="nil"/>
              <w:bottom w:val="single" w:color="auto" w:sz="4" w:space="0"/>
              <w:right w:val="single" w:color="auto" w:sz="4" w:space="0"/>
            </w:tcBorders>
            <w:shd w:val="clear" w:color="auto" w:fill="auto"/>
            <w:noWrap/>
            <w:vAlign w:val="center"/>
          </w:tcPr>
          <w:p>
            <w:pPr>
              <w:pStyle w:val="105"/>
            </w:pPr>
            <w:r>
              <w:t xml:space="preserve">- 108.2 </w:t>
            </w:r>
          </w:p>
        </w:tc>
      </w:tr>
    </w:tbl>
    <w:p/>
    <w:p>
      <w:r>
        <w:t>The normative reference for this requirement is TS 36.102 [11] clause 7.3B.</w:t>
      </w:r>
    </w:p>
    <w:p>
      <w:pPr>
        <w:pStyle w:val="9"/>
      </w:pPr>
      <w:r>
        <w:t>7.3B.4</w:t>
      </w:r>
      <w:r>
        <w:tab/>
      </w:r>
      <w:r>
        <w:t>Test description</w:t>
      </w:r>
    </w:p>
    <w:p>
      <w:pPr>
        <w:pStyle w:val="9"/>
      </w:pPr>
      <w:r>
        <w:t>7.3B.4.1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set of E-UTRA operating bands defined for NB-IoT in clause 5.2.B. All of these configurations shall be tested with applicable test parameters, shown in table 7.3B.4.1-1. The details of the uplink and downlink reference measurement channels (RMCs) are specified in TS36.521-1[14] Annexes A.2 and A.3 respectively. Configurations of NPDSCH and NPDCCH before measurement are specified in TS 36.521-1[14] Annex C.2.</w:t>
      </w:r>
    </w:p>
    <w:p>
      <w:pPr>
        <w:pStyle w:val="113"/>
      </w:pPr>
      <w:r>
        <w:t>Table 7.3B.4.1-1: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164"/>
        <w:gridCol w:w="135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NC, TL/VL, TL/VH, TH/VL, TH/VH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Annex K.1.2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470" w:type="dxa"/>
          </w:tcPr>
          <w:p>
            <w:pPr>
              <w:pStyle w:val="105"/>
            </w:pPr>
          </w:p>
        </w:tc>
        <w:tc>
          <w:tcPr>
            <w:tcW w:w="1164" w:type="dxa"/>
          </w:tcPr>
          <w:p>
            <w:pPr>
              <w:pStyle w:val="105"/>
            </w:pPr>
            <w:r>
              <w:t>Modulation</w:t>
            </w:r>
          </w:p>
        </w:tc>
        <w:tc>
          <w:tcPr>
            <w:tcW w:w="1354" w:type="dxa"/>
          </w:tcPr>
          <w:p>
            <w:pPr>
              <w:pStyle w:val="105"/>
            </w:pPr>
            <w: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470" w:type="dxa"/>
          </w:tcPr>
          <w:p>
            <w:pPr>
              <w:pStyle w:val="105"/>
            </w:pPr>
            <w:r>
              <w:t>1</w:t>
            </w:r>
          </w:p>
        </w:tc>
        <w:tc>
          <w:tcPr>
            <w:tcW w:w="1164" w:type="dxa"/>
          </w:tcPr>
          <w:p>
            <w:pPr>
              <w:pStyle w:val="105"/>
            </w:pPr>
            <w:r>
              <w:t>QPSK</w:t>
            </w:r>
          </w:p>
        </w:tc>
        <w:tc>
          <w:tcPr>
            <w:tcW w:w="1354" w:type="dxa"/>
          </w:tcPr>
          <w:p>
            <w:pPr>
              <w:pStyle w:val="105"/>
            </w:pPr>
            <w:r>
              <w:t>12</w:t>
            </w:r>
          </w:p>
        </w:tc>
        <w:tc>
          <w:tcPr>
            <w:tcW w:w="2139" w:type="dxa"/>
          </w:tcPr>
          <w:p>
            <w:pPr>
              <w:pStyle w:val="105"/>
            </w:pPr>
            <w:r>
              <w:t>BPSK</w:t>
            </w:r>
          </w:p>
        </w:tc>
        <w:tc>
          <w:tcPr>
            <w:tcW w:w="1164" w:type="dxa"/>
          </w:tcPr>
          <w:p>
            <w:pPr>
              <w:pStyle w:val="105"/>
            </w:pPr>
            <w:r>
              <w:t>1@0</w:t>
            </w:r>
          </w:p>
        </w:tc>
        <w:tc>
          <w:tcPr>
            <w:tcW w:w="1194" w:type="dxa"/>
          </w:tcPr>
          <w:p>
            <w:pPr>
              <w:pStyle w:val="105"/>
            </w:pPr>
            <w:r>
              <w:t>15kHz</w:t>
            </w:r>
          </w:p>
        </w:tc>
      </w:tr>
    </w:tbl>
    <w:p>
      <w:pPr>
        <w:jc w:val="center"/>
      </w:pPr>
    </w:p>
    <w:p>
      <w:pPr>
        <w:ind w:left="568" w:hanging="284"/>
        <w:rPr>
          <w:rFonts w:eastAsia="Times New Roman"/>
          <w:lang w:eastAsia="en-GB"/>
        </w:rPr>
      </w:pPr>
      <w:r>
        <w:rPr>
          <w:rFonts w:eastAsia="Times New Roman"/>
          <w:lang w:eastAsia="en-GB"/>
        </w:rPr>
        <w:t>1.</w:t>
      </w:r>
      <w:r>
        <w:rPr>
          <w:rFonts w:eastAsia="Times New Roman"/>
          <w:lang w:eastAsia="en-GB"/>
        </w:rPr>
        <w:tab/>
      </w:r>
      <w:r>
        <w:rPr>
          <w:rFonts w:eastAsia="Times New Roman"/>
          <w:lang w:eastAsia="en-GB"/>
        </w:rPr>
        <w:t>Connect the SS to the UE antenna connectors as shown in TS 36.508[12] Annex A Figure A.3 using only the main UE Tx/Rx antenna.</w:t>
      </w:r>
    </w:p>
    <w:p>
      <w:pPr>
        <w:ind w:left="568" w:hanging="284"/>
        <w:rPr>
          <w:rFonts w:eastAsia="Times New Roman"/>
          <w:lang w:eastAsia="en-GB"/>
        </w:rPr>
      </w:pPr>
      <w:r>
        <w:rPr>
          <w:rFonts w:eastAsia="Times New Roman"/>
          <w:lang w:eastAsia="en-GB"/>
        </w:rPr>
        <w:t>2.</w:t>
      </w:r>
      <w:r>
        <w:rPr>
          <w:rFonts w:eastAsia="Times New Roman"/>
          <w:lang w:eastAsia="en-GB"/>
        </w:rPr>
        <w:tab/>
      </w:r>
      <w:r>
        <w:rPr>
          <w:rFonts w:eastAsia="Times New Roman"/>
          <w:lang w:eastAsia="en-GB"/>
        </w:rPr>
        <w:t>The parameter settings for the cell are set up according to TS 36.508 [12] subclause 8.1.4.3.</w:t>
      </w:r>
    </w:p>
    <w:p>
      <w:pPr>
        <w:ind w:left="568" w:hanging="284"/>
        <w:rPr>
          <w:rFonts w:eastAsia="Times New Roman"/>
          <w:lang w:eastAsia="en-GB"/>
        </w:rPr>
      </w:pPr>
      <w:r>
        <w:rPr>
          <w:rFonts w:eastAsia="Times New Roman"/>
          <w:lang w:eastAsia="en-GB"/>
        </w:rPr>
        <w:t>3.</w:t>
      </w:r>
      <w:r>
        <w:rPr>
          <w:rFonts w:eastAsia="Times New Roman"/>
          <w:lang w:eastAsia="en-GB"/>
        </w:rPr>
        <w:tab/>
      </w:r>
      <w:r>
        <w:rPr>
          <w:rFonts w:eastAsia="Times New Roman"/>
          <w:lang w:eastAsia="en-GB"/>
        </w:rPr>
        <w:t>Downlink signals are initially set up according to TS36.521-1[14] Annex C0, C1 and C.3.0, and NPUSCH Format 2 is used to carry ACK/NACK on the uplink.</w:t>
      </w:r>
    </w:p>
    <w:p>
      <w:pPr>
        <w:ind w:left="568" w:hanging="284"/>
        <w:rPr>
          <w:rFonts w:eastAsia="Times New Roman"/>
          <w:lang w:eastAsia="en-GB"/>
        </w:rPr>
      </w:pPr>
      <w:r>
        <w:rPr>
          <w:rFonts w:eastAsia="Times New Roman"/>
          <w:lang w:eastAsia="en-GB"/>
        </w:rPr>
        <w:t>4.</w:t>
      </w:r>
      <w:r>
        <w:rPr>
          <w:rFonts w:eastAsia="Times New Roman"/>
          <w:lang w:eastAsia="en-GB"/>
        </w:rPr>
        <w:tab/>
      </w:r>
      <w:r>
        <w:rPr>
          <w:rFonts w:eastAsia="Times New Roman"/>
          <w:lang w:eastAsia="en-GB"/>
        </w:rPr>
        <w:t>The DL Reference Measurement channels are set according to Table 7.3B.4.1-1.</w:t>
      </w:r>
    </w:p>
    <w:p>
      <w:pPr>
        <w:ind w:left="568" w:hanging="284"/>
        <w:rPr>
          <w:rFonts w:eastAsia="Times New Roman"/>
          <w:lang w:eastAsia="en-GB"/>
        </w:rPr>
      </w:pPr>
      <w:r>
        <w:rPr>
          <w:rFonts w:eastAsia="Times New Roman"/>
          <w:lang w:eastAsia="en-GB"/>
        </w:rPr>
        <w:t>5.</w:t>
      </w:r>
      <w:r>
        <w:rPr>
          <w:rFonts w:eastAsia="Times New Roman"/>
          <w:lang w:eastAsia="en-GB"/>
        </w:rPr>
        <w:tab/>
      </w:r>
      <w:r>
        <w:rPr>
          <w:rFonts w:eastAsia="Times New Roman"/>
          <w:lang w:eastAsia="en-GB"/>
        </w:rPr>
        <w:t>Propagation conditions are set according to</w:t>
      </w:r>
      <w:r>
        <w:rPr>
          <w:lang w:eastAsia="en-GB"/>
        </w:rPr>
        <w:t xml:space="preserve"> TS 36.521-1[14]</w:t>
      </w:r>
      <w:r>
        <w:rPr>
          <w:rFonts w:eastAsia="Times New Roman"/>
          <w:lang w:eastAsia="en-GB"/>
        </w:rPr>
        <w:t xml:space="preserve"> Annex B.0.</w:t>
      </w:r>
    </w:p>
    <w:p>
      <w:pPr>
        <w:ind w:left="568" w:hanging="284"/>
        <w:rPr>
          <w:rFonts w:eastAsia="Times New Roman"/>
          <w:lang w:eastAsia="en-GB"/>
        </w:rPr>
      </w:pPr>
      <w:r>
        <w:rPr>
          <w:rFonts w:eastAsia="Times New Roman"/>
          <w:lang w:eastAsia="en-GB"/>
        </w:rPr>
        <w:t>6.</w:t>
      </w:r>
      <w:r>
        <w:rPr>
          <w:rFonts w:eastAsia="Times New Roman"/>
          <w:lang w:eastAsia="en-GB"/>
        </w:rPr>
        <w:tab/>
      </w:r>
      <w:r>
        <w:rPr>
          <w:rFonts w:eastAsia="Times New Roman"/>
          <w:lang w:eastAsia="en-GB"/>
        </w:rPr>
        <w:t>Ensure the UE is in State 2A-NB with CP CIoT Optimisation according to TS 36.508 [12] clause 8.1.5. Message contents are defined in clause 7.3B.4.3.</w:t>
      </w:r>
    </w:p>
    <w:p>
      <w:pPr>
        <w:pStyle w:val="9"/>
        <w:ind w:left="0" w:firstLine="0"/>
      </w:pPr>
      <w:r>
        <w:t>7.3B.4.2</w:t>
      </w:r>
      <w:r>
        <w:tab/>
      </w:r>
      <w:r>
        <w:t>Test procedure</w:t>
      </w:r>
    </w:p>
    <w:p>
      <w:pPr>
        <w:ind w:left="568" w:hanging="284"/>
        <w:rPr>
          <w:lang w:eastAsia="en-GB"/>
        </w:rPr>
      </w:pPr>
      <w:r>
        <w:rPr>
          <w:rFonts w:eastAsia="Times New Roman"/>
          <w:lang w:eastAsia="en-GB"/>
        </w:rPr>
        <w:t>1.</w:t>
      </w:r>
      <w:r>
        <w:rPr>
          <w:rFonts w:eastAsia="Times New Roman"/>
          <w:lang w:eastAsia="en-GB"/>
        </w:rPr>
        <w:tab/>
      </w:r>
      <w:r>
        <w:rPr>
          <w:lang w:eastAsia="en-GB"/>
        </w:rPr>
        <w:t>SS transmits NPDSCH via NPDCCH DCI format N1 for C_RNTI to transmit the DL RMC according to Table 7.3B.</w:t>
      </w:r>
      <w:r>
        <w:rPr>
          <w:rFonts w:eastAsia="Times New Roman"/>
          <w:lang w:eastAsia="en-GB"/>
        </w:rPr>
        <w:t>4</w:t>
      </w:r>
      <w:r>
        <w:rPr>
          <w:lang w:eastAsia="en-GB"/>
        </w:rPr>
        <w:t>.</w:t>
      </w:r>
      <w:r>
        <w:rPr>
          <w:rFonts w:eastAsia="Times New Roman"/>
          <w:lang w:eastAsia="en-GB"/>
        </w:rPr>
        <w:t>1</w:t>
      </w:r>
      <w:r>
        <w:rPr>
          <w:lang w:eastAsia="en-GB"/>
        </w:rPr>
        <w:t>-1. The SS sends downlink MAC padding bits on the DL RMC. The UE will send the HARQ feedback based on information contain in DCI format N1.</w:t>
      </w:r>
    </w:p>
    <w:p>
      <w:pPr>
        <w:ind w:left="568" w:hanging="284"/>
        <w:rPr>
          <w:lang w:eastAsia="en-GB"/>
        </w:rPr>
      </w:pPr>
      <w:r>
        <w:rPr>
          <w:rFonts w:eastAsia="Times New Roman"/>
          <w:lang w:val="en-US" w:eastAsia="en-GB"/>
        </w:rPr>
        <w:t>2</w:t>
      </w:r>
      <w:r>
        <w:rPr>
          <w:rFonts w:eastAsia="Times New Roman"/>
          <w:lang w:eastAsia="en-GB"/>
        </w:rPr>
        <w:t>.</w:t>
      </w:r>
      <w:r>
        <w:rPr>
          <w:rFonts w:eastAsia="Times New Roman"/>
          <w:lang w:eastAsia="en-GB"/>
        </w:rPr>
        <w:tab/>
      </w:r>
      <w:r>
        <w:rPr>
          <w:rFonts w:hint="default"/>
          <w:lang w:eastAsia="en-GB"/>
        </w:rPr>
        <w:t>S</w:t>
      </w:r>
      <w:r>
        <w:rPr>
          <w:lang w:eastAsia="en-GB"/>
        </w:rPr>
        <w:t>et the Downlink signal level to the value defined in Table 7.3B.5-1.</w:t>
      </w:r>
    </w:p>
    <w:p>
      <w:pPr>
        <w:ind w:left="568" w:hanging="284"/>
        <w:rPr>
          <w:lang w:eastAsia="en-GB"/>
        </w:rPr>
      </w:pPr>
      <w:r>
        <w:rPr>
          <w:rFonts w:eastAsia="Times New Roman"/>
          <w:lang w:val="en-US" w:eastAsia="en-GB"/>
        </w:rPr>
        <w:t>3</w:t>
      </w:r>
      <w:r>
        <w:rPr>
          <w:rFonts w:eastAsia="Times New Roman"/>
          <w:lang w:eastAsia="en-GB"/>
        </w:rPr>
        <w:t>.</w:t>
      </w:r>
      <w:r>
        <w:rPr>
          <w:rFonts w:eastAsia="Times New Roman"/>
          <w:lang w:eastAsia="en-GB"/>
        </w:rPr>
        <w:tab/>
      </w:r>
      <w:r>
        <w:rPr>
          <w:rFonts w:hint="default"/>
          <w:lang w:eastAsia="en-GB"/>
        </w:rPr>
        <w:t>M</w:t>
      </w:r>
      <w:r>
        <w:rPr>
          <w:lang w:eastAsia="en-GB"/>
        </w:rPr>
        <w:t>easure the average throughput for a duration sufficient to achieve statistical significance according to TS36.521-1 [14] Annex G.2.</w:t>
      </w:r>
    </w:p>
    <w:p>
      <w:pPr>
        <w:pStyle w:val="9"/>
        <w:ind w:left="0" w:firstLine="0"/>
      </w:pPr>
      <w:r>
        <w:t>7.3B.4.3</w:t>
      </w:r>
      <w:r>
        <w:tab/>
      </w:r>
      <w:r>
        <w:t>Message contents</w:t>
      </w:r>
    </w:p>
    <w:p>
      <w:r>
        <w:t>Message contents are according to TS 36.508 [12] clause 8.1.6.</w:t>
      </w:r>
    </w:p>
    <w:p>
      <w:pPr>
        <w:pStyle w:val="9"/>
      </w:pPr>
      <w:r>
        <w:t>7.3B.5</w:t>
      </w:r>
      <w:r>
        <w:tab/>
      </w:r>
      <w:r>
        <w:t>Test requirement</w:t>
      </w:r>
    </w:p>
    <w:p>
      <w:r>
        <w:t xml:space="preserve">The throughput shall be ≥ 95% of the maximum throughput of the reference measurement channels as specified in TS36.521-1 [14] Annex A.3.2 with parameters specified in Table </w:t>
      </w:r>
      <w:r>
        <w:rPr>
          <w:rFonts w:eastAsia="MS Mincho"/>
        </w:rPr>
        <w:t>7.3B.5-1</w:t>
      </w:r>
      <w:r>
        <w:t>.</w:t>
      </w:r>
    </w:p>
    <w:p>
      <w:pPr>
        <w:pStyle w:val="113"/>
      </w:pPr>
      <w:r>
        <w:t xml:space="preserve">Table </w:t>
      </w:r>
      <w:r>
        <w:rPr>
          <w:rFonts w:eastAsia="MS Mincho"/>
        </w:rPr>
        <w:t>7.3B.5-1</w:t>
      </w:r>
      <w:r>
        <w:t>: Maximum input level for category NB1 and NB2</w:t>
      </w:r>
    </w:p>
    <w:tbl>
      <w:tblPr>
        <w:tblStyle w:val="89"/>
        <w:tblW w:w="4100" w:type="dxa"/>
        <w:jc w:val="center"/>
        <w:tblLayout w:type="autofit"/>
        <w:tblCellMar>
          <w:top w:w="0" w:type="dxa"/>
          <w:left w:w="108" w:type="dxa"/>
          <w:bottom w:w="0" w:type="dxa"/>
          <w:right w:w="108" w:type="dxa"/>
        </w:tblCellMar>
      </w:tblPr>
      <w:tblGrid>
        <w:gridCol w:w="2520"/>
        <w:gridCol w:w="1580"/>
      </w:tblGrid>
      <w:tr>
        <w:tblPrEx>
          <w:tblCellMar>
            <w:top w:w="0" w:type="dxa"/>
            <w:left w:w="108" w:type="dxa"/>
            <w:bottom w:w="0" w:type="dxa"/>
            <w:right w:w="108" w:type="dxa"/>
          </w:tblCellMar>
        </w:tblPrEx>
        <w:trPr>
          <w:trHeight w:val="288" w:hRule="atLeast"/>
          <w:jc w:val="center"/>
        </w:trPr>
        <w:tc>
          <w:tcPr>
            <w:tcW w:w="252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104"/>
            </w:pPr>
            <w:r>
              <w:t>Operating band</w:t>
            </w:r>
          </w:p>
        </w:tc>
        <w:tc>
          <w:tcPr>
            <w:tcW w:w="1580" w:type="dxa"/>
            <w:tcBorders>
              <w:top w:val="single" w:color="auto" w:sz="4" w:space="0"/>
              <w:left w:val="nil"/>
              <w:bottom w:val="single" w:color="auto" w:sz="4" w:space="0"/>
              <w:right w:val="single" w:color="auto" w:sz="4" w:space="0"/>
            </w:tcBorders>
            <w:shd w:val="clear" w:color="auto" w:fill="auto"/>
            <w:noWrap/>
            <w:vAlign w:val="center"/>
          </w:tcPr>
          <w:p>
            <w:pPr>
              <w:pStyle w:val="104"/>
            </w:pPr>
            <w:r>
              <w:t>REFSENS [dBm]</w:t>
            </w:r>
          </w:p>
        </w:tc>
      </w:tr>
      <w:tr>
        <w:tblPrEx>
          <w:tblCellMar>
            <w:top w:w="0" w:type="dxa"/>
            <w:left w:w="108" w:type="dxa"/>
            <w:bottom w:w="0" w:type="dxa"/>
            <w:right w:w="108" w:type="dxa"/>
          </w:tblCellMar>
        </w:tblPrEx>
        <w:trPr>
          <w:trHeight w:val="600" w:hRule="atLeast"/>
          <w:jc w:val="center"/>
        </w:trPr>
        <w:tc>
          <w:tcPr>
            <w:tcW w:w="2520" w:type="dxa"/>
            <w:tcBorders>
              <w:top w:val="nil"/>
              <w:left w:val="single" w:color="auto" w:sz="4" w:space="0"/>
              <w:bottom w:val="single" w:color="auto" w:sz="4" w:space="0"/>
              <w:right w:val="single" w:color="auto" w:sz="4" w:space="0"/>
            </w:tcBorders>
            <w:shd w:val="clear" w:color="auto" w:fill="auto"/>
            <w:vAlign w:val="center"/>
          </w:tcPr>
          <w:p>
            <w:pPr>
              <w:pStyle w:val="105"/>
              <w:rPr>
                <w:rFonts w:eastAsia="Courier New"/>
              </w:rPr>
            </w:pPr>
            <w:r>
              <w:rPr>
                <w:rFonts w:eastAsia="Courier New"/>
              </w:rPr>
              <w:t>According to subclause 5.2B</w:t>
            </w:r>
          </w:p>
        </w:tc>
        <w:tc>
          <w:tcPr>
            <w:tcW w:w="1580" w:type="dxa"/>
            <w:tcBorders>
              <w:top w:val="nil"/>
              <w:left w:val="nil"/>
              <w:bottom w:val="single" w:color="auto" w:sz="4" w:space="0"/>
              <w:right w:val="single" w:color="auto" w:sz="4" w:space="0"/>
            </w:tcBorders>
            <w:shd w:val="clear" w:color="auto" w:fill="auto"/>
            <w:noWrap/>
            <w:vAlign w:val="center"/>
          </w:tcPr>
          <w:p>
            <w:pPr>
              <w:pStyle w:val="105"/>
            </w:pPr>
            <w:r>
              <w:t>- 108.2 + TT</w:t>
            </w:r>
          </w:p>
        </w:tc>
      </w:tr>
    </w:tbl>
    <w:p/>
    <w:p>
      <w:pPr>
        <w:pStyle w:val="4"/>
      </w:pPr>
      <w:bookmarkStart w:id="715" w:name="_Toc111062082"/>
      <w:bookmarkStart w:id="716" w:name="_Toc7205"/>
      <w:bookmarkStart w:id="717" w:name="_Toc368026366"/>
      <w:bookmarkStart w:id="718" w:name="_Toc121162886"/>
      <w:bookmarkStart w:id="719" w:name="_Toc120570094"/>
      <w:bookmarkStart w:id="720" w:name="_Toc16033"/>
      <w:bookmarkStart w:id="721" w:name="_Toc26376"/>
      <w:r>
        <w:t>7.4</w:t>
      </w:r>
      <w:r>
        <w:tab/>
      </w:r>
      <w:r>
        <w:t>Maximum input level</w:t>
      </w:r>
      <w:bookmarkEnd w:id="715"/>
      <w:bookmarkEnd w:id="716"/>
      <w:bookmarkEnd w:id="717"/>
      <w:bookmarkEnd w:id="718"/>
      <w:bookmarkEnd w:id="719"/>
      <w:bookmarkEnd w:id="720"/>
      <w:bookmarkEnd w:id="721"/>
    </w:p>
    <w:p>
      <w:pPr>
        <w:pStyle w:val="4"/>
      </w:pPr>
      <w:bookmarkStart w:id="722" w:name="_Toc17005"/>
      <w:bookmarkStart w:id="723" w:name="_Toc120570095"/>
      <w:bookmarkStart w:id="724" w:name="_Toc26683"/>
      <w:bookmarkStart w:id="725" w:name="_Toc6246"/>
      <w:bookmarkStart w:id="726" w:name="_Toc121162887"/>
      <w:r>
        <w:t>7.4A</w:t>
      </w:r>
      <w:r>
        <w:tab/>
      </w:r>
      <w:r>
        <w:t>Maximum input level for category M1</w:t>
      </w:r>
      <w:bookmarkEnd w:id="722"/>
      <w:bookmarkEnd w:id="723"/>
      <w:bookmarkEnd w:id="724"/>
      <w:bookmarkEnd w:id="725"/>
      <w:bookmarkEnd w:id="726"/>
    </w:p>
    <w:p>
      <w:pPr>
        <w:pStyle w:val="112"/>
        <w:rPr>
          <w:i/>
        </w:rPr>
      </w:pPr>
      <w:bookmarkStart w:id="727" w:name="_Hlk126672194"/>
      <w:bookmarkStart w:id="728" w:name="_Toc120570096"/>
      <w:bookmarkStart w:id="729" w:name="_Toc121162888"/>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Test Points analysis is TBD</w:t>
      </w:r>
    </w:p>
    <w:p>
      <w:pPr>
        <w:pStyle w:val="112"/>
        <w:rPr>
          <w:i/>
        </w:rPr>
      </w:pPr>
      <w:r>
        <w:rPr>
          <w:i/>
        </w:rPr>
        <w:t>- Test configuration is TBD</w:t>
      </w:r>
    </w:p>
    <w:bookmarkEnd w:id="727"/>
    <w:p>
      <w:pPr>
        <w:pStyle w:val="9"/>
      </w:pPr>
      <w:bookmarkStart w:id="730" w:name="_Toc60823077"/>
      <w:bookmarkStart w:id="731" w:name="_Toc52989886"/>
      <w:bookmarkStart w:id="732" w:name="_Toc69305896"/>
      <w:bookmarkStart w:id="733" w:name="_Toc36226466"/>
      <w:bookmarkStart w:id="734" w:name="_Toc60824999"/>
      <w:bookmarkStart w:id="735" w:name="_Toc44323721"/>
      <w:bookmarkStart w:id="736" w:name="_Toc27477787"/>
      <w:bookmarkStart w:id="737" w:name="_Hlk126672288"/>
      <w:r>
        <w:t>7.4A.1</w:t>
      </w:r>
      <w:r>
        <w:tab/>
      </w:r>
      <w:r>
        <w:t>Test purpose</w:t>
      </w:r>
      <w:bookmarkEnd w:id="730"/>
      <w:bookmarkEnd w:id="731"/>
      <w:bookmarkEnd w:id="732"/>
      <w:bookmarkEnd w:id="733"/>
      <w:bookmarkEnd w:id="734"/>
      <w:bookmarkEnd w:id="735"/>
      <w:bookmarkEnd w:id="736"/>
    </w:p>
    <w:bookmarkEnd w:id="737"/>
    <w:p>
      <w:r>
        <w:t>Maximum input level tests the ability of category M1 UE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bookmarkStart w:id="738" w:name="_Toc44323722"/>
      <w:bookmarkStart w:id="739" w:name="_Toc60823078"/>
      <w:bookmarkStart w:id="740" w:name="_Toc27477788"/>
      <w:bookmarkStart w:id="741" w:name="_Toc69305897"/>
      <w:bookmarkStart w:id="742" w:name="_Toc52989887"/>
      <w:bookmarkStart w:id="743" w:name="_Toc36226467"/>
      <w:bookmarkStart w:id="744" w:name="_Toc60825000"/>
      <w:bookmarkStart w:id="745" w:name="_Hlk126672337"/>
      <w:r>
        <w:t>7.4A.2</w:t>
      </w:r>
      <w:r>
        <w:tab/>
      </w:r>
      <w:r>
        <w:t>Test applicability</w:t>
      </w:r>
      <w:bookmarkEnd w:id="738"/>
      <w:bookmarkEnd w:id="739"/>
      <w:bookmarkEnd w:id="740"/>
      <w:bookmarkEnd w:id="741"/>
      <w:bookmarkEnd w:id="742"/>
      <w:bookmarkEnd w:id="743"/>
      <w:bookmarkEnd w:id="744"/>
    </w:p>
    <w:bookmarkEnd w:id="745"/>
    <w:p>
      <w:r>
        <w:t xml:space="preserve">This test applies to all types of E-UTRA UE release 17 and forward of category </w:t>
      </w:r>
      <w:r>
        <w:rPr>
          <w:lang w:eastAsia="zh-TW"/>
        </w:rPr>
        <w:t xml:space="preserve">M1 </w:t>
      </w:r>
      <w:bookmarkStart w:id="746" w:name="_Hlk126672396"/>
      <w:r>
        <w:rPr>
          <w:lang w:eastAsia="zh-TW"/>
        </w:rPr>
        <w:t>that support satellite access operation</w:t>
      </w:r>
      <w:r>
        <w:t>.</w:t>
      </w:r>
      <w:bookmarkEnd w:id="746"/>
    </w:p>
    <w:p>
      <w:pPr>
        <w:pStyle w:val="9"/>
      </w:pPr>
      <w:bookmarkStart w:id="747" w:name="_Hlk126672442"/>
      <w:r>
        <w:t>7.4A.3</w:t>
      </w:r>
      <w:r>
        <w:tab/>
      </w:r>
      <w:r>
        <w:t>Minimum conformance requirements</w:t>
      </w:r>
    </w:p>
    <w:bookmarkEnd w:id="747"/>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The throughput shall be ≥ 95% of the maximum throughput of the reference measurement channels as specified in Annexes A.2.2, A.2.3 and A.3.2 (with one sided dynamic OCNG Pattern OP.1 FDD/TDD as described in Annex A.5.1.1) with parameters specified in Table 7.4</w:t>
      </w:r>
      <w:r>
        <w:rPr>
          <w:lang w:eastAsia="zh-TW"/>
        </w:rPr>
        <w:t>A</w:t>
      </w:r>
      <w:r>
        <w:t>.3-1.</w:t>
      </w:r>
    </w:p>
    <w:p>
      <w:pPr>
        <w:pStyle w:val="113"/>
        <w:rPr>
          <w:rFonts w:eastAsia="Osaka"/>
        </w:rPr>
      </w:pPr>
      <w:r>
        <w:rPr>
          <w:rFonts w:eastAsia="Osaka"/>
        </w:rPr>
        <w:t>Table 7.4A.3-1: Maximum input level</w:t>
      </w:r>
    </w:p>
    <w:tbl>
      <w:tblPr>
        <w:tblStyle w:val="89"/>
        <w:tblW w:w="7399"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3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1" w:type="dxa"/>
            <w:vMerge w:val="restart"/>
          </w:tcPr>
          <w:p>
            <w:pPr>
              <w:pStyle w:val="104"/>
              <w:rPr>
                <w:rFonts w:cs="Arial"/>
              </w:rPr>
            </w:pPr>
            <w:r>
              <w:rPr>
                <w:rFonts w:cs="Arial"/>
              </w:rPr>
              <w:t>Rx Parameter</w:t>
            </w:r>
          </w:p>
        </w:tc>
        <w:tc>
          <w:tcPr>
            <w:tcW w:w="851" w:type="dxa"/>
            <w:vMerge w:val="restart"/>
          </w:tcPr>
          <w:p>
            <w:pPr>
              <w:pStyle w:val="104"/>
              <w:rPr>
                <w:rFonts w:cs="Arial"/>
              </w:rPr>
            </w:pPr>
            <w:r>
              <w:rPr>
                <w:rFonts w:cs="Arial"/>
              </w:rPr>
              <w:t xml:space="preserve">Units </w:t>
            </w:r>
          </w:p>
        </w:tc>
        <w:tc>
          <w:tcPr>
            <w:tcW w:w="3997"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2551" w:type="dxa"/>
            <w:vMerge w:val="continue"/>
          </w:tcPr>
          <w:p>
            <w:pPr>
              <w:pStyle w:val="104"/>
              <w:rPr>
                <w:rFonts w:cs="Arial"/>
              </w:rPr>
            </w:pPr>
          </w:p>
        </w:tc>
        <w:tc>
          <w:tcPr>
            <w:tcW w:w="851" w:type="dxa"/>
            <w:vMerge w:val="continue"/>
          </w:tcPr>
          <w:p>
            <w:pPr>
              <w:pStyle w:val="104"/>
              <w:rPr>
                <w:rFonts w:cs="Arial"/>
              </w:rPr>
            </w:pPr>
          </w:p>
        </w:tc>
        <w:tc>
          <w:tcPr>
            <w:tcW w:w="3997" w:type="dxa"/>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3997" w:type="dxa"/>
            <w:vAlign w:val="center"/>
          </w:tcPr>
          <w:p>
            <w:pPr>
              <w:pStyle w:val="105"/>
              <w:rPr>
                <w:rFonts w:cs="Arial"/>
              </w:rPr>
            </w:pPr>
            <w:r>
              <w:rPr>
                <w:rFonts w:cs="Arial"/>
                <w:lang w:eastAsia="zh-TW"/>
              </w:rPr>
              <w:t>-40</w:t>
            </w:r>
            <w:r>
              <w:rPr>
                <w:rFonts w:hint="eastAsia" w:cs="Arial"/>
                <w:vertAlign w:val="superscript"/>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399" w:type="dxa"/>
            <w:gridSpan w:val="3"/>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w:t>
            </w:r>
            <w:r>
              <w:t>7.3</w:t>
            </w:r>
            <w:r>
              <w:rPr>
                <w:lang w:eastAsia="zh-TW"/>
              </w:rPr>
              <w:t>A</w:t>
            </w:r>
            <w:r>
              <w:t>-</w:t>
            </w:r>
            <w:r>
              <w:rPr>
                <w:lang w:eastAsia="zh-CN"/>
              </w:rPr>
              <w:t>3</w:t>
            </w:r>
            <w:r>
              <w:rPr>
                <w:rFonts w:eastAsia="MS Mincho" w:cs="Arial"/>
              </w:rPr>
              <w:t xml:space="preserve">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Reference measurement channel is TS 36.101 [7] Annex A.3.2: 64QAM, R=3/4 variant with </w:t>
            </w:r>
            <w:r>
              <w:rPr>
                <w:rFonts w:cs="Arial"/>
              </w:rPr>
              <w:t>one sided dynamic OCNG Pattern OP.1 FDD as described in Annex A.5.1.1 of TS 36.101 [7]</w:t>
            </w:r>
            <w:r>
              <w:rPr>
                <w:rFonts w:eastAsia="MS Mincho" w:cs="Arial"/>
              </w:rPr>
              <w:t>.</w:t>
            </w:r>
          </w:p>
        </w:tc>
      </w:tr>
    </w:tbl>
    <w:p>
      <w:pPr>
        <w:rPr>
          <w:lang w:eastAsia="zh-TW"/>
        </w:rPr>
      </w:pPr>
    </w:p>
    <w:p>
      <w:bookmarkStart w:id="748" w:name="_Hlk126672508"/>
      <w:r>
        <w:t>The normative reference for this requirement is TS 36.102 [11] clause 7.4A.</w:t>
      </w:r>
    </w:p>
    <w:bookmarkEnd w:id="748"/>
    <w:p>
      <w:pPr>
        <w:pStyle w:val="9"/>
      </w:pPr>
      <w:bookmarkStart w:id="749" w:name="_Toc36226469"/>
      <w:bookmarkStart w:id="750" w:name="_Toc52989889"/>
      <w:bookmarkStart w:id="751" w:name="_Toc69305899"/>
      <w:bookmarkStart w:id="752" w:name="_Toc44323724"/>
      <w:bookmarkStart w:id="753" w:name="_Toc27477790"/>
      <w:bookmarkStart w:id="754" w:name="_Toc60825002"/>
      <w:bookmarkStart w:id="755" w:name="_Toc60823080"/>
      <w:bookmarkStart w:id="756" w:name="_Hlk126681191"/>
      <w:r>
        <w:t>7.4A.4</w:t>
      </w:r>
      <w:r>
        <w:tab/>
      </w:r>
      <w:r>
        <w:t>Test description</w:t>
      </w:r>
      <w:bookmarkEnd w:id="749"/>
      <w:bookmarkEnd w:id="750"/>
      <w:bookmarkEnd w:id="751"/>
      <w:bookmarkEnd w:id="752"/>
      <w:bookmarkEnd w:id="753"/>
      <w:bookmarkEnd w:id="754"/>
      <w:bookmarkEnd w:id="755"/>
    </w:p>
    <w:p>
      <w:pPr>
        <w:pStyle w:val="9"/>
      </w:pPr>
      <w:bookmarkStart w:id="757" w:name="_Toc27477791"/>
      <w:bookmarkStart w:id="758" w:name="_Toc52989890"/>
      <w:bookmarkStart w:id="759" w:name="_Toc60825003"/>
      <w:bookmarkStart w:id="760" w:name="_Toc69305900"/>
      <w:bookmarkStart w:id="761" w:name="_Toc36226470"/>
      <w:bookmarkStart w:id="762" w:name="_Toc44323725"/>
      <w:bookmarkStart w:id="763" w:name="_Toc60823081"/>
      <w:r>
        <w:t>7.4A.4.1</w:t>
      </w:r>
      <w:r>
        <w:tab/>
      </w:r>
      <w:r>
        <w:t>Initial conditions</w:t>
      </w:r>
      <w:bookmarkEnd w:id="757"/>
      <w:bookmarkEnd w:id="758"/>
      <w:bookmarkEnd w:id="759"/>
      <w:bookmarkEnd w:id="760"/>
      <w:bookmarkEnd w:id="761"/>
      <w:bookmarkEnd w:id="762"/>
      <w:bookmarkEnd w:id="763"/>
    </w:p>
    <w:p>
      <w:r>
        <w:t>Initial conditions are a set of test configurations the UE needs to be tested in and the steps for the SS to take with the UE to reach the correct measurement state.</w:t>
      </w:r>
    </w:p>
    <w:bookmarkEnd w:id="756"/>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7.4</w:t>
      </w:r>
      <w:r>
        <w:rPr>
          <w:lang w:eastAsia="zh-TW"/>
        </w:rPr>
        <w:t>A</w:t>
      </w:r>
      <w:r>
        <w:t xml:space="preserve">.4.1-1. The details of the uplink and downlink reference measurement channels (RMCs) are specified in TS36.521-1 [14] Annexes A.2 and A.3 respectively. The details of the OCNG patterns used are specified in Annex A.5. </w:t>
      </w:r>
      <w:r>
        <w:rPr>
          <w:rFonts w:cs="v5.0.0"/>
        </w:rPr>
        <w:t xml:space="preserve">Configurations of PDSCH and </w:t>
      </w:r>
      <w:r>
        <w:rPr>
          <w:rFonts w:cs="v5.0.0"/>
          <w:lang w:eastAsia="zh-TW"/>
        </w:rPr>
        <w:t>M</w:t>
      </w:r>
      <w:r>
        <w:rPr>
          <w:rFonts w:cs="v5.0.0"/>
        </w:rPr>
        <w:t>PDCCH before measurement are specified in Annex C.2.</w:t>
      </w:r>
    </w:p>
    <w:p>
      <w:pPr>
        <w:pStyle w:val="113"/>
        <w:rPr>
          <w:lang w:eastAsia="zh-TW"/>
        </w:rPr>
      </w:pPr>
      <w:bookmarkStart w:id="764" w:name="_Hlk126681279"/>
      <w:r>
        <w:t>Table 7.4</w:t>
      </w:r>
      <w:r>
        <w:rPr>
          <w:lang w:eastAsia="zh-TW"/>
        </w:rPr>
        <w:t>A</w:t>
      </w:r>
      <w:r>
        <w:t>.4.1-1: Test Configuration Table</w:t>
      </w:r>
      <w:r>
        <w:rPr>
          <w:lang w:eastAsia="zh-TW"/>
        </w:rPr>
        <w:t xml:space="preserve"> RX test cases UE Cat-M1</w:t>
      </w:r>
    </w:p>
    <w:p>
      <w:pPr>
        <w:jc w:val="center"/>
        <w:rPr>
          <w:rFonts w:cs="v5.0.0"/>
        </w:rPr>
      </w:pPr>
      <w:r>
        <w:rPr>
          <w:rFonts w:cs="v5.0.0"/>
        </w:rPr>
        <w:t>FFS</w:t>
      </w:r>
    </w:p>
    <w:p/>
    <w:bookmarkEnd w:id="764"/>
    <w:p>
      <w:pPr>
        <w:pStyle w:val="111"/>
        <w:overflowPunct w:val="0"/>
        <w:autoSpaceDE w:val="0"/>
        <w:autoSpaceDN w:val="0"/>
        <w:adjustRightInd w:val="0"/>
        <w:contextualSpacing w:val="0"/>
        <w:textAlignment w:val="baseline"/>
        <w:rPr>
          <w:rFonts w:eastAsia="Malgun Gothic"/>
          <w:lang w:eastAsia="en-GB"/>
        </w:rPr>
      </w:pPr>
      <w:r>
        <w:rPr>
          <w:rFonts w:eastAsia="Malgun Gothic"/>
        </w:rPr>
        <w:t>1.</w:t>
      </w:r>
      <w:r>
        <w:rPr>
          <w:rFonts w:eastAsia="Malgun Gothic"/>
        </w:rPr>
        <w:tab/>
      </w:r>
      <w:r>
        <w:rPr>
          <w:rFonts w:eastAsia="Malgun Gothic"/>
          <w:lang w:eastAsia="en-GB"/>
        </w:rPr>
        <w:t>Connect the SS to the UE antenna connectors as shown in TS 36.508[12] Annex A Figure A.3 using only main UE Tx/Rx antenna.</w:t>
      </w:r>
    </w:p>
    <w:p>
      <w:pPr>
        <w:pStyle w:val="111"/>
        <w:overflowPunct w:val="0"/>
        <w:autoSpaceDE w:val="0"/>
        <w:autoSpaceDN w:val="0"/>
        <w:adjustRightInd w:val="0"/>
        <w:contextualSpacing w:val="0"/>
        <w:textAlignment w:val="baseline"/>
        <w:rPr>
          <w:rFonts w:eastAsia="Malgun Gothic"/>
          <w:lang w:eastAsia="zh-TW"/>
        </w:rPr>
      </w:pPr>
      <w:r>
        <w:rPr>
          <w:rFonts w:eastAsia="Malgun Gothic"/>
        </w:rPr>
        <w:t>2.</w:t>
      </w:r>
      <w:r>
        <w:rPr>
          <w:rFonts w:eastAsia="Malgun Gothic"/>
        </w:rPr>
        <w:tab/>
      </w:r>
      <w:r>
        <w:rPr>
          <w:rFonts w:eastAsia="Malgun Gothic"/>
          <w:lang w:eastAsia="en-GB"/>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lang w:eastAsia="en-GB"/>
        </w:rPr>
      </w:pPr>
      <w:r>
        <w:rPr>
          <w:rFonts w:eastAsia="Malgun Gothic"/>
        </w:rPr>
        <w:t>3.</w:t>
      </w:r>
      <w:r>
        <w:rPr>
          <w:rFonts w:eastAsia="Malgun Gothic"/>
        </w:rPr>
        <w:tab/>
      </w:r>
      <w:r>
        <w:rPr>
          <w:rFonts w:eastAsia="Malgun Gothic"/>
          <w:lang w:eastAsia="en-GB"/>
        </w:rPr>
        <w:t xml:space="preserve">Downlink signals are initially set up according to </w:t>
      </w:r>
      <w:bookmarkStart w:id="765" w:name="_Hlk126681526"/>
      <w:r>
        <w:rPr>
          <w:rFonts w:eastAsia="Malgun Gothic"/>
          <w:lang w:eastAsia="en-GB"/>
        </w:rPr>
        <w:t>TS36.521-1 [14]</w:t>
      </w:r>
      <w:bookmarkEnd w:id="765"/>
      <w:r>
        <w:rPr>
          <w:rFonts w:eastAsia="Malgun Gothic"/>
          <w:lang w:eastAsia="en-GB"/>
        </w:rPr>
        <w:t xml:space="preserve"> Annex C0, C.1 and C.3.1, and uplink signals according to Annex H.1 and H.3.1.</w:t>
      </w:r>
    </w:p>
    <w:p>
      <w:pPr>
        <w:pStyle w:val="111"/>
        <w:overflowPunct w:val="0"/>
        <w:autoSpaceDE w:val="0"/>
        <w:autoSpaceDN w:val="0"/>
        <w:adjustRightInd w:val="0"/>
        <w:contextualSpacing w:val="0"/>
        <w:textAlignment w:val="baseline"/>
        <w:rPr>
          <w:rFonts w:eastAsia="Malgun Gothic"/>
          <w:lang w:eastAsia="en-GB"/>
        </w:rPr>
      </w:pPr>
      <w:r>
        <w:rPr>
          <w:rFonts w:eastAsia="Malgun Gothic"/>
        </w:rPr>
        <w:t>4.</w:t>
      </w:r>
      <w:r>
        <w:rPr>
          <w:rFonts w:eastAsia="Malgun Gothic"/>
        </w:rPr>
        <w:tab/>
      </w:r>
      <w:r>
        <w:rPr>
          <w:rFonts w:eastAsia="Malgun Gothic"/>
          <w:lang w:eastAsia="en-GB"/>
        </w:rPr>
        <w:t>The UL and DL Reference Measurement channels are set according to Table 7.4</w:t>
      </w:r>
      <w:r>
        <w:rPr>
          <w:rFonts w:eastAsia="Malgun Gothic"/>
          <w:lang w:eastAsia="zh-TW"/>
        </w:rPr>
        <w:t>A</w:t>
      </w:r>
      <w:r>
        <w:rPr>
          <w:rFonts w:eastAsia="Malgun Gothic"/>
          <w:lang w:eastAsia="en-GB"/>
        </w:rPr>
        <w:t>.4.1-1.</w:t>
      </w:r>
    </w:p>
    <w:p>
      <w:pPr>
        <w:pStyle w:val="111"/>
        <w:overflowPunct w:val="0"/>
        <w:autoSpaceDE w:val="0"/>
        <w:autoSpaceDN w:val="0"/>
        <w:adjustRightInd w:val="0"/>
        <w:contextualSpacing w:val="0"/>
        <w:textAlignment w:val="baseline"/>
        <w:rPr>
          <w:rFonts w:eastAsia="Malgun Gothic"/>
          <w:lang w:eastAsia="en-GB"/>
        </w:rPr>
      </w:pPr>
      <w:r>
        <w:rPr>
          <w:rFonts w:eastAsia="Malgun Gothic"/>
        </w:rPr>
        <w:t>5.</w:t>
      </w:r>
      <w:r>
        <w:rPr>
          <w:rFonts w:eastAsia="Malgun Gothic"/>
        </w:rPr>
        <w:tab/>
      </w:r>
      <w:r>
        <w:rPr>
          <w:rFonts w:eastAsia="Malgun Gothic"/>
          <w:lang w:eastAsia="en-GB"/>
        </w:rPr>
        <w:t>Propagation conditions are set according to Annex B.0.</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6.</w:t>
      </w:r>
      <w:r>
        <w:rPr>
          <w:rFonts w:hint="eastAsia" w:eastAsia="Malgun Gothic"/>
          <w:lang w:eastAsia="en-GB"/>
        </w:rPr>
        <w:tab/>
      </w:r>
      <w:r>
        <w:rPr>
          <w:rFonts w:hint="eastAsia" w:eastAsia="Malgun Gothic"/>
          <w:lang w:eastAsia="en-GB"/>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Malgun Gothic"/>
          <w:lang w:eastAsia="en-GB"/>
        </w:rPr>
      </w:pPr>
      <w:r>
        <w:rPr>
          <w:rFonts w:hint="eastAsia" w:eastAsia="Malgun Gothic"/>
          <w:lang w:eastAsia="en-GB"/>
        </w:rPr>
        <w:t>7.</w:t>
      </w:r>
      <w:r>
        <w:rPr>
          <w:rFonts w:hint="eastAsia" w:eastAsia="Malgun Gothic"/>
          <w:lang w:eastAsia="en-GB"/>
        </w:rPr>
        <w:tab/>
      </w:r>
      <w:r>
        <w:rPr>
          <w:rFonts w:hint="eastAsia" w:eastAsia="Malgun Gothic"/>
          <w:lang w:eastAsia="en-GB"/>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Malgun Gothic"/>
          <w:lang w:eastAsia="en-GB"/>
        </w:rPr>
      </w:pPr>
      <w:r>
        <w:rPr>
          <w:rFonts w:hint="eastAsia" w:eastAsia="Malgun Gothic"/>
          <w:lang w:eastAsia="en-GB"/>
        </w:rPr>
        <w:t>8.</w:t>
      </w:r>
      <w:r>
        <w:rPr>
          <w:rFonts w:hint="eastAsia" w:eastAsia="Malgun Gothic"/>
          <w:lang w:eastAsia="en-GB"/>
        </w:rPr>
        <w:tab/>
      </w:r>
      <w:r>
        <w:rPr>
          <w:rFonts w:hint="eastAsia" w:eastAsia="Malgun Gothic"/>
          <w:lang w:eastAsia="en-GB"/>
        </w:rPr>
        <w:t>Ensure the UE is in State 3A-RF-CE according to TS 36.508 [12] clause 5.2A.2AA. Message contents are defined in clause 7.4A.4.3.</w:t>
      </w:r>
    </w:p>
    <w:p>
      <w:pPr>
        <w:pStyle w:val="9"/>
      </w:pPr>
      <w:bookmarkStart w:id="766" w:name="_Toc27477792"/>
      <w:bookmarkStart w:id="767" w:name="_Toc52989891"/>
      <w:bookmarkStart w:id="768" w:name="_Toc44323726"/>
      <w:bookmarkStart w:id="769" w:name="_Toc60823082"/>
      <w:bookmarkStart w:id="770" w:name="_Toc60825004"/>
      <w:bookmarkStart w:id="771" w:name="_Toc36226471"/>
      <w:bookmarkStart w:id="772" w:name="_Toc69305901"/>
      <w:bookmarkStart w:id="773" w:name="_Hlk126681595"/>
      <w:r>
        <w:t>7.4A.4.2</w:t>
      </w:r>
      <w:r>
        <w:tab/>
      </w:r>
      <w:r>
        <w:t>Test procedure</w:t>
      </w:r>
      <w:bookmarkEnd w:id="766"/>
      <w:bookmarkEnd w:id="767"/>
      <w:bookmarkEnd w:id="768"/>
      <w:bookmarkEnd w:id="769"/>
      <w:bookmarkEnd w:id="770"/>
      <w:bookmarkEnd w:id="771"/>
      <w:bookmarkEnd w:id="772"/>
    </w:p>
    <w:bookmarkEnd w:id="773"/>
    <w:p>
      <w:pPr>
        <w:pStyle w:val="111"/>
        <w:overflowPunct w:val="0"/>
        <w:autoSpaceDE w:val="0"/>
        <w:autoSpaceDN w:val="0"/>
        <w:adjustRightInd w:val="0"/>
        <w:contextualSpacing w:val="0"/>
        <w:textAlignment w:val="baseline"/>
        <w:rPr>
          <w:rFonts w:eastAsia="Malgun Gothic"/>
          <w:lang w:eastAsia="en-GB"/>
        </w:rPr>
      </w:pPr>
      <w:r>
        <w:rPr>
          <w:rFonts w:eastAsia="Malgun Gothic"/>
          <w:lang w:eastAsia="zh-TW"/>
        </w:rPr>
        <w:t>1.</w:t>
      </w:r>
      <w:r>
        <w:rPr>
          <w:rFonts w:eastAsia="Malgun Gothic"/>
          <w:lang w:eastAsia="zh-TW"/>
        </w:rPr>
        <w:tab/>
      </w:r>
      <w:r>
        <w:rPr>
          <w:rFonts w:eastAsia="Malgun Gothic"/>
          <w:lang w:eastAsia="en-GB"/>
        </w:rPr>
        <w:t xml:space="preserve">SS transmits PDSCH via </w:t>
      </w:r>
      <w:r>
        <w:rPr>
          <w:rFonts w:eastAsia="Malgun Gothic"/>
          <w:lang w:eastAsia="zh-TW"/>
        </w:rPr>
        <w:t>M-</w:t>
      </w:r>
      <w:r>
        <w:rPr>
          <w:rFonts w:eastAsia="Malgun Gothic"/>
          <w:lang w:eastAsia="en-GB"/>
        </w:rPr>
        <w:t xml:space="preserve">PDCCH DCI format </w:t>
      </w:r>
      <w:r>
        <w:rPr>
          <w:rFonts w:eastAsia="Malgun Gothic"/>
          <w:lang w:eastAsia="zh-TW"/>
        </w:rPr>
        <w:t>6-</w:t>
      </w:r>
      <w:r>
        <w:rPr>
          <w:rFonts w:eastAsia="Malgun Gothic"/>
          <w:lang w:eastAsia="en-GB"/>
        </w:rPr>
        <w:t>1A for C_RNTI to transmit the DL RMC according to Table 7.4</w:t>
      </w:r>
      <w:r>
        <w:rPr>
          <w:rFonts w:eastAsia="Malgun Gothic"/>
          <w:lang w:eastAsia="zh-TW"/>
        </w:rPr>
        <w:t>A</w:t>
      </w:r>
      <w:r>
        <w:rPr>
          <w:rFonts w:eastAsia="Malgun Gothic"/>
          <w:lang w:eastAsia="en-GB"/>
        </w:rPr>
        <w:t>.4.1-1. The SS sends downlink MAC padding bits on the DL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zh-TW"/>
        </w:rPr>
        <w:t>2.</w:t>
      </w:r>
      <w:r>
        <w:rPr>
          <w:rFonts w:eastAsia="Malgun Gothic"/>
          <w:lang w:eastAsia="zh-TW"/>
        </w:rPr>
        <w:tab/>
      </w:r>
      <w:r>
        <w:rPr>
          <w:rFonts w:eastAsia="Malgun Gothic"/>
          <w:lang w:eastAsia="en-GB"/>
        </w:rPr>
        <w:t xml:space="preserve">SS sends uplink scheduling information for each UL HARQ process via </w:t>
      </w:r>
      <w:r>
        <w:rPr>
          <w:rFonts w:eastAsia="Malgun Gothic"/>
          <w:lang w:eastAsia="zh-TW"/>
        </w:rPr>
        <w:t>M-</w:t>
      </w:r>
      <w:r>
        <w:rPr>
          <w:rFonts w:eastAsia="Malgun Gothic"/>
          <w:lang w:eastAsia="en-GB"/>
        </w:rPr>
        <w:t>PDCCH DCI format 0 for C_RNTI to schedule the UL RMC according to Table 7.4</w:t>
      </w:r>
      <w:r>
        <w:rPr>
          <w:rFonts w:eastAsia="Malgun Gothic"/>
          <w:lang w:eastAsia="zh-TW"/>
        </w:rPr>
        <w:t>A</w:t>
      </w:r>
      <w:r>
        <w:rPr>
          <w:rFonts w:eastAsia="Malgun Gothic"/>
          <w:lang w:eastAsia="en-GB"/>
        </w:rPr>
        <w:t>.4.1-1.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zh-TW"/>
        </w:rPr>
        <w:t>3.</w:t>
      </w:r>
      <w:r>
        <w:rPr>
          <w:rFonts w:eastAsia="Malgun Gothic"/>
          <w:lang w:eastAsia="zh-TW"/>
        </w:rPr>
        <w:tab/>
      </w:r>
      <w:r>
        <w:rPr>
          <w:rFonts w:eastAsia="Malgun Gothic"/>
          <w:lang w:eastAsia="en-GB"/>
        </w:rPr>
        <w:t>Set the Downlink signal level to the value defined in Table 7.4</w:t>
      </w:r>
      <w:r>
        <w:rPr>
          <w:rFonts w:eastAsia="Malgun Gothic"/>
          <w:lang w:eastAsia="zh-TW"/>
        </w:rPr>
        <w:t>A</w:t>
      </w:r>
      <w:r>
        <w:rPr>
          <w:rFonts w:eastAsia="Malgun Gothic"/>
          <w:lang w:eastAsia="en-GB"/>
        </w:rPr>
        <w:t>.5-1. Send Uplink power control commands to the UE (less or equal to 1dB step size should be used), to ensure that the UE output power is within +0, - 3.4 dB of the target level in Table 7.4</w:t>
      </w:r>
      <w:r>
        <w:rPr>
          <w:rFonts w:eastAsia="Malgun Gothic"/>
          <w:lang w:eastAsia="zh-TW"/>
        </w:rPr>
        <w:t>A</w:t>
      </w:r>
      <w:r>
        <w:rPr>
          <w:rFonts w:eastAsia="Malgun Gothic"/>
          <w:lang w:eastAsia="en-GB"/>
        </w:rPr>
        <w:t>.5-1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lang w:eastAsia="en-GB"/>
        </w:rPr>
      </w:pPr>
      <w:r>
        <w:rPr>
          <w:rFonts w:eastAsia="Malgun Gothic"/>
          <w:lang w:eastAsia="zh-TW"/>
        </w:rPr>
        <w:t>4.</w:t>
      </w:r>
      <w:r>
        <w:rPr>
          <w:rFonts w:eastAsia="Malgun Gothic"/>
          <w:lang w:eastAsia="zh-TW"/>
        </w:rPr>
        <w:tab/>
      </w:r>
      <w:r>
        <w:rPr>
          <w:rFonts w:eastAsia="Malgun Gothic"/>
          <w:lang w:eastAsia="en-GB"/>
        </w:rPr>
        <w:t>Measure the average throughput for a duration sufficient to achieve statistical significance according to Annex G.2.</w:t>
      </w:r>
    </w:p>
    <w:p>
      <w:pPr>
        <w:pStyle w:val="9"/>
      </w:pPr>
      <w:bookmarkStart w:id="774" w:name="_Hlk126681895"/>
      <w:r>
        <w:t>7.4A.4.3</w:t>
      </w:r>
      <w:r>
        <w:tab/>
      </w:r>
      <w:r>
        <w:t>Message contents</w:t>
      </w:r>
    </w:p>
    <w:p>
      <w:pPr>
        <w:overflowPunct w:val="0"/>
        <w:autoSpaceDE w:val="0"/>
        <w:autoSpaceDN w:val="0"/>
        <w:adjustRightInd w:val="0"/>
        <w:textAlignment w:val="baseline"/>
        <w:rPr>
          <w:rFonts w:eastAsia="Malgun Gothic"/>
          <w:lang w:eastAsia="en-GB"/>
        </w:rPr>
      </w:pPr>
      <w:r>
        <w:rPr>
          <w:rFonts w:eastAsia="Malgun Gothic"/>
          <w:lang w:eastAsia="en-GB"/>
        </w:rPr>
        <w:t>Message contents are according to TS 36.508 [12] subclause 4.6 with the following exception.</w:t>
      </w:r>
    </w:p>
    <w:bookmarkEnd w:id="774"/>
    <w:p>
      <w:pPr>
        <w:pStyle w:val="113"/>
      </w:pPr>
      <w:r>
        <w:t xml:space="preserve">Table </w:t>
      </w:r>
      <w:r>
        <w:rPr>
          <w:rFonts w:eastAsia="宋体"/>
        </w:rPr>
        <w:t>7.4A.4.</w:t>
      </w:r>
      <w:r>
        <w:t>3</w:t>
      </w:r>
      <w:r>
        <w:rPr>
          <w:rFonts w:eastAsia="宋体"/>
        </w:rPr>
        <w:t>-</w:t>
      </w:r>
      <w:r>
        <w:t>1: UplinkPowerControlDedicated</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113"/>
      </w:pPr>
      <w:r>
        <w:t xml:space="preserve">Table </w:t>
      </w:r>
      <w:r>
        <w:rPr>
          <w:snapToGrid w:val="0"/>
        </w:rPr>
        <w:t>7.4A.4.3-2</w:t>
      </w:r>
      <w:r>
        <w:t>: EPDCCH-Config-r11-DEFAULT</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1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9635" w:type="dxa"/>
            <w:gridSpan w:val="4"/>
          </w:tcPr>
          <w:p>
            <w:pPr>
              <w:pStyle w:val="103"/>
            </w:pPr>
            <w:r>
              <w:t>Derivation Path: 36.331 clause 6.3.2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Pr>
          <w:p>
            <w:pPr>
              <w:pStyle w:val="103"/>
            </w:pPr>
            <w:r>
              <w:t xml:space="preserve">          mpdcch-NumRepetition-r13</w:t>
            </w:r>
          </w:p>
        </w:tc>
        <w:tc>
          <w:tcPr>
            <w:tcW w:w="2267" w:type="dxa"/>
          </w:tcPr>
          <w:p>
            <w:pPr>
              <w:pStyle w:val="103"/>
            </w:pPr>
            <w:r>
              <w:t>r1</w:t>
            </w:r>
          </w:p>
        </w:tc>
        <w:tc>
          <w:tcPr>
            <w:tcW w:w="1700" w:type="dxa"/>
          </w:tcPr>
          <w:p>
            <w:pPr>
              <w:pStyle w:val="103"/>
            </w:pPr>
          </w:p>
        </w:tc>
        <w:tc>
          <w:tcPr>
            <w:tcW w:w="1133" w:type="dxa"/>
          </w:tcPr>
          <w:p>
            <w:pPr>
              <w:pStyle w:val="103"/>
            </w:pPr>
          </w:p>
        </w:tc>
      </w:tr>
    </w:tbl>
    <w:p/>
    <w:p>
      <w:pPr>
        <w:pStyle w:val="9"/>
      </w:pPr>
      <w:r>
        <w:t>7.4A.5</w:t>
      </w:r>
      <w:r>
        <w:tab/>
      </w:r>
      <w:r>
        <w:t>Test requirement</w:t>
      </w:r>
    </w:p>
    <w:p>
      <w:r>
        <w:rPr>
          <w:lang w:eastAsia="zh-TW"/>
        </w:rPr>
        <w:t xml:space="preserve">The throughput shall be ≥ 95% of the maximum throughput of the reference measurement channels as specified in </w:t>
      </w:r>
      <w:r>
        <w:t xml:space="preserve">TS36.521-1 [14] </w:t>
      </w:r>
      <w:r>
        <w:rPr>
          <w:lang w:eastAsia="zh-TW"/>
        </w:rPr>
        <w:t>Annex A.2.2, A.2.3 and A.3.2 with parameters spec</w:t>
      </w:r>
      <w:r>
        <w:t>ified in Table 7.4</w:t>
      </w:r>
      <w:r>
        <w:rPr>
          <w:lang w:eastAsia="zh-TW"/>
        </w:rPr>
        <w:t>A</w:t>
      </w:r>
      <w:r>
        <w:t>.5-1.</w:t>
      </w:r>
    </w:p>
    <w:p>
      <w:pPr>
        <w:pStyle w:val="113"/>
      </w:pPr>
      <w:r>
        <w:t>Table 7.4A.5-1: Maximum input level</w:t>
      </w:r>
    </w:p>
    <w:tbl>
      <w:tblPr>
        <w:tblStyle w:val="89"/>
        <w:tblW w:w="7399"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39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51" w:type="dxa"/>
            <w:vMerge w:val="restart"/>
          </w:tcPr>
          <w:p>
            <w:pPr>
              <w:pStyle w:val="104"/>
              <w:rPr>
                <w:rFonts w:cs="Arial"/>
              </w:rPr>
            </w:pPr>
            <w:r>
              <w:rPr>
                <w:rFonts w:cs="Arial"/>
              </w:rPr>
              <w:t>Rx Parameter</w:t>
            </w:r>
          </w:p>
        </w:tc>
        <w:tc>
          <w:tcPr>
            <w:tcW w:w="851" w:type="dxa"/>
            <w:vMerge w:val="restart"/>
          </w:tcPr>
          <w:p>
            <w:pPr>
              <w:pStyle w:val="104"/>
              <w:rPr>
                <w:rFonts w:cs="Arial"/>
              </w:rPr>
            </w:pPr>
            <w:r>
              <w:rPr>
                <w:rFonts w:cs="Arial"/>
              </w:rPr>
              <w:t xml:space="preserve">Units </w:t>
            </w:r>
          </w:p>
        </w:tc>
        <w:tc>
          <w:tcPr>
            <w:tcW w:w="3997" w:type="dxa"/>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3" w:hRule="atLeast"/>
        </w:trPr>
        <w:tc>
          <w:tcPr>
            <w:tcW w:w="2551" w:type="dxa"/>
            <w:vMerge w:val="continue"/>
          </w:tcPr>
          <w:p>
            <w:pPr>
              <w:pStyle w:val="104"/>
              <w:rPr>
                <w:rFonts w:cs="Arial"/>
              </w:rPr>
            </w:pPr>
          </w:p>
        </w:tc>
        <w:tc>
          <w:tcPr>
            <w:tcW w:w="851" w:type="dxa"/>
            <w:vMerge w:val="continue"/>
          </w:tcPr>
          <w:p>
            <w:pPr>
              <w:pStyle w:val="104"/>
              <w:rPr>
                <w:rFonts w:cs="Arial"/>
              </w:rPr>
            </w:pPr>
          </w:p>
        </w:tc>
        <w:tc>
          <w:tcPr>
            <w:tcW w:w="3997" w:type="dxa"/>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3997" w:type="dxa"/>
            <w:vAlign w:val="center"/>
          </w:tcPr>
          <w:p>
            <w:pPr>
              <w:pStyle w:val="105"/>
              <w:rPr>
                <w:rFonts w:cs="Arial"/>
              </w:rPr>
            </w:pPr>
            <w:r>
              <w:rPr>
                <w:rFonts w:cs="Arial"/>
                <w:lang w:eastAsia="zh-TW"/>
              </w:rPr>
              <w:t>-40</w:t>
            </w:r>
            <w:r>
              <w:rPr>
                <w:rFonts w:hint="eastAsia" w:cs="Arial"/>
                <w:vertAlign w:val="superscript"/>
                <w:lang w:eastAsia="zh-CN"/>
              </w:rPr>
              <w:t>2</w:t>
            </w:r>
            <w:r>
              <w:rPr>
                <w:rFonts w:cs="Arial"/>
                <w:lang w:eastAsia="zh-TW"/>
              </w:rPr>
              <w:t xml:space="preserve"> +TT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7399" w:type="dxa"/>
            <w:gridSpan w:val="3"/>
          </w:tcPr>
          <w:p>
            <w:pPr>
              <w:pStyle w:val="118"/>
            </w:pPr>
            <w:r>
              <w:t>NOTE 1:</w:t>
            </w:r>
            <w:r>
              <w:tab/>
            </w:r>
            <w:r>
              <w:t>The transmitter shall be set to 4dB below P</w:t>
            </w:r>
            <w:r>
              <w:rPr>
                <w:vertAlign w:val="subscript"/>
              </w:rPr>
              <w:t xml:space="preserve">CMAX_L </w:t>
            </w:r>
            <w:r>
              <w:t>with P</w:t>
            </w:r>
            <w:r>
              <w:rPr>
                <w:vertAlign w:val="subscript"/>
              </w:rPr>
              <w:t xml:space="preserve">CMAX_L </w:t>
            </w:r>
            <w:r>
              <w:t>as defined in clause 6.2A.4.</w:t>
            </w:r>
          </w:p>
          <w:p>
            <w:pPr>
              <w:pStyle w:val="118"/>
              <w:rPr>
                <w:rFonts w:eastAsia="MS Mincho" w:cs="Arial"/>
              </w:rPr>
            </w:pPr>
            <w:r>
              <w:t>NOTE 2:</w:t>
            </w:r>
            <w:r>
              <w:tab/>
            </w:r>
            <w:r>
              <w:t>Reference measurement channel is TS36.521-1 [14] Annex A.3.2 64QAM R=3/4variant with one sided dynamic OCNG Pattern OP.1 FDD/TDD as described in TS36.521-1 [14] Annex A.5.1.1.</w:t>
            </w:r>
          </w:p>
        </w:tc>
      </w:tr>
    </w:tbl>
    <w:p>
      <w:pPr>
        <w:rPr>
          <w:lang w:eastAsia="zh-TW"/>
        </w:rPr>
      </w:pPr>
    </w:p>
    <w:p>
      <w:pPr>
        <w:pStyle w:val="4"/>
      </w:pPr>
      <w:bookmarkStart w:id="775" w:name="_Toc12814"/>
      <w:bookmarkStart w:id="776" w:name="_Toc21177"/>
      <w:bookmarkStart w:id="777" w:name="_Toc24320"/>
      <w:r>
        <w:t>7.4B</w:t>
      </w:r>
      <w:r>
        <w:tab/>
      </w:r>
      <w:r>
        <w:t>Maximum input level for category NB1 and NB2</w:t>
      </w:r>
      <w:bookmarkEnd w:id="728"/>
      <w:bookmarkEnd w:id="729"/>
      <w:bookmarkEnd w:id="775"/>
      <w:bookmarkEnd w:id="776"/>
      <w:bookmarkEnd w:id="777"/>
    </w:p>
    <w:p>
      <w:pPr>
        <w:pStyle w:val="112"/>
        <w:rPr>
          <w:i/>
        </w:rPr>
      </w:pPr>
      <w:bookmarkStart w:id="778" w:name="_Toc121162889"/>
      <w:bookmarkStart w:id="779" w:name="_Toc111062085"/>
      <w:bookmarkStart w:id="780" w:name="_Toc368026372"/>
      <w:bookmarkStart w:id="781" w:name="_Toc120570097"/>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Test Points analysis is TBD</w:t>
      </w:r>
    </w:p>
    <w:p>
      <w:pPr>
        <w:pStyle w:val="112"/>
        <w:rPr>
          <w:i/>
        </w:rPr>
      </w:pPr>
      <w:r>
        <w:rPr>
          <w:i/>
        </w:rPr>
        <w:t>- Test configuration is TBD</w:t>
      </w:r>
    </w:p>
    <w:p>
      <w:pPr>
        <w:pStyle w:val="9"/>
      </w:pPr>
      <w:r>
        <w:t>7.4B.1</w:t>
      </w:r>
      <w:r>
        <w:tab/>
      </w:r>
      <w:r>
        <w:t>Test purpose</w:t>
      </w:r>
    </w:p>
    <w:p>
      <w:r>
        <w:t>Maximum input level tests the UE's ability to receive data with a given average throughput for a specified reference measurement channel, under conditions of high signal level, ideal propagation and no added noise.</w:t>
      </w:r>
    </w:p>
    <w:p>
      <w:r>
        <w:t>A UE unable to meet the throughput requirement under these conditions will decrease the coverage area near to an e-NodeB.</w:t>
      </w:r>
    </w:p>
    <w:p>
      <w:pPr>
        <w:pStyle w:val="9"/>
      </w:pPr>
      <w:r>
        <w:t>7.4B.2</w:t>
      </w:r>
      <w:r>
        <w:tab/>
      </w:r>
      <w:r>
        <w:t>Test applicability</w:t>
      </w:r>
    </w:p>
    <w:p>
      <w:r>
        <w:t>This test case applies to all types of NB-IoT</w:t>
      </w:r>
      <w:r>
        <w:rPr>
          <w:lang w:eastAsia="zh-TW"/>
        </w:rPr>
        <w:t xml:space="preserve"> HD-FDD </w:t>
      </w:r>
      <w:r>
        <w:t xml:space="preserve">UE release 17 and forward of category NB1 and NB2 </w:t>
      </w:r>
      <w:r>
        <w:rPr>
          <w:lang w:eastAsia="zh-TW"/>
        </w:rPr>
        <w:t>that support satellite access operation</w:t>
      </w:r>
      <w:r>
        <w:t>.</w:t>
      </w:r>
    </w:p>
    <w:p>
      <w:pPr>
        <w:pStyle w:val="9"/>
      </w:pPr>
      <w:r>
        <w:t>7.4B.3</w:t>
      </w:r>
      <w:r>
        <w:tab/>
      </w:r>
      <w:r>
        <w:t>Minimum conformance requirements</w:t>
      </w:r>
    </w:p>
    <w:p>
      <w:pPr>
        <w:rPr>
          <w:rFonts w:cs="v5.0.0"/>
        </w:rPr>
      </w:pPr>
      <w:r>
        <w:rPr>
          <w:rFonts w:cs="v5.0.0"/>
        </w:rPr>
        <w:t xml:space="preserve">This is defined as the maximum mean power received at the UE antenna port, at which the specified relative throughput shall </w:t>
      </w:r>
      <w:r>
        <w:t>meet or exceed the minimum requirements for the specified reference measurement channel</w:t>
      </w:r>
      <w:r>
        <w:rPr>
          <w:rFonts w:cs="v5.0.0"/>
        </w:rPr>
        <w:t>.</w:t>
      </w:r>
    </w:p>
    <w:p>
      <w:r>
        <w:t>Category NB1 and NB2 UE maximum input level requirement is -40 dBm. For this input level the throughput shall be ≥ 95% of the maximum throughput of the reference measurement channel as specified in Annex A.3.2 of TS 36.101 [7].</w:t>
      </w:r>
    </w:p>
    <w:p>
      <w:r>
        <w:t>The normative reference for this requirement is TS 36.102 [11] clause 7.4B.</w:t>
      </w:r>
    </w:p>
    <w:p>
      <w:pPr>
        <w:pStyle w:val="9"/>
      </w:pPr>
      <w:r>
        <w:t>7.4B.4</w:t>
      </w:r>
      <w:r>
        <w:tab/>
      </w:r>
      <w:r>
        <w:t>Test description</w:t>
      </w:r>
    </w:p>
    <w:p>
      <w:pPr>
        <w:pStyle w:val="9"/>
      </w:pPr>
      <w:r>
        <w:t>7.4B.4.1</w:t>
      </w:r>
      <w:r>
        <w:tab/>
      </w:r>
      <w:r>
        <w:t>Initial conditions</w:t>
      </w:r>
    </w:p>
    <w:p>
      <w:r>
        <w:t>Initial conditions are a set of test configurations the UE needs to be tested in and the steps for the SS to take with the UE to reach the correct measurement state.</w:t>
      </w:r>
    </w:p>
    <w:p>
      <w:r>
        <w:t xml:space="preserve">The initial test configurations consist of environmental conditions and test frequencies based on the set of E-UTRA operating bands defined for NB-IoT in clause 5.2.F. All of these configurations shall be tested with applicable test parameters, and are shown in table 7.4F.4.1-1. The details of the uplink and downlink reference measurement channels (RMCs) are specified in </w:t>
      </w:r>
      <w:bookmarkStart w:id="782" w:name="_Hlk126673846"/>
      <w:r>
        <w:t>TS36.521-1 [14]</w:t>
      </w:r>
      <w:bookmarkEnd w:id="782"/>
      <w:r>
        <w:t xml:space="preserve"> Annexes A.2 and A.3 respectively. Configurations of NPDSCH and NPDCCH before measurement are specified in Annex C.2.</w:t>
      </w:r>
    </w:p>
    <w:p>
      <w:pPr>
        <w:pStyle w:val="113"/>
      </w:pPr>
      <w:r>
        <w:t>Table 7.4B.4.1-1: Test Configuration Table</w:t>
      </w:r>
    </w:p>
    <w:p>
      <w:pPr>
        <w:jc w:val="center"/>
      </w:pPr>
      <w:r>
        <w:t>FFS</w:t>
      </w:r>
    </w:p>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A.3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TS36.521-1 [14] Annex C0, C1 and C.3.0,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7.4B.4.1-1.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hint="eastAsia" w:eastAsia="Malgun Gothic"/>
        </w:rPr>
      </w:pPr>
      <w:r>
        <w:rPr>
          <w:rFonts w:hint="eastAsia" w:eastAsia="Malgun Gothic"/>
        </w:rPr>
        <w:t>6.</w:t>
      </w:r>
      <w:r>
        <w:rPr>
          <w:rFonts w:hint="eastAsia" w:eastAsia="Malgun Gothic"/>
        </w:rPr>
        <w:tab/>
      </w:r>
      <w:r>
        <w:rPr>
          <w:rFonts w:hint="eastAsia" w:eastAsia="Malgun Gothic"/>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Malgun Gothic"/>
        </w:rPr>
      </w:pPr>
      <w:r>
        <w:rPr>
          <w:rFonts w:hint="eastAsia" w:eastAsia="Malgun Gothic"/>
        </w:rPr>
        <w:t>7.</w:t>
      </w:r>
      <w:r>
        <w:rPr>
          <w:rFonts w:hint="eastAsia" w:eastAsia="Malgun Gothic"/>
        </w:rPr>
        <w:tab/>
      </w:r>
      <w:r>
        <w:rPr>
          <w:rFonts w:hint="eastAsia" w:eastAsia="Malgun Gothic"/>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rPr>
        <w:tab/>
      </w:r>
      <w:r>
        <w:rPr>
          <w:rFonts w:hint="eastAsia" w:eastAsia="Malgun Gothic"/>
        </w:rPr>
        <w:t>Ensure the UE is in State 2A-NB with CP CIoT Optimisation according to TS 36.508 [12] clause 8.1.5. Message contents are defined in clause 7.4B.4.3.</w:t>
      </w:r>
    </w:p>
    <w:p>
      <w:pPr>
        <w:pStyle w:val="9"/>
        <w:ind w:left="0" w:firstLine="0"/>
        <w:rPr>
          <w:rFonts w:ascii="Times New Roman" w:hAnsi="Times New Roman" w:eastAsiaTheme="minorEastAsia"/>
          <w:vanish/>
        </w:rPr>
      </w:pPr>
      <w:r>
        <w:t>7.4B.4.2</w:t>
      </w:r>
      <w:r>
        <w:tab/>
      </w:r>
      <w:r>
        <w:t>Test procedure</w:t>
      </w:r>
    </w:p>
    <w:p>
      <w:pPr>
        <w:pStyle w:val="111"/>
        <w:overflowPunct w:val="0"/>
        <w:autoSpaceDE w:val="0"/>
        <w:autoSpaceDN w:val="0"/>
        <w:adjustRightInd w:val="0"/>
        <w:contextualSpacing w:val="0"/>
        <w:textAlignment w:val="baseline"/>
        <w:rPr>
          <w:lang w:eastAsia="zh-TW"/>
        </w:rPr>
      </w:pPr>
      <w:r>
        <w:rPr>
          <w:rFonts w:eastAsia="Malgun Gothic"/>
        </w:rPr>
        <w:t>1.</w:t>
      </w:r>
      <w:r>
        <w:rPr>
          <w:rFonts w:eastAsia="Malgun Gothic"/>
        </w:rPr>
        <w:tab/>
      </w:r>
      <w:r>
        <w:rPr>
          <w:lang w:eastAsia="zh-TW"/>
        </w:rPr>
        <w:t>SS transmits NPDSCH via NPDCCH DCI format N1 for C_RNTI to transmit the DL RMC according to Table 7.</w:t>
      </w:r>
      <w:r>
        <w:rPr>
          <w:rFonts w:eastAsiaTheme="minorEastAsia"/>
          <w:lang w:eastAsia="zh-TW"/>
        </w:rPr>
        <w:t>4</w:t>
      </w:r>
      <w:r>
        <w:rPr>
          <w:lang w:eastAsia="zh-TW"/>
        </w:rPr>
        <w:t>B.</w:t>
      </w:r>
      <w:r>
        <w:rPr>
          <w:rFonts w:eastAsiaTheme="minorEastAsia"/>
          <w:lang w:eastAsia="zh-TW"/>
        </w:rPr>
        <w:t>4</w:t>
      </w:r>
      <w:r>
        <w:rPr>
          <w:lang w:eastAsia="zh-TW"/>
        </w:rPr>
        <w:t>.</w:t>
      </w:r>
      <w:r>
        <w:rPr>
          <w:rFonts w:eastAsiaTheme="minorEastAsia"/>
          <w:lang w:eastAsia="zh-TW"/>
        </w:rPr>
        <w:t>1</w:t>
      </w:r>
      <w:r>
        <w:rPr>
          <w:lang w:eastAsia="zh-TW"/>
        </w:rPr>
        <w:t>-1. The SS sends downlink MAC padding bits on the DL RMC. The UE will send the HARQ feedback based on information contain in DCI format N1.</w:t>
      </w:r>
    </w:p>
    <w:p>
      <w:pPr>
        <w:pStyle w:val="111"/>
        <w:overflowPunct w:val="0"/>
        <w:autoSpaceDE w:val="0"/>
        <w:autoSpaceDN w:val="0"/>
        <w:adjustRightInd w:val="0"/>
        <w:contextualSpacing w:val="0"/>
        <w:textAlignment w:val="baseline"/>
        <w:rPr>
          <w:lang w:eastAsia="zh-TW"/>
        </w:rPr>
      </w:pPr>
      <w:r>
        <w:rPr>
          <w:rFonts w:eastAsia="Malgun Gothic"/>
          <w:lang w:val="en-US"/>
        </w:rPr>
        <w:t>2</w:t>
      </w:r>
      <w:r>
        <w:rPr>
          <w:rFonts w:eastAsia="Malgun Gothic"/>
        </w:rPr>
        <w:t>.</w:t>
      </w:r>
      <w:r>
        <w:rPr>
          <w:rFonts w:eastAsia="Malgun Gothic"/>
        </w:rPr>
        <w:tab/>
      </w:r>
      <w:r>
        <w:rPr>
          <w:rFonts w:hint="eastAsia"/>
          <w:lang w:eastAsia="zh-TW"/>
        </w:rPr>
        <w:t>S</w:t>
      </w:r>
      <w:r>
        <w:rPr>
          <w:lang w:eastAsia="zh-TW"/>
        </w:rPr>
        <w:t>et the Downlink signal level to the value defined in Table 7.4B.5-1.</w:t>
      </w:r>
    </w:p>
    <w:p>
      <w:pPr>
        <w:pStyle w:val="111"/>
        <w:overflowPunct w:val="0"/>
        <w:autoSpaceDE w:val="0"/>
        <w:autoSpaceDN w:val="0"/>
        <w:adjustRightInd w:val="0"/>
        <w:contextualSpacing w:val="0"/>
        <w:textAlignment w:val="baseline"/>
        <w:rPr>
          <w:lang w:eastAsia="zh-TW"/>
        </w:rPr>
      </w:pPr>
      <w:r>
        <w:rPr>
          <w:rFonts w:eastAsia="Malgun Gothic"/>
          <w:lang w:val="en-US"/>
        </w:rPr>
        <w:t>3</w:t>
      </w:r>
      <w:r>
        <w:rPr>
          <w:rFonts w:eastAsia="Malgun Gothic"/>
        </w:rPr>
        <w:t>.</w:t>
      </w:r>
      <w:r>
        <w:rPr>
          <w:rFonts w:eastAsia="Malgun Gothic"/>
        </w:rPr>
        <w:tab/>
      </w:r>
      <w:r>
        <w:rPr>
          <w:rFonts w:hint="eastAsia"/>
          <w:lang w:eastAsia="zh-TW"/>
        </w:rPr>
        <w:t>M</w:t>
      </w:r>
      <w:r>
        <w:rPr>
          <w:lang w:eastAsia="zh-TW"/>
        </w:rPr>
        <w:t>easure the average throughput for a duration sufficient to achieve statistical significance according to TS36.521-1 [14] Annex G.2.</w:t>
      </w:r>
    </w:p>
    <w:p>
      <w:pPr>
        <w:pStyle w:val="9"/>
        <w:ind w:left="0" w:firstLine="0"/>
      </w:pPr>
      <w:r>
        <w:t>7.4B.4.3</w:t>
      </w:r>
      <w:r>
        <w:tab/>
      </w:r>
      <w:r>
        <w:t>Message contents</w:t>
      </w:r>
    </w:p>
    <w:p>
      <w:r>
        <w:t>Message contents are according to TS 36.508 [12] clause 8.1.6.</w:t>
      </w:r>
    </w:p>
    <w:p>
      <w:pPr>
        <w:pStyle w:val="9"/>
      </w:pPr>
      <w:r>
        <w:t>7.4B.5</w:t>
      </w:r>
      <w:r>
        <w:tab/>
      </w:r>
      <w:r>
        <w:t>Test requirement</w:t>
      </w:r>
    </w:p>
    <w:p>
      <w:r>
        <w:t xml:space="preserve">The throughput shall be ≥ 95% of the maximum throughput of the reference measurement channels as specified in TS36.521-1 [14] Annex A.3.2 with parameters specified in Table </w:t>
      </w:r>
      <w:r>
        <w:rPr>
          <w:rFonts w:eastAsia="MS Mincho"/>
        </w:rPr>
        <w:t>7.4B.5-1</w:t>
      </w:r>
      <w:r>
        <w:t>.</w:t>
      </w:r>
    </w:p>
    <w:p>
      <w:pPr>
        <w:pStyle w:val="113"/>
      </w:pPr>
      <w:r>
        <w:t xml:space="preserve">Table </w:t>
      </w:r>
      <w:r>
        <w:rPr>
          <w:rFonts w:eastAsia="MS Mincho"/>
        </w:rPr>
        <w:t>7.4B.5-1</w:t>
      </w:r>
      <w:r>
        <w:t>: Maximum input level for category NB1 and NB2</w:t>
      </w:r>
    </w:p>
    <w:tbl>
      <w:tblPr>
        <w:tblStyle w:val="89"/>
        <w:tblW w:w="7917" w:type="dxa"/>
        <w:tblInd w:w="1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51"/>
        <w:gridCol w:w="851"/>
        <w:gridCol w:w="45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2551" w:type="dxa"/>
          </w:tcPr>
          <w:p>
            <w:pPr>
              <w:pStyle w:val="104"/>
            </w:pPr>
            <w:r>
              <w:t>Rx Parameter</w:t>
            </w:r>
          </w:p>
        </w:tc>
        <w:tc>
          <w:tcPr>
            <w:tcW w:w="851" w:type="dxa"/>
          </w:tcPr>
          <w:p>
            <w:pPr>
              <w:pStyle w:val="104"/>
            </w:pPr>
            <w:r>
              <w:t>Units</w:t>
            </w:r>
          </w:p>
        </w:tc>
        <w:tc>
          <w:tcPr>
            <w:tcW w:w="4515" w:type="dxa"/>
          </w:tcPr>
          <w:p>
            <w:pPr>
              <w:pStyle w:val="104"/>
            </w:pPr>
            <w:r>
              <w:t>Maximum input level test requirement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51" w:type="dxa"/>
          </w:tcPr>
          <w:p>
            <w:pPr>
              <w:pStyle w:val="103"/>
              <w:rPr>
                <w:rFonts w:cs="Arial"/>
              </w:rPr>
            </w:pPr>
            <w:r>
              <w:rPr>
                <w:rFonts w:cs="Arial"/>
              </w:rPr>
              <w:t>Power in Transmission Bandwidth Configuration</w:t>
            </w:r>
          </w:p>
        </w:tc>
        <w:tc>
          <w:tcPr>
            <w:tcW w:w="851" w:type="dxa"/>
            <w:vAlign w:val="center"/>
          </w:tcPr>
          <w:p>
            <w:pPr>
              <w:pStyle w:val="105"/>
              <w:rPr>
                <w:rFonts w:cs="Arial"/>
              </w:rPr>
            </w:pPr>
            <w:r>
              <w:rPr>
                <w:rFonts w:cs="Arial"/>
              </w:rPr>
              <w:t>dBm</w:t>
            </w:r>
          </w:p>
        </w:tc>
        <w:tc>
          <w:tcPr>
            <w:tcW w:w="4515" w:type="dxa"/>
            <w:vAlign w:val="center"/>
          </w:tcPr>
          <w:p>
            <w:pPr>
              <w:pStyle w:val="103"/>
              <w:jc w:val="center"/>
              <w:rPr>
                <w:rFonts w:cs="Arial"/>
              </w:rPr>
            </w:pPr>
            <w:r>
              <w:rPr>
                <w:rFonts w:cs="Arial"/>
              </w:rPr>
              <w:t>For carrier frequency f ≤ 3.0GHz: -40 +TT</w:t>
            </w:r>
          </w:p>
        </w:tc>
      </w:tr>
    </w:tbl>
    <w:p>
      <w:pPr>
        <w:rPr>
          <w:lang w:eastAsia="zh-TW"/>
        </w:rPr>
      </w:pPr>
    </w:p>
    <w:p>
      <w:pPr>
        <w:pStyle w:val="4"/>
      </w:pPr>
      <w:bookmarkStart w:id="783" w:name="_Toc13852"/>
      <w:bookmarkStart w:id="784" w:name="_Toc1965"/>
      <w:bookmarkStart w:id="785" w:name="_Toc28663"/>
      <w:r>
        <w:t>7.5</w:t>
      </w:r>
      <w:r>
        <w:tab/>
      </w:r>
      <w:r>
        <w:t>Adjacent Channel Selectivity (ACS)</w:t>
      </w:r>
      <w:bookmarkEnd w:id="778"/>
      <w:bookmarkEnd w:id="779"/>
      <w:bookmarkEnd w:id="780"/>
      <w:bookmarkEnd w:id="781"/>
      <w:bookmarkEnd w:id="783"/>
      <w:bookmarkEnd w:id="784"/>
      <w:bookmarkEnd w:id="785"/>
    </w:p>
    <w:p>
      <w:pPr>
        <w:pStyle w:val="4"/>
      </w:pPr>
      <w:bookmarkStart w:id="786" w:name="_Toc9490"/>
      <w:bookmarkStart w:id="787" w:name="_Toc28721"/>
      <w:bookmarkStart w:id="788" w:name="_Toc121162890"/>
      <w:bookmarkStart w:id="789" w:name="_Toc10614"/>
      <w:bookmarkStart w:id="790" w:name="_Toc120570098"/>
      <w:r>
        <w:t>7.5A</w:t>
      </w:r>
      <w:r>
        <w:tab/>
      </w:r>
      <w:r>
        <w:t>Adjacent Channel Selectivity for category M1</w:t>
      </w:r>
      <w:bookmarkEnd w:id="786"/>
      <w:bookmarkEnd w:id="787"/>
      <w:bookmarkEnd w:id="788"/>
      <w:bookmarkEnd w:id="789"/>
      <w:bookmarkEnd w:id="790"/>
    </w:p>
    <w:p>
      <w:pPr>
        <w:pStyle w:val="112"/>
        <w:rPr>
          <w:i/>
        </w:rPr>
      </w:pPr>
      <w:bookmarkStart w:id="791" w:name="_Toc120570099"/>
      <w:bookmarkStart w:id="792" w:name="_Toc121162891"/>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Test Points analysis is TBD</w:t>
      </w:r>
    </w:p>
    <w:p>
      <w:pPr>
        <w:pStyle w:val="112"/>
        <w:rPr>
          <w:i/>
        </w:rPr>
      </w:pPr>
      <w:r>
        <w:rPr>
          <w:i/>
        </w:rPr>
        <w:t>- Test configuration is TBD</w:t>
      </w:r>
    </w:p>
    <w:p>
      <w:pPr>
        <w:pStyle w:val="9"/>
      </w:pPr>
      <w:r>
        <w:t>7.5A.1</w:t>
      </w:r>
      <w:r>
        <w:tab/>
      </w:r>
      <w:r>
        <w:t>Test purpose</w:t>
      </w:r>
    </w:p>
    <w:p>
      <w:r>
        <w:t>Adjacent channel selectivity tests the ability</w:t>
      </w:r>
      <w:r>
        <w:rPr>
          <w:lang w:eastAsia="zh-TW"/>
        </w:rPr>
        <w:t xml:space="preserve"> of category M1 UE</w:t>
      </w:r>
      <w:r>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7.5A.2</w:t>
      </w:r>
      <w:r>
        <w:tab/>
      </w:r>
      <w:r>
        <w:t>Test applicability</w:t>
      </w:r>
    </w:p>
    <w:p>
      <w:r>
        <w:t xml:space="preserve">This test applies to all types of E-UTRA UE release 17 and forward of category </w:t>
      </w:r>
      <w:r>
        <w:rPr>
          <w:lang w:eastAsia="zh-TW"/>
        </w:rPr>
        <w:t>M1 that support satellite access operation</w:t>
      </w:r>
      <w:r>
        <w:t>.</w:t>
      </w:r>
    </w:p>
    <w:p>
      <w:pPr>
        <w:pStyle w:val="9"/>
      </w:pPr>
      <w:r>
        <w:t>7.5A.3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Pr>
          <w:rFonts w:hint="eastAsia"/>
          <w:i/>
          <w:color w:val="0000FF"/>
          <w:lang w:eastAsia="zh-TW"/>
        </w:rPr>
        <w:t xml:space="preserve"> </w:t>
      </w:r>
    </w:p>
    <w:p>
      <w:pPr>
        <w:rPr>
          <w:rFonts w:eastAsia="Osaka" w:cs="v5.0.0"/>
        </w:rPr>
      </w:pPr>
      <w:r>
        <w:t xml:space="preserve">The UE shall fulfil the minimum requirement specified in Table 7.5A.3-1 for all values of an adjacent channel interferer up to </w:t>
      </w:r>
      <w:r>
        <w:rPr>
          <w:rFonts w:eastAsia="MS Mincho"/>
        </w:rPr>
        <w:t>–</w:t>
      </w:r>
      <w:r>
        <w:t xml:space="preserve">40 dBm. However it is not possible to directly measure the ACS, instead the lower and upper range of test parameters are chosen in Table 7.5A.3-2 and Table 7.5A.3-3 where the </w:t>
      </w:r>
      <w:r>
        <w:rPr>
          <w:rFonts w:eastAsia="Osaka" w:cs="v5.0.0"/>
        </w:rPr>
        <w:t xml:space="preserve">throughput </w:t>
      </w:r>
      <w:r>
        <w:t xml:space="preserve">shall be ≥ 95% of the maximum throughput of the reference measurement channels as specified in </w:t>
      </w:r>
      <w:r>
        <w:rPr>
          <w:color w:val="000000" w:themeColor="text1"/>
          <w14:textFill>
            <w14:solidFill>
              <w14:schemeClr w14:val="tx1"/>
            </w14:solidFill>
          </w14:textFill>
        </w:rPr>
        <w:t xml:space="preserve">TS 36.101 [7] </w:t>
      </w:r>
      <w:r>
        <w:t xml:space="preserve">Annexes A.2.2, A.2.3 and A.3.2 (with one sided dynamic OCNG Pattern OP.1 FDD for the DL-signal as described in </w:t>
      </w:r>
      <w:r>
        <w:rPr>
          <w:color w:val="000000" w:themeColor="text1"/>
          <w14:textFill>
            <w14:solidFill>
              <w14:schemeClr w14:val="tx1"/>
            </w14:solidFill>
          </w14:textFill>
        </w:rPr>
        <w:t xml:space="preserve">TS 36.101 [7] </w:t>
      </w:r>
      <w:r>
        <w:t>Annex A.5.1.1)</w:t>
      </w:r>
      <w:r>
        <w:rPr>
          <w:rFonts w:eastAsia="Osaka" w:cs="v5.0.0"/>
        </w:rPr>
        <w:t xml:space="preserve">. </w:t>
      </w:r>
      <w:r>
        <w:t>For operating bands with an unpaired DL part (as noted in Table 5.5-1), the requirements only apply for carriers assigned in the paired part.</w:t>
      </w:r>
    </w:p>
    <w:p>
      <w:pPr>
        <w:pStyle w:val="113"/>
        <w:rPr>
          <w:rFonts w:cstheme="minorBidi"/>
        </w:rPr>
      </w:pPr>
      <w:r>
        <w:t xml:space="preserve">Table </w:t>
      </w:r>
      <w:r>
        <w:rPr>
          <w:rFonts w:eastAsia="MS Mincho"/>
        </w:rPr>
        <w:t>7.5A.3-1</w:t>
      </w:r>
      <w:r>
        <w:t>: Adjacent channel selectivity</w:t>
      </w:r>
    </w:p>
    <w:tbl>
      <w:tblPr>
        <w:tblStyle w:val="89"/>
        <w:tblW w:w="7290" w:type="dxa"/>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910"/>
        <w:gridCol w:w="4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7.5A.3-2</w:t>
      </w:r>
      <w:r>
        <w:t>: Test parameters for Adjacent channel selectivity, Case 1</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78"/>
        <w:gridCol w:w="871"/>
        <w:gridCol w:w="5496"/>
        <w:gridCol w:w="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44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794" w:type="pct"/>
            <w:gridSpan w:val="2"/>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4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794" w:type="pct"/>
            <w:gridSpan w:val="2"/>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rPr>
            </w:pPr>
            <w:r>
              <w:rPr>
                <w:rFonts w:cs="Arial"/>
              </w:rPr>
              <w:t>Power in Transmission Bandwidth Configuration</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4" w:type="pct"/>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vAlign w:val="bottom"/>
          </w:tcPr>
          <w:p>
            <w:pPr>
              <w:pStyle w:val="103"/>
              <w:rPr>
                <w:rFonts w:cs="Arial"/>
              </w:rPr>
            </w:pPr>
            <w:r>
              <w:rPr>
                <w:rFonts w:eastAsia="MS Mincho" w:cs="Arial"/>
                <w:bCs/>
              </w:rPr>
              <w:t>P</w:t>
            </w:r>
            <w:r>
              <w:rPr>
                <w:rFonts w:eastAsia="MS Mincho" w:cs="Arial"/>
                <w:bCs/>
                <w:vertAlign w:val="subscript"/>
              </w:rPr>
              <w:t>Interferer</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4"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BW</w:t>
            </w:r>
            <w:r>
              <w:rPr>
                <w:rFonts w:eastAsia="MS Mincho" w:cs="Arial"/>
                <w:bCs/>
                <w:vertAlign w:val="subscript"/>
              </w:rPr>
              <w:t xml:space="preserve">Interferer </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4"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4"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pct"/>
          <w:trHeight w:val="398" w:hRule="atLeast"/>
          <w:jc w:val="center"/>
        </w:trPr>
        <w:tc>
          <w:tcPr>
            <w:tcW w:w="4994" w:type="pct"/>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strike/>
              </w:rPr>
            </w:pPr>
            <w:r>
              <w:rPr>
                <w:rFonts w:eastAsia="MS Mincho" w:cs="Arial"/>
              </w:rPr>
              <w:t>NOTE 4:</w:t>
            </w:r>
            <w:r>
              <w:rPr>
                <w:rFonts w:eastAsia="MS Mincho" w:cs="Arial"/>
              </w:rP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7.5A.3-3</w:t>
      </w:r>
      <w:r>
        <w:t>: Test parameters for Adjacent channel selectivity, Case 2</w:t>
      </w:r>
    </w:p>
    <w:tbl>
      <w:tblPr>
        <w:tblStyle w:val="89"/>
        <w:tblW w:w="5000" w:type="pct"/>
        <w:tblInd w:w="0" w:type="dxa"/>
        <w:tblLayout w:type="fixed"/>
        <w:tblCellMar>
          <w:top w:w="0" w:type="dxa"/>
          <w:left w:w="108" w:type="dxa"/>
          <w:bottom w:w="0" w:type="dxa"/>
          <w:right w:w="108" w:type="dxa"/>
        </w:tblCellMar>
      </w:tblPr>
      <w:tblGrid>
        <w:gridCol w:w="3478"/>
        <w:gridCol w:w="871"/>
        <w:gridCol w:w="5508"/>
      </w:tblGrid>
      <w:tr>
        <w:tc>
          <w:tcPr>
            <w:tcW w:w="1764"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44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795"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c>
          <w:tcPr>
            <w:tcW w:w="1764"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4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795"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vAlign w:val="center"/>
          </w:tcPr>
          <w:p>
            <w:pPr>
              <w:pStyle w:val="103"/>
              <w:rPr>
                <w:rFonts w:cs="Arial"/>
                <w:i/>
              </w:rPr>
            </w:pPr>
            <w:r>
              <w:rPr>
                <w:rFonts w:cs="Arial"/>
              </w:rPr>
              <w:t>Power in Transmission Bandwidth Configuration</w:t>
            </w:r>
          </w:p>
        </w:tc>
        <w:tc>
          <w:tcPr>
            <w:tcW w:w="442"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dBm</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vAlign w:val="bottom"/>
          </w:tcPr>
          <w:p>
            <w:pPr>
              <w:pStyle w:val="103"/>
              <w:rPr>
                <w:rFonts w:eastAsia="MS Mincho" w:cs="Arial"/>
                <w:bCs/>
              </w:rPr>
            </w:pPr>
            <w:r>
              <w:rPr>
                <w:rFonts w:eastAsia="MS Mincho" w:cs="Arial"/>
                <w:bCs/>
              </w:rPr>
              <w:t>P</w:t>
            </w:r>
            <w:r>
              <w:rPr>
                <w:rFonts w:eastAsia="MS Mincho" w:cs="Arial"/>
                <w:bCs/>
                <w:vertAlign w:val="subscript"/>
              </w:rPr>
              <w:t>Interferer</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-40</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1.4</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
        <w:trPr>
          <w:trHeight w:val="398" w:hRule="atLeast"/>
        </w:trPr>
        <w:tc>
          <w:tcPr>
            <w:tcW w:w="5000" w:type="pct"/>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NOTE 1:</w:t>
            </w:r>
            <w:r>
              <w:rPr>
                <w:rFonts w:eastAsia="MS Mincho" w:cs="Arial"/>
              </w:rPr>
              <w:tab/>
            </w:r>
            <w:r>
              <w:rPr>
                <w:rFonts w:eastAsia="MS Mincho" w:cs="Arial"/>
              </w:rPr>
              <w:t xml:space="preserve">The transmitter shall be set to 24dB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tc>
      </w:tr>
    </w:tbl>
    <w:p>
      <w:pPr>
        <w:rPr>
          <w:lang w:eastAsia="zh-TW"/>
        </w:rPr>
      </w:pPr>
    </w:p>
    <w:p>
      <w:r>
        <w:t>The normative reference for this requirement is TS 36.102 [11] clause 7.5A.</w:t>
      </w:r>
    </w:p>
    <w:p>
      <w:pPr>
        <w:pStyle w:val="9"/>
      </w:pPr>
      <w:r>
        <w:t>7.5A.4</w:t>
      </w:r>
      <w:r>
        <w:tab/>
      </w:r>
      <w:r>
        <w:t>Test description</w:t>
      </w:r>
    </w:p>
    <w:p>
      <w:pPr>
        <w:pStyle w:val="9"/>
      </w:pPr>
      <w:r>
        <w:t>7.5A.4.1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M1 in clause</w:t>
      </w:r>
      <w:r>
        <w:t xml:space="preserve"> 5.2</w:t>
      </w:r>
      <w:r>
        <w:rPr>
          <w:lang w:eastAsia="zh-TW"/>
        </w:rPr>
        <w:t>E</w:t>
      </w:r>
      <w:r>
        <w:t>. All of these configurations shall be tested with applicable test parameters for each channel bandwidth, and are shown in table 7.</w:t>
      </w:r>
      <w:r>
        <w:rPr>
          <w:lang w:eastAsia="zh-TW"/>
        </w:rPr>
        <w:t>5A</w:t>
      </w:r>
      <w:r>
        <w:t xml:space="preserve">.4.1-1. The details of the uplink and downlink reference measurement channels (RMCs) are specified in TS36.521-1 [14] Annexes A.2 and A.3 respectively. The details of the OCNG patterns used are specified in TS36.521-1 [14] Annex A.5. </w:t>
      </w:r>
      <w:r>
        <w:rPr>
          <w:rFonts w:cs="v5.0.0"/>
        </w:rPr>
        <w:t xml:space="preserve">Configurations of PDSCH and </w:t>
      </w:r>
      <w:r>
        <w:rPr>
          <w:rFonts w:cs="v5.0.0"/>
          <w:lang w:eastAsia="zh-TW"/>
        </w:rPr>
        <w:t>M</w:t>
      </w:r>
      <w:r>
        <w:rPr>
          <w:rFonts w:cs="v5.0.0"/>
        </w:rPr>
        <w:t>PDCCH before measurement are specified in TS36.521-1 [14] Annex C.2.</w:t>
      </w:r>
    </w:p>
    <w:p>
      <w:pPr>
        <w:pStyle w:val="113"/>
        <w:rPr>
          <w:lang w:eastAsia="zh-TW"/>
        </w:rPr>
      </w:pPr>
      <w:r>
        <w:t>Table 7.5</w:t>
      </w:r>
      <w:r>
        <w:rPr>
          <w:lang w:eastAsia="zh-TW"/>
        </w:rPr>
        <w:t>A</w:t>
      </w:r>
      <w:r>
        <w:t>.4.1-1: Test Configuration Table</w:t>
      </w:r>
      <w:r>
        <w:rPr>
          <w:lang w:eastAsia="zh-TW"/>
        </w:rPr>
        <w:t xml:space="preserve"> RX test cases UE Cat-M1</w:t>
      </w:r>
    </w:p>
    <w:p>
      <w:pPr>
        <w:jc w:val="center"/>
      </w:pPr>
      <w:r>
        <w:t>FFS</w:t>
      </w:r>
    </w:p>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2</w:t>
      </w:r>
      <w:r>
        <w:rPr>
          <w:rFonts w:eastAsia="Malgun Gothic"/>
        </w:rPr>
        <w:t>.</w:t>
      </w:r>
      <w:r>
        <w:rPr>
          <w:rFonts w:eastAsia="Malgun Gothic"/>
        </w:rPr>
        <w:tab/>
      </w:r>
      <w:r>
        <w:rPr>
          <w:rFonts w:eastAsia="Malgun Gothic"/>
        </w:rPr>
        <w:t>The parameter settings for the cell are set up according to TS 36.508 [7] subclause 4.4.3.</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3</w:t>
      </w:r>
      <w:r>
        <w:rPr>
          <w:rFonts w:eastAsia="Malgun Gothic"/>
        </w:rPr>
        <w:t>.</w:t>
      </w:r>
      <w:r>
        <w:rPr>
          <w:rFonts w:eastAsia="Malgun Gothic"/>
        </w:rPr>
        <w:tab/>
      </w:r>
      <w:r>
        <w:rPr>
          <w:rFonts w:eastAsia="Malgun Gothic"/>
        </w:rPr>
        <w:t>Downlink signals are initially set up according to TS36.521-1 [14] Annex C0, C.1 and C.3.1, and uplink signals according to Annex H.1 and H.3.1.</w:t>
      </w:r>
    </w:p>
    <w:p>
      <w:pPr>
        <w:pStyle w:val="111"/>
        <w:overflowPunct w:val="0"/>
        <w:autoSpaceDE w:val="0"/>
        <w:autoSpaceDN w:val="0"/>
        <w:adjustRightInd w:val="0"/>
        <w:contextualSpacing w:val="0"/>
        <w:textAlignment w:val="baseline"/>
        <w:rPr>
          <w:rFonts w:eastAsia="Malgun Gothic"/>
          <w:lang w:eastAsia="zh-TW"/>
        </w:rPr>
      </w:pPr>
      <w:r>
        <w:rPr>
          <w:rFonts w:eastAsia="Malgun Gothic"/>
          <w:lang w:val="en-US"/>
        </w:rPr>
        <w:t>4</w:t>
      </w:r>
      <w:r>
        <w:rPr>
          <w:rFonts w:eastAsia="Malgun Gothic"/>
        </w:rPr>
        <w:t>.</w:t>
      </w:r>
      <w:r>
        <w:rPr>
          <w:rFonts w:eastAsia="Malgun Gothic"/>
        </w:rPr>
        <w:tab/>
      </w:r>
      <w:r>
        <w:rPr>
          <w:rFonts w:eastAsia="Malgun Gothic"/>
        </w:rPr>
        <w:t>The UL and DL Reference Measurement channels are set according to Table 7.</w:t>
      </w:r>
      <w:r>
        <w:rPr>
          <w:rFonts w:eastAsia="Malgun Gothic"/>
          <w:lang w:eastAsia="zh-TW"/>
        </w:rPr>
        <w:t>5A</w:t>
      </w:r>
      <w:r>
        <w:rPr>
          <w:rFonts w:eastAsia="Malgun Gothic"/>
        </w:rPr>
        <w:t>.4.1-1.</w:t>
      </w:r>
    </w:p>
    <w:p>
      <w:pPr>
        <w:pStyle w:val="111"/>
        <w:overflowPunct w:val="0"/>
        <w:autoSpaceDE w:val="0"/>
        <w:autoSpaceDN w:val="0"/>
        <w:adjustRightInd w:val="0"/>
        <w:contextualSpacing w:val="0"/>
        <w:textAlignment w:val="baseline"/>
        <w:rPr>
          <w:rFonts w:eastAsia="Malgun Gothic"/>
        </w:rPr>
      </w:pPr>
      <w:r>
        <w:rPr>
          <w:rFonts w:eastAsia="Malgun Gothic"/>
          <w:lang w:val="en-US"/>
        </w:rPr>
        <w:t>5</w:t>
      </w:r>
      <w:r>
        <w:rPr>
          <w:rFonts w:eastAsia="Malgun Gothic"/>
        </w:rPr>
        <w:t>.</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hint="eastAsia" w:eastAsia="Malgun Gothic"/>
        </w:rPr>
      </w:pPr>
      <w:r>
        <w:rPr>
          <w:rFonts w:hint="eastAsia" w:eastAsia="Malgun Gothic"/>
        </w:rPr>
        <w:t>6.</w:t>
      </w:r>
      <w:r>
        <w:rPr>
          <w:rFonts w:hint="eastAsia" w:eastAsia="Malgun Gothic"/>
        </w:rPr>
        <w:tab/>
      </w:r>
      <w:r>
        <w:rPr>
          <w:rFonts w:hint="eastAsia" w:eastAsia="Malgun Gothic"/>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eastAsia="Malgun Gothic"/>
        </w:rPr>
      </w:pPr>
      <w:r>
        <w:rPr>
          <w:rFonts w:hint="eastAsia" w:eastAsia="Malgun Gothic"/>
        </w:rPr>
        <w:t>7.</w:t>
      </w:r>
      <w:r>
        <w:rPr>
          <w:rFonts w:hint="eastAsia" w:eastAsia="Malgun Gothic"/>
        </w:rPr>
        <w:tab/>
      </w:r>
      <w:r>
        <w:rPr>
          <w:rFonts w:hint="eastAsia" w:eastAsia="Malgun Gothic"/>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Malgun Gothic"/>
          <w:lang w:eastAsia="zh-TW"/>
        </w:rPr>
      </w:pPr>
      <w:r>
        <w:rPr>
          <w:rFonts w:hint="eastAsia" w:eastAsia="Malgun Gothic"/>
        </w:rPr>
        <w:t>8.</w:t>
      </w:r>
      <w:r>
        <w:rPr>
          <w:rFonts w:hint="eastAsia" w:eastAsia="Malgun Gothic"/>
        </w:rPr>
        <w:tab/>
      </w:r>
      <w:r>
        <w:rPr>
          <w:rFonts w:hint="eastAsia" w:eastAsia="Malgun Gothic"/>
        </w:rPr>
        <w:t>Ensure the UE is in State 3A-RF-CE according to TS 36.508 [7] clause 5.2A.2AA. Message contents are defined in clause 7.5A.4.3.</w:t>
      </w:r>
    </w:p>
    <w:p>
      <w:pPr>
        <w:pStyle w:val="9"/>
        <w:ind w:left="0" w:firstLine="0"/>
      </w:pPr>
      <w:r>
        <w:t>7.5A.4.2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 xml:space="preserve">SS transmits PDSCH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1A for C_RNTI to transmit the DL RMC according to Table 7.5</w:t>
      </w:r>
      <w:r>
        <w:rPr>
          <w:rFonts w:eastAsia="Malgun Gothic"/>
          <w:lang w:eastAsia="zh-TW"/>
        </w:rPr>
        <w:t>A</w:t>
      </w:r>
      <w:r>
        <w:rPr>
          <w:rFonts w:eastAsia="Malgun Gothic"/>
        </w:rPr>
        <w:t>.4.1-1. The SS sends downlink MAC padding bits on the DL RMC.</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 xml:space="preserve">SS sends uplink scheduling information for each UL HARQ process via </w:t>
      </w:r>
      <w:r>
        <w:rPr>
          <w:rFonts w:eastAsia="Malgun Gothic"/>
          <w:lang w:eastAsia="zh-TW"/>
        </w:rPr>
        <w:t>M-</w:t>
      </w:r>
      <w:r>
        <w:rPr>
          <w:rFonts w:eastAsia="Malgun Gothic"/>
        </w:rPr>
        <w:t xml:space="preserve">PDCCH DCI format </w:t>
      </w:r>
      <w:r>
        <w:rPr>
          <w:rFonts w:eastAsia="Malgun Gothic"/>
          <w:lang w:eastAsia="zh-TW"/>
        </w:rPr>
        <w:t>6-</w:t>
      </w:r>
      <w:r>
        <w:rPr>
          <w:rFonts w:eastAsia="Malgun Gothic"/>
        </w:rPr>
        <w:t>0</w:t>
      </w:r>
      <w:r>
        <w:rPr>
          <w:rFonts w:eastAsia="Malgun Gothic"/>
          <w:lang w:eastAsia="zh-TW"/>
        </w:rPr>
        <w:t>A</w:t>
      </w:r>
      <w:r>
        <w:rPr>
          <w:rFonts w:eastAsia="Malgun Gothic"/>
        </w:rPr>
        <w:t xml:space="preserve"> for C_RNTI to schedule the UL RMC according to Table 7.5</w:t>
      </w:r>
      <w:r>
        <w:rPr>
          <w:rFonts w:eastAsia="Malgun Gothic"/>
          <w:lang w:eastAsia="zh-TW"/>
        </w:rPr>
        <w:t>A</w:t>
      </w:r>
      <w:r>
        <w:rPr>
          <w:rFonts w:eastAsia="Malgun Gothic"/>
        </w:rPr>
        <w:t>.4.1-1.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3</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.5-2 (Case 1).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.5-2 (Case 1)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lang w:eastAsia="zh-TW"/>
        </w:rPr>
      </w:pPr>
      <w:r>
        <w:rPr>
          <w:rFonts w:eastAsia="Malgun Gothic"/>
          <w:lang w:eastAsia="zh-TW"/>
        </w:rPr>
        <w:t>4.</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.5-2 (Case 1)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6</w:t>
      </w:r>
      <w:r>
        <w:rPr>
          <w:rFonts w:eastAsia="Malgun Gothic"/>
          <w:lang w:eastAsia="zh-TW"/>
        </w:rPr>
        <w:t>.</w:t>
      </w:r>
      <w:r>
        <w:rPr>
          <w:rFonts w:eastAsia="Malgun Gothic"/>
          <w:lang w:eastAsia="zh-TW"/>
        </w:rPr>
        <w:tab/>
      </w:r>
      <w:r>
        <w:rPr>
          <w:rFonts w:eastAsia="Malgun Gothic"/>
        </w:rPr>
        <w:t>Repeat steps from 3 to 5, using an interfering signal above the wanted signal in Case 1 at step 4.</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7</w:t>
      </w:r>
      <w:r>
        <w:rPr>
          <w:rFonts w:eastAsia="Malgun Gothic"/>
          <w:lang w:eastAsia="zh-TW"/>
        </w:rPr>
        <w:t>.</w:t>
      </w:r>
      <w:r>
        <w:rPr>
          <w:rFonts w:eastAsia="Malgun Gothic"/>
          <w:lang w:eastAsia="zh-TW"/>
        </w:rPr>
        <w:tab/>
      </w:r>
      <w:r>
        <w:rPr>
          <w:rFonts w:eastAsia="Malgun Gothic"/>
        </w:rPr>
        <w:t>Set the Downlink signal level to the value as defined in Table 7.5</w:t>
      </w:r>
      <w:r>
        <w:rPr>
          <w:rFonts w:eastAsia="Malgun Gothic"/>
          <w:lang w:eastAsia="zh-TW"/>
        </w:rPr>
        <w:t>A</w:t>
      </w:r>
      <w:r>
        <w:rPr>
          <w:rFonts w:eastAsia="Malgun Gothic"/>
        </w:rPr>
        <w:t>.5-3 (Case 2). Send Uplink power control commands to the UE (less or equal to 1dB step size should be used), to ensure that the UE output power is within +0, - 3.4 dB of the target level in Table 7.5</w:t>
      </w:r>
      <w:r>
        <w:rPr>
          <w:rFonts w:eastAsia="Malgun Gothic"/>
          <w:lang w:eastAsia="zh-TW"/>
        </w:rPr>
        <w:t>A</w:t>
      </w:r>
      <w:r>
        <w:rPr>
          <w:rFonts w:eastAsia="Malgun Gothic"/>
        </w:rPr>
        <w:t>.5-3 (Case 2) for carrier frequency f ≤ 3.0GHz or within +0, -4.0 dB of the target level for carrier frequency 3.0GHz &lt; f ≤ 4.2GHz, for at least the duration of the Throughput measurement.</w:t>
      </w:r>
    </w:p>
    <w:p>
      <w:pPr>
        <w:pStyle w:val="111"/>
        <w:overflowPunct w:val="0"/>
        <w:autoSpaceDE w:val="0"/>
        <w:autoSpaceDN w:val="0"/>
        <w:adjustRightInd w:val="0"/>
        <w:contextualSpacing w:val="0"/>
        <w:textAlignment w:val="baseline"/>
        <w:rPr>
          <w:rFonts w:eastAsia="Malgun Gothic"/>
        </w:rPr>
      </w:pPr>
      <w:r>
        <w:rPr>
          <w:rFonts w:eastAsia="Malgun Gothic"/>
          <w:lang w:eastAsia="zh-TW"/>
        </w:rPr>
        <w:t>8.</w:t>
      </w:r>
      <w:r>
        <w:rPr>
          <w:rFonts w:eastAsia="Malgun Gothic"/>
          <w:lang w:eastAsia="zh-TW"/>
        </w:rPr>
        <w:tab/>
      </w:r>
      <w:r>
        <w:rPr>
          <w:rFonts w:eastAsia="Malgun Gothic"/>
        </w:rPr>
        <w:t>Set the Interferer signal level to the value as defined in Table 7.5</w:t>
      </w:r>
      <w:r>
        <w:rPr>
          <w:rFonts w:eastAsia="Malgun Gothic"/>
          <w:lang w:eastAsia="zh-TW"/>
        </w:rPr>
        <w:t>A</w:t>
      </w:r>
      <w:r>
        <w:rPr>
          <w:rFonts w:eastAsia="Malgun Gothic"/>
        </w:rPr>
        <w:t>.5-3 (Case 2) and frequency below the wanted signal, using a modulated interferer bandwidth as defined in Annex D of the present document.</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9</w:t>
      </w:r>
      <w:r>
        <w:rPr>
          <w:rFonts w:eastAsia="Malgun Gothic"/>
          <w:lang w:eastAsia="zh-TW"/>
        </w:rPr>
        <w:t>.</w:t>
      </w:r>
      <w:r>
        <w:rPr>
          <w:rFonts w:eastAsia="Malgun Gothic"/>
          <w:lang w:eastAsia="zh-TW"/>
        </w:rPr>
        <w:tab/>
      </w:r>
      <w:r>
        <w:rPr>
          <w:rFonts w:eastAsia="Malgun Gothic"/>
        </w:rP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rPr>
          <w:rFonts w:eastAsia="Malgun Gothic"/>
        </w:rPr>
      </w:pPr>
      <w:r>
        <w:rPr>
          <w:rFonts w:hint="eastAsia" w:eastAsia="Malgun Gothic"/>
          <w:lang w:eastAsia="zh-TW"/>
        </w:rPr>
        <w:t>1</w:t>
      </w:r>
      <w:r>
        <w:rPr>
          <w:rFonts w:eastAsia="Malgun Gothic"/>
          <w:lang w:eastAsia="zh-TW"/>
        </w:rPr>
        <w:t>0.</w:t>
      </w:r>
      <w:r>
        <w:rPr>
          <w:rFonts w:eastAsia="Malgun Gothic"/>
          <w:lang w:eastAsia="zh-TW"/>
        </w:rPr>
        <w:tab/>
      </w:r>
      <w:r>
        <w:rPr>
          <w:rFonts w:eastAsia="Malgun Gothic"/>
        </w:rPr>
        <w:t>Repeat steps from 7 to 9, using an interfering signal above the wanted signal in Case 2 at step 8.</w:t>
      </w:r>
    </w:p>
    <w:p>
      <w:pPr>
        <w:pStyle w:val="111"/>
        <w:overflowPunct w:val="0"/>
        <w:autoSpaceDE w:val="0"/>
        <w:autoSpaceDN w:val="0"/>
        <w:adjustRightInd w:val="0"/>
        <w:contextualSpacing w:val="0"/>
        <w:textAlignment w:val="baseline"/>
        <w:rPr>
          <w:rFonts w:eastAsia="Malgun Gothic"/>
          <w:lang w:eastAsia="zh-TW"/>
        </w:rPr>
      </w:pPr>
      <w:r>
        <w:rPr>
          <w:rFonts w:hint="eastAsia" w:eastAsia="Malgun Gothic"/>
          <w:lang w:eastAsia="zh-TW"/>
        </w:rPr>
        <w:t>1</w:t>
      </w:r>
      <w:r>
        <w:rPr>
          <w:rFonts w:eastAsia="Malgun Gothic"/>
          <w:lang w:eastAsia="zh-TW"/>
        </w:rPr>
        <w:t>1.</w:t>
      </w:r>
      <w:r>
        <w:rPr>
          <w:rFonts w:eastAsia="Malgun Gothic"/>
          <w:lang w:eastAsia="zh-TW"/>
        </w:rPr>
        <w:tab/>
      </w:r>
      <w:r>
        <w:rPr>
          <w:rFonts w:eastAsia="Malgun Gothic"/>
        </w:rPr>
        <w:t>Repeat for applicable channel bandwidths and operating band combinations in both Case 1 and Case 2.</w:t>
      </w:r>
    </w:p>
    <w:p>
      <w:pPr>
        <w:pStyle w:val="9"/>
      </w:pPr>
      <w:r>
        <w:t>7.5A.4.3</w:t>
      </w:r>
      <w:r>
        <w:tab/>
      </w:r>
      <w:r>
        <w:t>Message contents</w:t>
      </w:r>
    </w:p>
    <w:p>
      <w:r>
        <w:t>Message contents are according to TS 36.508 [12] subclause 4.6</w:t>
      </w:r>
      <w:r>
        <w:rPr>
          <w:rFonts w:eastAsia="宋体"/>
        </w:rPr>
        <w:t xml:space="preserve"> w</w:t>
      </w:r>
      <w:r>
        <w:t xml:space="preserve">ith the </w:t>
      </w:r>
      <w:r>
        <w:rPr>
          <w:rFonts w:eastAsia="宋体"/>
        </w:rPr>
        <w:t xml:space="preserve">following </w:t>
      </w:r>
      <w:r>
        <w:t>exception.</w:t>
      </w:r>
    </w:p>
    <w:p>
      <w:pPr>
        <w:pStyle w:val="113"/>
      </w:pPr>
      <w:r>
        <w:t xml:space="preserve">Table </w:t>
      </w:r>
      <w:r>
        <w:rPr>
          <w:rFonts w:eastAsia="宋体"/>
        </w:rPr>
        <w:t>7.5</w:t>
      </w:r>
      <w:r>
        <w:rPr>
          <w:lang w:eastAsia="zh-TW"/>
        </w:rPr>
        <w:t>A</w:t>
      </w:r>
      <w:r>
        <w:rPr>
          <w:rFonts w:eastAsia="宋体"/>
        </w:rPr>
        <w:t>.4.</w:t>
      </w:r>
      <w:r>
        <w:t>3</w:t>
      </w:r>
      <w:r>
        <w:rPr>
          <w:rFonts w:eastAsia="宋体"/>
        </w:rPr>
        <w:t>-</w:t>
      </w:r>
      <w:r>
        <w:t>1: UplinkPowerControlDedicated</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p0-UePUSCH </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p0-uePUCCH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rPr>
                <w:rFonts w:eastAsia="宋体"/>
              </w:rPr>
              <w:t>f</w:t>
            </w:r>
            <w:r>
              <w:t>c</w:t>
            </w:r>
            <w:r>
              <w:rPr>
                <w:rFonts w:eastAsia="宋体"/>
              </w:rPr>
              <w:t>8</w:t>
            </w:r>
          </w:p>
        </w:tc>
        <w:tc>
          <w:tcPr>
            <w:tcW w:w="1701" w:type="dxa"/>
            <w:tcBorders>
              <w:top w:val="single" w:color="auto" w:sz="4" w:space="0"/>
              <w:left w:val="single" w:color="auto" w:sz="4" w:space="0"/>
              <w:bottom w:val="single" w:color="auto" w:sz="4" w:space="0"/>
              <w:right w:val="single" w:color="auto" w:sz="4" w:space="0"/>
            </w:tcBorders>
          </w:tcPr>
          <w:p>
            <w:pPr>
              <w:pStyle w:val="103"/>
            </w:pPr>
            <w:r>
              <w:rPr>
                <w:rFonts w:eastAsia="宋体"/>
              </w:rPr>
              <w:t>larger</w:t>
            </w:r>
            <w:r>
              <w:t xml:space="preserve"> filter length </w:t>
            </w:r>
            <w:r>
              <w:rPr>
                <w:rFonts w:eastAsia="宋体"/>
              </w:rPr>
              <w:t xml:space="preserve">is used </w:t>
            </w:r>
            <w:r>
              <w:t xml:space="preserve">to </w:t>
            </w:r>
            <w:r>
              <w:rPr>
                <w:rFonts w:eastAsia="宋体"/>
              </w:rPr>
              <w:t>reduce</w:t>
            </w:r>
            <w:r>
              <w:t xml:space="preserv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7.5A.5</w:t>
      </w:r>
      <w:r>
        <w:tab/>
      </w:r>
      <w:r>
        <w:t>Test requirement</w:t>
      </w:r>
    </w:p>
    <w:p>
      <w:r>
        <w:t xml:space="preserve">The </w:t>
      </w:r>
      <w:r>
        <w:rPr>
          <w:rFonts w:eastAsia="Osaka"/>
        </w:rPr>
        <w:t xml:space="preserve">throughput </w:t>
      </w:r>
      <w:r>
        <w:rPr>
          <w:i/>
          <w:iCs/>
        </w:rPr>
        <w:t>R</w:t>
      </w:r>
      <w:r>
        <w:rPr>
          <w:i/>
          <w:iCs/>
          <w:vertAlign w:val="subscript"/>
        </w:rPr>
        <w:t xml:space="preserve">av </w:t>
      </w:r>
      <w:r>
        <w:t xml:space="preserve">shall be ≥ 95% of the maximum throughput of the reference measurement channels as specified in TS36.521-1 [14] Annex </w:t>
      </w:r>
      <w:r>
        <w:rPr>
          <w:lang w:eastAsia="zh-TW"/>
        </w:rPr>
        <w:t xml:space="preserve">A.2.2, A.2.3 and </w:t>
      </w:r>
      <w:r>
        <w:t xml:space="preserve">A.3.2 </w:t>
      </w:r>
      <w:r>
        <w:rPr>
          <w:lang w:eastAsia="zh-TW"/>
        </w:rPr>
        <w:t>with</w:t>
      </w:r>
      <w:r>
        <w:t xml:space="preserve"> </w:t>
      </w:r>
      <w:r>
        <w:rPr>
          <w:lang w:eastAsia="zh-TW"/>
        </w:rPr>
        <w:t>parameters</w:t>
      </w:r>
      <w:r>
        <w:t xml:space="preserve"> specified in table 7.5</w:t>
      </w:r>
      <w:r>
        <w:rPr>
          <w:lang w:eastAsia="zh-TW"/>
        </w:rPr>
        <w:t>A</w:t>
      </w:r>
      <w:r>
        <w:t>.5-2, and also under the conditions specified in table 7.5</w:t>
      </w:r>
      <w:r>
        <w:rPr>
          <w:lang w:eastAsia="zh-TW"/>
        </w:rPr>
        <w:t>A</w:t>
      </w:r>
      <w:r>
        <w:t>.5-3.</w:t>
      </w:r>
    </w:p>
    <w:p>
      <w:pPr>
        <w:pStyle w:val="113"/>
        <w:rPr>
          <w:rFonts w:cstheme="minorBidi"/>
        </w:rPr>
      </w:pPr>
      <w:r>
        <w:t xml:space="preserve">Table </w:t>
      </w:r>
      <w:r>
        <w:rPr>
          <w:rFonts w:eastAsia="MS Mincho"/>
        </w:rPr>
        <w:t>7.5A.5-1</w:t>
      </w:r>
      <w:r>
        <w:t>: Adjacent channel selectivity</w:t>
      </w:r>
    </w:p>
    <w:tbl>
      <w:tblPr>
        <w:tblStyle w:val="89"/>
        <w:tblW w:w="7290" w:type="dxa"/>
        <w:tblInd w:w="13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910"/>
        <w:gridCol w:w="4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59"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910"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4821" w:type="dxa"/>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1.4</w:t>
            </w:r>
            <w:r>
              <w:rPr>
                <w:rFonts w:cs="Arial"/>
              </w:rPr>
              <w:br w:type="textWrapping"/>
            </w:r>
            <w:r>
              <w:rPr>
                <w:rFonts w:cs="Arial"/>
              </w:rPr>
              <w:t xml:space="preserve">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9"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ACS</w:t>
            </w:r>
          </w:p>
        </w:tc>
        <w:tc>
          <w:tcPr>
            <w:tcW w:w="910"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w:t>
            </w:r>
          </w:p>
        </w:tc>
        <w:tc>
          <w:tcPr>
            <w:tcW w:w="482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33.0</w:t>
            </w:r>
          </w:p>
        </w:tc>
      </w:tr>
    </w:tbl>
    <w:p>
      <w:pPr>
        <w:rPr>
          <w:rFonts w:eastAsia="MS Mincho"/>
        </w:rPr>
      </w:pPr>
    </w:p>
    <w:p>
      <w:pPr>
        <w:pStyle w:val="113"/>
      </w:pPr>
      <w:r>
        <w:t xml:space="preserve">Table </w:t>
      </w:r>
      <w:r>
        <w:rPr>
          <w:rFonts w:eastAsia="MS Mincho"/>
        </w:rPr>
        <w:t>7.5A.5-2</w:t>
      </w:r>
      <w:r>
        <w:t>: Test parameters for Adjacent channel selectivity, Case 1</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478"/>
        <w:gridCol w:w="871"/>
        <w:gridCol w:w="5496"/>
        <w:gridCol w:w="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44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795" w:type="pct"/>
            <w:gridSpan w:val="2"/>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4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795" w:type="pct"/>
            <w:gridSpan w:val="2"/>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rPr>
            </w:pPr>
            <w:r>
              <w:rPr>
                <w:rFonts w:cs="Arial"/>
              </w:rPr>
              <w:t>Power in Transmission Bandwidth Configuration</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5" w:type="pct"/>
            <w:gridSpan w:val="2"/>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vAlign w:val="bottom"/>
          </w:tcPr>
          <w:p>
            <w:pPr>
              <w:pStyle w:val="103"/>
              <w:rPr>
                <w:rFonts w:cs="Arial"/>
              </w:rPr>
            </w:pPr>
            <w:r>
              <w:rPr>
                <w:rFonts w:eastAsia="MS Mincho" w:cs="Arial"/>
                <w:bCs/>
              </w:rPr>
              <w:t>P</w:t>
            </w:r>
            <w:r>
              <w:rPr>
                <w:rFonts w:eastAsia="MS Mincho" w:cs="Arial"/>
                <w:bCs/>
                <w:vertAlign w:val="subscript"/>
              </w:rPr>
              <w:t>Interferer</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5"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REFSENS +45.5dB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BW</w:t>
            </w:r>
            <w:r>
              <w:rPr>
                <w:rFonts w:eastAsia="MS Mincho" w:cs="Arial"/>
                <w:bCs/>
                <w:vertAlign w:val="subscript"/>
              </w:rPr>
              <w:t xml:space="preserve">Interferer </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eastAsia="MS Mincho"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gridSpan w:val="2"/>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pct"/>
          <w:trHeight w:val="398" w:hRule="atLeast"/>
          <w:jc w:val="center"/>
        </w:trPr>
        <w:tc>
          <w:tcPr>
            <w:tcW w:w="4994" w:type="pct"/>
            <w:gridSpan w:val="3"/>
            <w:tcBorders>
              <w:top w:val="single" w:color="auto" w:sz="4" w:space="0"/>
              <w:left w:val="single" w:color="auto" w:sz="4" w:space="0"/>
              <w:bottom w:val="single" w:color="auto" w:sz="4" w:space="0"/>
              <w:right w:val="single" w:color="auto" w:sz="4" w:space="0"/>
            </w:tcBorders>
          </w:tcPr>
          <w:p>
            <w:pPr>
              <w:pStyle w:val="118"/>
            </w:pPr>
            <w:r>
              <w:t>NOTE 1:</w:t>
            </w:r>
            <w:r>
              <w:tab/>
            </w:r>
            <w:r>
              <w:t>The transmitter shall be set to 4dB below P</w:t>
            </w:r>
            <w:r>
              <w:rPr>
                <w:vertAlign w:val="subscript"/>
              </w:rPr>
              <w:t>CMAX_L</w:t>
            </w:r>
            <w:r>
              <w:rPr>
                <w:rFonts w:cs="Arial"/>
              </w:rPr>
              <w:t xml:space="preserve"> at the minimum uplink configuration specified in Table </w:t>
            </w:r>
            <w:r>
              <w:t>7.3A-3</w:t>
            </w:r>
            <w:r>
              <w:rPr>
                <w:vertAlign w:val="subscript"/>
              </w:rPr>
              <w:t xml:space="preserve"> </w:t>
            </w:r>
            <w:r>
              <w:t>with P</w:t>
            </w:r>
            <w:r>
              <w:rPr>
                <w:vertAlign w:val="subscript"/>
              </w:rPr>
              <w:t xml:space="preserve">CMAX_L </w:t>
            </w:r>
            <w:r>
              <w:t>as defined in clause 6.2.5A.</w:t>
            </w:r>
          </w:p>
          <w:p>
            <w:pPr>
              <w:pStyle w:val="118"/>
            </w:pPr>
            <w:r>
              <w:t>NOTE 2:</w:t>
            </w:r>
            <w:r>
              <w:tab/>
            </w:r>
            <w:r>
              <w:t xml:space="preserve">The interferer consists of the Reference measurement channel specified in TS36.521-1 [14] Annex A.3.2 with </w:t>
            </w:r>
            <w:r>
              <w:rPr>
                <w:rFonts w:cs="Arial"/>
              </w:rPr>
              <w:t xml:space="preserve">one sided dynamic OCNG Pattern OP.1 FDD/TDD as described in </w:t>
            </w:r>
            <w:r>
              <w:t>TS36.521-1 [14]</w:t>
            </w:r>
            <w:r>
              <w:rPr>
                <w:rFonts w:cs="Arial"/>
              </w:rPr>
              <w:t xml:space="preserve"> Annex A.5.1.1/A.5.2.1 and </w:t>
            </w:r>
            <w:r>
              <w:t>set-up according to Annex C.3.1.</w:t>
            </w:r>
          </w:p>
          <w:p>
            <w:pPr>
              <w:pStyle w:val="118"/>
              <w:rPr>
                <w:rFonts w:cs="Arial"/>
              </w:rPr>
            </w:pPr>
            <w:r>
              <w:t>NOTE 3:</w:t>
            </w:r>
            <w:r>
              <w:tab/>
            </w:r>
            <w:r>
              <w:rPr>
                <w:rFonts w:cs="Arial"/>
              </w:rPr>
              <w:t>For DL category M1 UE, the reference sensitivity for category M1 in table 7.3A-1 and 7.3A-2 should be used as REFSENS for the power in Transmission Bandwidth Configuration and P</w:t>
            </w:r>
            <w:r>
              <w:rPr>
                <w:rFonts w:cs="Arial"/>
                <w:vertAlign w:val="subscript"/>
              </w:rPr>
              <w:t>Interferer</w:t>
            </w:r>
            <w:r>
              <w:rPr>
                <w:rFonts w:cs="Arial"/>
              </w:rPr>
              <w:t>.</w:t>
            </w:r>
          </w:p>
          <w:p>
            <w:pPr>
              <w:pStyle w:val="118"/>
              <w:rPr>
                <w:rFonts w:eastAsia="MS Mincho" w:cs="Arial"/>
                <w:strike/>
              </w:rPr>
            </w:pPr>
            <w:r>
              <w:t>NOTE 4:</w:t>
            </w:r>
            <w:r>
              <w:tab/>
            </w:r>
            <w:r>
              <w:rPr>
                <w:rFonts w:cs="Arial"/>
              </w:rPr>
              <w:t>For DL category M1 UE, the parameters for the applicable channel bandwidth apply.</w:t>
            </w:r>
          </w:p>
        </w:tc>
      </w:tr>
    </w:tbl>
    <w:p>
      <w:pPr>
        <w:rPr>
          <w:lang w:val="en-US" w:eastAsia="zh-CN"/>
        </w:rPr>
      </w:pPr>
    </w:p>
    <w:p>
      <w:pPr>
        <w:pStyle w:val="113"/>
      </w:pPr>
      <w:r>
        <w:t xml:space="preserve">Table </w:t>
      </w:r>
      <w:r>
        <w:rPr>
          <w:rFonts w:eastAsia="MS Mincho"/>
        </w:rPr>
        <w:t>7.5A.5-3</w:t>
      </w:r>
      <w:r>
        <w:t>: Test parameters for Adjacent channel selectivity, Case 2</w:t>
      </w:r>
    </w:p>
    <w:tbl>
      <w:tblPr>
        <w:tblStyle w:val="89"/>
        <w:tblW w:w="5000" w:type="pct"/>
        <w:tblInd w:w="0" w:type="dxa"/>
        <w:tblLayout w:type="autofit"/>
        <w:tblCellMar>
          <w:top w:w="0" w:type="dxa"/>
          <w:left w:w="108" w:type="dxa"/>
          <w:bottom w:w="0" w:type="dxa"/>
          <w:right w:w="108" w:type="dxa"/>
        </w:tblCellMar>
      </w:tblPr>
      <w:tblGrid>
        <w:gridCol w:w="3478"/>
        <w:gridCol w:w="871"/>
        <w:gridCol w:w="5508"/>
      </w:tblGrid>
      <w:tr>
        <w:tblPrEx>
          <w:tblCellMar>
            <w:top w:w="0" w:type="dxa"/>
            <w:left w:w="108" w:type="dxa"/>
            <w:bottom w:w="0" w:type="dxa"/>
            <w:right w:w="108" w:type="dxa"/>
          </w:tblCellMar>
        </w:tblPrEx>
        <w:tc>
          <w:tcPr>
            <w:tcW w:w="1764"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Rx Parameter</w:t>
            </w:r>
          </w:p>
        </w:tc>
        <w:tc>
          <w:tcPr>
            <w:tcW w:w="442" w:type="pct"/>
            <w:vMerge w:val="restar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Units</w:t>
            </w:r>
          </w:p>
        </w:tc>
        <w:tc>
          <w:tcPr>
            <w:tcW w:w="2795"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Channel bandwidth</w:t>
            </w:r>
          </w:p>
        </w:tc>
      </w:tr>
      <w:tr>
        <w:tblPrEx>
          <w:tblCellMar>
            <w:top w:w="0" w:type="dxa"/>
            <w:left w:w="108" w:type="dxa"/>
            <w:bottom w:w="0" w:type="dxa"/>
            <w:right w:w="108" w:type="dxa"/>
          </w:tblCellMar>
        </w:tblPrEx>
        <w:tc>
          <w:tcPr>
            <w:tcW w:w="1764"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442" w:type="pct"/>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szCs w:val="22"/>
              </w:rPr>
            </w:pPr>
          </w:p>
        </w:tc>
        <w:tc>
          <w:tcPr>
            <w:tcW w:w="2795" w:type="pct"/>
            <w:tcBorders>
              <w:top w:val="single" w:color="auto" w:sz="4" w:space="0"/>
              <w:left w:val="single" w:color="auto" w:sz="4" w:space="0"/>
              <w:bottom w:val="single" w:color="auto" w:sz="4" w:space="0"/>
              <w:right w:val="single" w:color="auto" w:sz="4" w:space="0"/>
            </w:tcBorders>
          </w:tcPr>
          <w:p>
            <w:pPr>
              <w:pStyle w:val="104"/>
              <w:rPr>
                <w:rFonts w:cs="Arial"/>
              </w:rPr>
            </w:pPr>
            <w:r>
              <w:rPr>
                <w:rFonts w:cs="Arial"/>
              </w:rPr>
              <w:t xml:space="preserve">1.4 MHz </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vAlign w:val="center"/>
          </w:tcPr>
          <w:p>
            <w:pPr>
              <w:pStyle w:val="103"/>
              <w:rPr>
                <w:rFonts w:cs="Arial"/>
                <w:i/>
              </w:rPr>
            </w:pPr>
            <w:r>
              <w:rPr>
                <w:rFonts w:cs="Arial"/>
              </w:rPr>
              <w:t>Power in Transmission Bandwidth Configuration</w:t>
            </w:r>
          </w:p>
        </w:tc>
        <w:tc>
          <w:tcPr>
            <w:tcW w:w="442"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dBm</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t>-</w:t>
            </w:r>
            <w:r>
              <w:rPr>
                <w:rFonts w:eastAsia="Microsoft JhengHei"/>
                <w:lang w:eastAsia="zh-TW"/>
              </w:rPr>
              <w:t>71.5</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vAlign w:val="bottom"/>
          </w:tcPr>
          <w:p>
            <w:pPr>
              <w:pStyle w:val="103"/>
              <w:rPr>
                <w:rFonts w:eastAsia="MS Mincho" w:cs="Arial"/>
                <w:bCs/>
              </w:rPr>
            </w:pPr>
            <w:r>
              <w:rPr>
                <w:rFonts w:eastAsia="MS Mincho" w:cs="Arial"/>
                <w:bCs/>
              </w:rPr>
              <w:t>P</w:t>
            </w:r>
            <w:r>
              <w:rPr>
                <w:rFonts w:eastAsia="MS Mincho" w:cs="Arial"/>
                <w:bCs/>
                <w:vertAlign w:val="subscript"/>
              </w:rPr>
              <w:t>Interferer</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dBm</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eastAsia="MS Mincho" w:cs="Arial"/>
              </w:rPr>
              <w:t>-40</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tcPr>
          <w:p>
            <w:pPr>
              <w:pStyle w:val="103"/>
              <w:rPr>
                <w:rFonts w:eastAsia="MS Mincho" w:cs="Arial"/>
                <w:bCs/>
              </w:rPr>
            </w:pPr>
            <w:r>
              <w:rPr>
                <w:rFonts w:eastAsia="MS Mincho" w:cs="Arial"/>
                <w:bCs/>
              </w:rPr>
              <w:t>BW</w:t>
            </w:r>
            <w:r>
              <w:rPr>
                <w:rFonts w:eastAsia="MS Mincho" w:cs="Arial"/>
                <w:bCs/>
                <w:vertAlign w:val="subscript"/>
              </w:rPr>
              <w:t xml:space="preserve">Interferer </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1.4</w:t>
            </w:r>
          </w:p>
        </w:tc>
      </w:tr>
      <w:tr>
        <w:tblPrEx>
          <w:tblCellMar>
            <w:top w:w="0" w:type="dxa"/>
            <w:left w:w="108" w:type="dxa"/>
            <w:bottom w:w="0" w:type="dxa"/>
            <w:right w:w="108" w:type="dxa"/>
          </w:tblCellMar>
        </w:tblPrEx>
        <w:tc>
          <w:tcPr>
            <w:tcW w:w="1764" w:type="pct"/>
            <w:tcBorders>
              <w:top w:val="single" w:color="auto" w:sz="4" w:space="0"/>
              <w:left w:val="single" w:color="auto" w:sz="4" w:space="0"/>
              <w:bottom w:val="single" w:color="auto" w:sz="4" w:space="0"/>
              <w:right w:val="single" w:color="auto" w:sz="4" w:space="0"/>
            </w:tcBorders>
          </w:tcPr>
          <w:p>
            <w:pPr>
              <w:pStyle w:val="103"/>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442"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MHz</w:t>
            </w:r>
          </w:p>
        </w:tc>
        <w:tc>
          <w:tcPr>
            <w:tcW w:w="2795" w:type="pct"/>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1.4+0.0025</w:t>
            </w:r>
          </w:p>
          <w:p>
            <w:pPr>
              <w:pStyle w:val="105"/>
              <w:rPr>
                <w:rFonts w:cs="Arial"/>
              </w:rPr>
            </w:pPr>
            <w:r>
              <w:rPr>
                <w:rFonts w:cs="Arial"/>
              </w:rPr>
              <w:t>/</w:t>
            </w:r>
          </w:p>
          <w:p>
            <w:pPr>
              <w:pStyle w:val="105"/>
              <w:rPr>
                <w:rFonts w:cs="Arial"/>
              </w:rPr>
            </w:pPr>
            <w:r>
              <w:rPr>
                <w:rFonts w:cs="Arial"/>
              </w:rPr>
              <w:t>-1.4-0.0025</w:t>
            </w:r>
          </w:p>
        </w:tc>
      </w:tr>
      <w:tr>
        <w:tblPrEx>
          <w:tblCellMar>
            <w:top w:w="0" w:type="dxa"/>
            <w:left w:w="108" w:type="dxa"/>
            <w:bottom w:w="0" w:type="dxa"/>
            <w:right w:w="108" w:type="dxa"/>
          </w:tblCellMar>
        </w:tblPrEx>
        <w:trPr>
          <w:trHeight w:val="398" w:hRule="atLeast"/>
        </w:trPr>
        <w:tc>
          <w:tcPr>
            <w:tcW w:w="5000" w:type="pct"/>
            <w:gridSpan w:val="3"/>
            <w:tcBorders>
              <w:top w:val="single" w:color="auto" w:sz="4" w:space="0"/>
              <w:left w:val="single" w:color="auto" w:sz="4" w:space="0"/>
              <w:bottom w:val="single" w:color="auto" w:sz="4" w:space="0"/>
              <w:right w:val="single" w:color="auto" w:sz="4" w:space="0"/>
            </w:tcBorders>
          </w:tcPr>
          <w:p>
            <w:pPr>
              <w:pStyle w:val="118"/>
            </w:pPr>
            <w:r>
              <w:t>NOTE 1:</w:t>
            </w:r>
            <w:r>
              <w:tab/>
            </w:r>
            <w:r>
              <w:t>The transmitter shall be set to 24dB below P</w:t>
            </w:r>
            <w:r>
              <w:rPr>
                <w:vertAlign w:val="subscript"/>
              </w:rPr>
              <w:t xml:space="preserve">CMAX_L </w:t>
            </w:r>
            <w:r>
              <w:t>with P</w:t>
            </w:r>
            <w:r>
              <w:rPr>
                <w:vertAlign w:val="subscript"/>
              </w:rPr>
              <w:t xml:space="preserve">CMAX_L </w:t>
            </w:r>
            <w:r>
              <w:t>as defined in clause 6.2.5A.</w:t>
            </w:r>
          </w:p>
          <w:p>
            <w:pPr>
              <w:pStyle w:val="118"/>
              <w:rPr>
                <w:rFonts w:eastAsia="MS Mincho" w:cs="Arial"/>
              </w:rPr>
            </w:pPr>
            <w:r>
              <w:t>NOTE 2:</w:t>
            </w:r>
            <w:r>
              <w:tab/>
            </w:r>
            <w:r>
              <w:t xml:space="preserve">The interferer consists of the Reference measurement channel specified in TS36.521-1 [14] Annex A.3.2 with </w:t>
            </w:r>
            <w:r>
              <w:rPr>
                <w:rFonts w:cs="Arial"/>
              </w:rPr>
              <w:t xml:space="preserve">one sided dynamic OCNG Pattern OP.1 FDD/TDD as described in </w:t>
            </w:r>
            <w:r>
              <w:t>TS36.521-1 [14]</w:t>
            </w:r>
            <w:r>
              <w:rPr>
                <w:rFonts w:cs="Arial"/>
              </w:rPr>
              <w:t xml:space="preserve"> Annex A.5.1.1/A.5.2.1 and </w:t>
            </w:r>
            <w:r>
              <w:t>set-up according to Annex C.3.1.</w:t>
            </w:r>
          </w:p>
        </w:tc>
      </w:tr>
    </w:tbl>
    <w:p>
      <w:pPr>
        <w:rPr>
          <w:lang w:eastAsia="zh-TW"/>
        </w:rPr>
      </w:pPr>
    </w:p>
    <w:p>
      <w:pPr>
        <w:pStyle w:val="4"/>
      </w:pPr>
      <w:bookmarkStart w:id="793" w:name="_Toc23620"/>
      <w:bookmarkStart w:id="794" w:name="_Toc26718"/>
      <w:bookmarkStart w:id="795" w:name="_Toc24723"/>
      <w:r>
        <w:t>7.5B</w:t>
      </w:r>
      <w:r>
        <w:tab/>
      </w:r>
      <w:r>
        <w:t>Adjacent Channel Selectivity for category NB1 and NB2</w:t>
      </w:r>
      <w:bookmarkEnd w:id="791"/>
      <w:bookmarkEnd w:id="792"/>
      <w:bookmarkEnd w:id="793"/>
      <w:bookmarkEnd w:id="794"/>
      <w:bookmarkEnd w:id="795"/>
    </w:p>
    <w:p>
      <w:pPr>
        <w:pStyle w:val="112"/>
        <w:rPr>
          <w:i/>
        </w:rPr>
      </w:pPr>
      <w:bookmarkStart w:id="796" w:name="_Toc368026376"/>
      <w:bookmarkStart w:id="797" w:name="_Toc121162892"/>
      <w:bookmarkStart w:id="798" w:name="_Toc120570100"/>
      <w:bookmarkStart w:id="799" w:name="_Toc111062088"/>
      <w:r>
        <w:rPr>
          <w:i/>
        </w:rPr>
        <w:t>Editor’s Note: This clause is incomplete. The following aspects are either missing or not yet determined:</w:t>
      </w:r>
    </w:p>
    <w:p>
      <w:pPr>
        <w:pStyle w:val="112"/>
        <w:rPr>
          <w:i/>
        </w:rPr>
      </w:pPr>
      <w:r>
        <w:rPr>
          <w:i/>
        </w:rPr>
        <w:t>- Addition to applicability spec is pending</w:t>
      </w:r>
    </w:p>
    <w:p>
      <w:pPr>
        <w:pStyle w:val="112"/>
        <w:rPr>
          <w:i/>
        </w:rPr>
      </w:pPr>
      <w:r>
        <w:rPr>
          <w:i/>
        </w:rPr>
        <w:t>- Initial condition and call setup procedure to support satellite access are TBD</w:t>
      </w:r>
    </w:p>
    <w:p>
      <w:pPr>
        <w:pStyle w:val="112"/>
        <w:rPr>
          <w:i/>
        </w:rPr>
      </w:pPr>
      <w:r>
        <w:rPr>
          <w:i/>
        </w:rPr>
        <w:t>- Test Points analysis is TBD</w:t>
      </w:r>
    </w:p>
    <w:p>
      <w:pPr>
        <w:pStyle w:val="112"/>
        <w:rPr>
          <w:i/>
        </w:rPr>
      </w:pPr>
      <w:r>
        <w:rPr>
          <w:i/>
        </w:rPr>
        <w:t>- Test configuration is TBD</w:t>
      </w:r>
    </w:p>
    <w:p>
      <w:pPr>
        <w:pStyle w:val="9"/>
      </w:pPr>
      <w:r>
        <w:t>7.5B.1</w:t>
      </w:r>
      <w:r>
        <w:tab/>
      </w:r>
      <w:r>
        <w:t>Test purpose</w:t>
      </w:r>
    </w:p>
    <w:p>
      <w:r>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r>
        <w:t>A UE unable to meet the throughput requirement under these conditions will decrease the coverage area when other e-NodeB transmitters exist in the adjacent channel.</w:t>
      </w:r>
    </w:p>
    <w:p>
      <w:pPr>
        <w:pStyle w:val="9"/>
      </w:pPr>
      <w:r>
        <w:t>7.5B.2</w:t>
      </w:r>
      <w:r>
        <w:tab/>
      </w:r>
      <w:r>
        <w:t>Test applicability</w:t>
      </w:r>
    </w:p>
    <w:p>
      <w:r>
        <w:t xml:space="preserve">This test case applies to all types of </w:t>
      </w:r>
      <w:r>
        <w:rPr>
          <w:lang w:eastAsia="zh-TW"/>
        </w:rPr>
        <w:t xml:space="preserve">E-UTRA HD-FDD </w:t>
      </w:r>
      <w:r>
        <w:t>UE release 17 and forward of category NB1 and NB2 that support satellite access.</w:t>
      </w:r>
    </w:p>
    <w:p>
      <w:pPr>
        <w:pStyle w:val="9"/>
      </w:pPr>
      <w:r>
        <w:t>7.5B.3</w:t>
      </w:r>
      <w:r>
        <w:tab/>
      </w:r>
      <w:r>
        <w:t>Minimum conformance requirements</w:t>
      </w:r>
    </w:p>
    <w:p>
      <w: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pPr>
        <w:rPr>
          <w:lang w:val="en-US" w:eastAsia="zh-CN"/>
        </w:rPr>
      </w:pPr>
      <w:r>
        <w:t xml:space="preserve">Category NB1 and NB2 UE shall fulfil the minimum requirement specified in Table 7.5B.3-1 for all values of an adjacent channel interferer up to </w:t>
      </w:r>
      <w:r>
        <w:rPr>
          <w:rFonts w:eastAsia="MS Mincho"/>
        </w:rPr>
        <w:t>-40</w:t>
      </w:r>
      <w:r>
        <w:t xml:space="preserve"> dBm. However it is not possible to directly measure the ACS, instead the lower and upper range of test parameters are chosen in Table 7.5B.3-1 where the </w:t>
      </w:r>
      <w:r>
        <w:rPr>
          <w:rFonts w:eastAsia="Osaka" w:cs="v5.0.0"/>
        </w:rPr>
        <w:t xml:space="preserve">throughput </w:t>
      </w:r>
      <w:r>
        <w:t xml:space="preserve">shall be ≥ 95% of the maximum throughput of the reference measurement channel as specified in </w:t>
      </w:r>
      <w:r>
        <w:rPr>
          <w:color w:val="000000" w:themeColor="text1"/>
          <w14:textFill>
            <w14:solidFill>
              <w14:schemeClr w14:val="tx1"/>
            </w14:solidFill>
          </w14:textFill>
        </w:rPr>
        <w:t>TS 36.101</w:t>
      </w:r>
      <w:r>
        <w:rPr>
          <w:rFonts w:hint="eastAsia"/>
          <w:color w:val="000000" w:themeColor="text1"/>
          <w:lang w:eastAsia="zh-TW"/>
          <w14:textFill>
            <w14:solidFill>
              <w14:schemeClr w14:val="tx1"/>
            </w14:solidFill>
          </w14:textFill>
        </w:rPr>
        <w:t xml:space="preserve"> </w:t>
      </w:r>
      <w:r>
        <w:rPr>
          <w:color w:val="000000" w:themeColor="text1"/>
          <w14:textFill>
            <w14:solidFill>
              <w14:schemeClr w14:val="tx1"/>
            </w14:solidFill>
          </w14:textFill>
        </w:rPr>
        <w:t xml:space="preserve">[7] </w:t>
      </w:r>
      <w:r>
        <w:t>Annex A.3.2.</w:t>
      </w:r>
    </w:p>
    <w:p>
      <w:pPr>
        <w:pStyle w:val="113"/>
      </w:pPr>
      <w:r>
        <w:t>Table 7.5B.3-1: Adjacent channel selectivity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
      <w:r>
        <w:t>The normative reference for this requirement is TS 36.102 [11] clause 7.5B.</w:t>
      </w:r>
    </w:p>
    <w:p>
      <w:pPr>
        <w:pStyle w:val="9"/>
      </w:pPr>
      <w:r>
        <w:t>7.5B.4</w:t>
      </w:r>
      <w:r>
        <w:tab/>
      </w:r>
      <w:r>
        <w:t>Test description</w:t>
      </w:r>
    </w:p>
    <w:p>
      <w:pPr>
        <w:pStyle w:val="9"/>
      </w:pPr>
      <w:r>
        <w:t>7.5B.4.1</w:t>
      </w:r>
      <w:r>
        <w:tab/>
      </w:r>
      <w: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test frequencies, and channel bandwidths based on E-UTRA</w:t>
      </w:r>
      <w:r>
        <w:rPr>
          <w:lang w:eastAsia="zh-TW"/>
        </w:rPr>
        <w:t xml:space="preserve"> operating</w:t>
      </w:r>
      <w:r>
        <w:t xml:space="preserve"> bands </w:t>
      </w:r>
      <w:r>
        <w:rPr>
          <w:lang w:eastAsia="zh-TW"/>
        </w:rPr>
        <w:t>defined for CAT NB1 and NB2 in clause</w:t>
      </w:r>
      <w:r>
        <w:t xml:space="preserve"> 5.2</w:t>
      </w:r>
      <w:r>
        <w:rPr>
          <w:lang w:eastAsia="zh-TW"/>
        </w:rPr>
        <w:t>E</w:t>
      </w:r>
      <w:r>
        <w:t>. All of these configurations shall be tested with applicable test parameters for each channel bandwidth, and are shown in table 7.</w:t>
      </w:r>
      <w:r>
        <w:rPr>
          <w:lang w:eastAsia="zh-TW"/>
        </w:rPr>
        <w:t>5B</w:t>
      </w:r>
      <w:r>
        <w:t xml:space="preserve">.4.1-1. The details of the uplink and downlink reference measurement channels (RMCs) are specified in TS36.521-1 [14] Annexes A.2 and A.3 respectively. The details of the OCNG patterns used are specified in TS36.521-1 [14] Annex A.5. </w:t>
      </w:r>
      <w:r>
        <w:rPr>
          <w:rFonts w:cs="v5.0.0"/>
        </w:rPr>
        <w:t xml:space="preserve">Configurations of PDSCH and </w:t>
      </w:r>
      <w:r>
        <w:rPr>
          <w:rFonts w:cs="v5.0.0"/>
          <w:lang w:eastAsia="zh-TW"/>
        </w:rPr>
        <w:t>M</w:t>
      </w:r>
      <w:r>
        <w:rPr>
          <w:rFonts w:cs="v5.0.0"/>
        </w:rPr>
        <w:t>PDCCH before measurement are specified in TS36.521-1 [14] Annex C.2.</w:t>
      </w:r>
    </w:p>
    <w:p>
      <w:pPr>
        <w:pStyle w:val="113"/>
        <w:rPr>
          <w:lang w:eastAsia="zh-TW"/>
        </w:rPr>
      </w:pPr>
      <w:r>
        <w:t>Table 7.5B.4.1-1: Test Configuration Table</w:t>
      </w:r>
    </w:p>
    <w:p>
      <w:pPr>
        <w:jc w:val="center"/>
        <w:rPr>
          <w:rFonts w:cs="v5.0.0"/>
        </w:rPr>
      </w:pPr>
      <w:r>
        <w:rPr>
          <w:rFonts w:cs="v5.0.0"/>
        </w:rPr>
        <w:t>FFS</w:t>
      </w:r>
    </w:p>
    <w:p/>
    <w:p>
      <w:pPr>
        <w:pStyle w:val="111"/>
        <w:overflowPunct w:val="0"/>
        <w:autoSpaceDE w:val="0"/>
        <w:autoSpaceDN w:val="0"/>
        <w:adjustRightInd w:val="0"/>
        <w:contextualSpacing w:val="0"/>
        <w:textAlignment w:val="baseline"/>
      </w:pPr>
      <w:r>
        <w:rPr>
          <w:rFonts w:eastAsia="Malgun Gothic"/>
        </w:rPr>
        <w:t>1.</w:t>
      </w:r>
      <w:r>
        <w:rPr>
          <w:rFonts w:eastAsia="Malgun Gothic"/>
        </w:rPr>
        <w:tab/>
      </w:r>
      <w:r>
        <w:t>Connect the SS to the UE antenna connectors as shown in TS 36.508[7] Annex A Figure A.4 using only main UE Tx/Rx antenna.</w:t>
      </w:r>
    </w:p>
    <w:p>
      <w:pPr>
        <w:pStyle w:val="111"/>
        <w:overflowPunct w:val="0"/>
        <w:autoSpaceDE w:val="0"/>
        <w:autoSpaceDN w:val="0"/>
        <w:adjustRightInd w:val="0"/>
        <w:contextualSpacing w:val="0"/>
        <w:textAlignment w:val="baseline"/>
        <w:rPr>
          <w:lang w:eastAsia="zh-TW"/>
        </w:rPr>
      </w:pPr>
      <w:r>
        <w:rPr>
          <w:rFonts w:eastAsia="Malgun Gothic"/>
          <w:lang w:val="en-US"/>
        </w:rPr>
        <w:t>2</w:t>
      </w:r>
      <w:r>
        <w:rPr>
          <w:rFonts w:eastAsia="Malgun Gothic"/>
        </w:rPr>
        <w:t>.</w:t>
      </w:r>
      <w:r>
        <w:rPr>
          <w:rFonts w:eastAsia="Malgun Gothic"/>
        </w:rPr>
        <w:tab/>
      </w:r>
      <w:r>
        <w:t>The parameter settings for the cell are set up according to TS 36.508 [7] subclause 4.4.3.</w:t>
      </w:r>
    </w:p>
    <w:p>
      <w:pPr>
        <w:pStyle w:val="111"/>
        <w:overflowPunct w:val="0"/>
        <w:autoSpaceDE w:val="0"/>
        <w:autoSpaceDN w:val="0"/>
        <w:adjustRightInd w:val="0"/>
        <w:contextualSpacing w:val="0"/>
        <w:textAlignment w:val="baseline"/>
        <w:rPr>
          <w:lang w:eastAsia="zh-TW"/>
        </w:rPr>
      </w:pPr>
      <w:r>
        <w:rPr>
          <w:rFonts w:eastAsia="Malgun Gothic"/>
          <w:lang w:val="en-US"/>
        </w:rPr>
        <w:t>3</w:t>
      </w:r>
      <w:r>
        <w:rPr>
          <w:rFonts w:eastAsia="Malgun Gothic"/>
        </w:rPr>
        <w:t>.</w:t>
      </w:r>
      <w:r>
        <w:rPr>
          <w:rFonts w:eastAsia="Malgun Gothic"/>
        </w:rPr>
        <w:tab/>
      </w:r>
      <w:r>
        <w:t>Downlink signals are initially set up according to TS36.521-1 [14] Annex C0, C.1 and C.3.1, and uplink signals according to Annex H.1 and H.3.1.</w:t>
      </w:r>
    </w:p>
    <w:p>
      <w:pPr>
        <w:pStyle w:val="111"/>
        <w:overflowPunct w:val="0"/>
        <w:autoSpaceDE w:val="0"/>
        <w:autoSpaceDN w:val="0"/>
        <w:adjustRightInd w:val="0"/>
        <w:contextualSpacing w:val="0"/>
        <w:textAlignment w:val="baseline"/>
        <w:rPr>
          <w:lang w:eastAsia="zh-TW"/>
        </w:rPr>
      </w:pPr>
      <w:r>
        <w:rPr>
          <w:rFonts w:eastAsia="Malgun Gothic"/>
          <w:lang w:val="en-US"/>
        </w:rPr>
        <w:t>4</w:t>
      </w:r>
      <w:r>
        <w:rPr>
          <w:rFonts w:eastAsia="Malgun Gothic"/>
        </w:rPr>
        <w:t>.</w:t>
      </w:r>
      <w:r>
        <w:rPr>
          <w:rFonts w:eastAsia="Malgun Gothic"/>
        </w:rPr>
        <w:tab/>
      </w:r>
      <w:r>
        <w:t>The UL and DL Reference Measurement channels are set according to Table 7.</w:t>
      </w:r>
      <w:r>
        <w:rPr>
          <w:lang w:eastAsia="zh-TW"/>
        </w:rPr>
        <w:t>5B</w:t>
      </w:r>
      <w:r>
        <w:t>.4.1-1.</w:t>
      </w:r>
    </w:p>
    <w:p>
      <w:pPr>
        <w:pStyle w:val="111"/>
        <w:overflowPunct w:val="0"/>
        <w:autoSpaceDE w:val="0"/>
        <w:autoSpaceDN w:val="0"/>
        <w:adjustRightInd w:val="0"/>
        <w:contextualSpacing w:val="0"/>
        <w:textAlignment w:val="baseline"/>
      </w:pPr>
      <w:r>
        <w:rPr>
          <w:rFonts w:eastAsia="Malgun Gothic"/>
          <w:lang w:val="en-US"/>
        </w:rPr>
        <w:t>5</w:t>
      </w:r>
      <w:r>
        <w:rPr>
          <w:rFonts w:eastAsia="Malgun Gothic"/>
        </w:rPr>
        <w:tab/>
      </w:r>
      <w:r>
        <w:t>Propagation conditions are set according to Annex B.0.</w:t>
      </w:r>
    </w:p>
    <w:p>
      <w:pPr>
        <w:pStyle w:val="111"/>
        <w:overflowPunct w:val="0"/>
        <w:autoSpaceDE w:val="0"/>
        <w:autoSpaceDN w:val="0"/>
        <w:adjustRightInd w:val="0"/>
        <w:contextualSpacing w:val="0"/>
        <w:textAlignment w:val="baseline"/>
        <w:rPr>
          <w:rFonts w:hint="eastAsia"/>
        </w:rPr>
      </w:pPr>
      <w:r>
        <w:rPr>
          <w:rFonts w:hint="eastAsia"/>
        </w:rPr>
        <w:t>6.</w:t>
      </w:r>
      <w:r>
        <w:rPr>
          <w:rFonts w:hint="eastAsia"/>
        </w:rPr>
        <w:tab/>
      </w:r>
      <w:r>
        <w:rPr>
          <w:rFonts w:hint="eastAsia"/>
        </w:rPr>
        <w:t>UE location according to TS 36.508 [12] clause 4.13 is provided to the UE through AT commands or any other preconfigured means.</w:t>
      </w:r>
    </w:p>
    <w:p>
      <w:pPr>
        <w:pStyle w:val="111"/>
        <w:overflowPunct w:val="0"/>
        <w:autoSpaceDE w:val="0"/>
        <w:autoSpaceDN w:val="0"/>
        <w:adjustRightInd w:val="0"/>
        <w:contextualSpacing w:val="0"/>
        <w:textAlignment w:val="baseline"/>
        <w:rPr>
          <w:rFonts w:hint="eastAsia"/>
        </w:rPr>
      </w:pPr>
      <w:r>
        <w:rPr>
          <w:rFonts w:hint="eastAsia"/>
        </w:rPr>
        <w:t>7.</w:t>
      </w:r>
      <w:r>
        <w:rPr>
          <w:rFonts w:hint="eastAsia"/>
        </w:rPr>
        <w:tab/>
      </w:r>
      <w:r>
        <w:rPr>
          <w:rFonts w:hint="eastAsia"/>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lang w:eastAsia="zh-TW"/>
        </w:rPr>
      </w:pPr>
      <w:r>
        <w:rPr>
          <w:rFonts w:hint="eastAsia"/>
        </w:rPr>
        <w:t>8.</w:t>
      </w:r>
      <w:r>
        <w:rPr>
          <w:rFonts w:hint="eastAsia"/>
        </w:rPr>
        <w:tab/>
      </w:r>
      <w:r>
        <w:rPr>
          <w:rFonts w:hint="eastAsia"/>
        </w:rPr>
        <w:t>Ensure the UE is in State 2A-NB with CP CIoT Optimisation according to TS 36.508 [7] clause 8.1.5. Message contents are defined in clause 7.5B.4.3.</w:t>
      </w:r>
    </w:p>
    <w:p>
      <w:pPr>
        <w:pStyle w:val="9"/>
        <w:ind w:left="0" w:firstLine="0"/>
      </w:pPr>
      <w:r>
        <w:t>7.5B.4.2</w:t>
      </w:r>
      <w:r>
        <w:tab/>
      </w:r>
      <w:r>
        <w:t>Test procedure</w:t>
      </w:r>
    </w:p>
    <w:p>
      <w:pPr>
        <w:pStyle w:val="111"/>
        <w:overflowPunct w:val="0"/>
        <w:autoSpaceDE w:val="0"/>
        <w:autoSpaceDN w:val="0"/>
        <w:adjustRightInd w:val="0"/>
        <w:contextualSpacing w:val="0"/>
        <w:textAlignment w:val="baseline"/>
      </w:pPr>
      <w:r>
        <w:t>1.</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2.</w:t>
      </w:r>
      <w:r>
        <w:tab/>
      </w:r>
      <w:r>
        <w:t>Set the Downlink signal level to the value defined for ACS1, GSM in Table 7.5B.5-1. For steps 2 to 5 and 6 to 9, use the default message contents.</w:t>
      </w:r>
    </w:p>
    <w:p>
      <w:pPr>
        <w:pStyle w:val="111"/>
        <w:overflowPunct w:val="0"/>
        <w:autoSpaceDE w:val="0"/>
        <w:autoSpaceDN w:val="0"/>
        <w:adjustRightInd w:val="0"/>
        <w:contextualSpacing w:val="0"/>
        <w:textAlignment w:val="baseline"/>
      </w:pPr>
      <w:r>
        <w:t>3.</w:t>
      </w:r>
      <w:r>
        <w:tab/>
      </w:r>
      <w:r>
        <w:t>Set the Interferer signal level to the value defined for ACS1, GSM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4.</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5.</w:t>
      </w:r>
      <w:r>
        <w:tab/>
      </w:r>
      <w:r>
        <w:t xml:space="preserve">Repeat steps 2 to 4, using an interfering signal above the wanted signal at step 3. </w:t>
      </w:r>
    </w:p>
    <w:p>
      <w:pPr>
        <w:pStyle w:val="111"/>
        <w:overflowPunct w:val="0"/>
        <w:autoSpaceDE w:val="0"/>
        <w:autoSpaceDN w:val="0"/>
        <w:adjustRightInd w:val="0"/>
        <w:contextualSpacing w:val="0"/>
        <w:textAlignment w:val="baseline"/>
      </w:pPr>
      <w:r>
        <w:t>6.</w:t>
      </w:r>
      <w:r>
        <w:tab/>
      </w:r>
      <w:r>
        <w:t>Set the Downlink signal level to the value defined for ACS1, E-UTRA in Table 7.5B.5-1.</w:t>
      </w:r>
    </w:p>
    <w:p>
      <w:pPr>
        <w:pStyle w:val="111"/>
        <w:overflowPunct w:val="0"/>
        <w:autoSpaceDE w:val="0"/>
        <w:autoSpaceDN w:val="0"/>
        <w:adjustRightInd w:val="0"/>
        <w:contextualSpacing w:val="0"/>
        <w:textAlignment w:val="baseline"/>
      </w:pPr>
      <w:r>
        <w:t>7.</w:t>
      </w:r>
      <w:r>
        <w:tab/>
      </w:r>
      <w:r>
        <w:t>Set the Interferer signal level to the value defined for ACS1, E-UTRA in Table 7.5B.5-1, with frequency below the wanted signal according to table 7.5B.5-1, using a modulated interferer bandwidth as defined in Annex D.2 of the present document.</w:t>
      </w:r>
    </w:p>
    <w:p>
      <w:pPr>
        <w:pStyle w:val="111"/>
        <w:overflowPunct w:val="0"/>
        <w:autoSpaceDE w:val="0"/>
        <w:autoSpaceDN w:val="0"/>
        <w:adjustRightInd w:val="0"/>
        <w:contextualSpacing w:val="0"/>
        <w:textAlignment w:val="baseline"/>
      </w:pPr>
      <w:r>
        <w:t>8.</w:t>
      </w:r>
      <w:r>
        <w:tab/>
      </w:r>
      <w:r>
        <w:t xml:space="preserve">Measure the average throughput for a duration sufficient to achieve statistical significance according to Annex G.2. </w:t>
      </w:r>
    </w:p>
    <w:p>
      <w:pPr>
        <w:pStyle w:val="111"/>
        <w:overflowPunct w:val="0"/>
        <w:autoSpaceDE w:val="0"/>
        <w:autoSpaceDN w:val="0"/>
        <w:adjustRightInd w:val="0"/>
        <w:contextualSpacing w:val="0"/>
        <w:textAlignment w:val="baseline"/>
      </w:pPr>
      <w:r>
        <w:t>9.</w:t>
      </w:r>
      <w:r>
        <w:tab/>
      </w:r>
      <w:r>
        <w:t>Repeat steps 6 to 8, using an interfering signal above the wanted signal at step 7.</w:t>
      </w:r>
    </w:p>
    <w:p>
      <w:pPr>
        <w:pStyle w:val="111"/>
        <w:overflowPunct w:val="0"/>
        <w:autoSpaceDE w:val="0"/>
        <w:autoSpaceDN w:val="0"/>
        <w:adjustRightInd w:val="0"/>
        <w:contextualSpacing w:val="0"/>
        <w:textAlignment w:val="baseline"/>
      </w:pPr>
      <w:r>
        <w:t>10.</w:t>
      </w:r>
      <w:r>
        <w:tab/>
      </w:r>
      <w:r>
        <w:t>Release the connection through State 3A-NB.</w:t>
      </w:r>
    </w:p>
    <w:p>
      <w:pPr>
        <w:pStyle w:val="111"/>
        <w:overflowPunct w:val="0"/>
        <w:autoSpaceDE w:val="0"/>
        <w:autoSpaceDN w:val="0"/>
        <w:adjustRightInd w:val="0"/>
        <w:contextualSpacing w:val="0"/>
        <w:textAlignment w:val="baseline"/>
      </w:pPr>
      <w:r>
        <w:t>11.</w:t>
      </w:r>
      <w:r>
        <w:tab/>
      </w:r>
      <w:r>
        <w:t xml:space="preserve">Modify system information elements according to Table 7.5B.4.3-1 and notify the UE via paging message with </w:t>
      </w:r>
      <w:r>
        <w:rPr>
          <w:i/>
        </w:rPr>
        <w:t>SystemInformationModification</w:t>
      </w:r>
      <w:r>
        <w:t xml:space="preserve"> included.</w:t>
      </w:r>
    </w:p>
    <w:p>
      <w:pPr>
        <w:pStyle w:val="111"/>
        <w:overflowPunct w:val="0"/>
        <w:autoSpaceDE w:val="0"/>
        <w:autoSpaceDN w:val="0"/>
        <w:adjustRightInd w:val="0"/>
        <w:contextualSpacing w:val="0"/>
        <w:textAlignment w:val="baseline"/>
      </w:pPr>
      <w:r>
        <w:t>12.</w:t>
      </w:r>
      <w:r>
        <w:tab/>
      </w:r>
      <w:r>
        <w:t>Ensure the UE is in State 2A-NB with CP CIoT Optimisation according to TS 36.508 [7] clause 8.1.5 using the new UL power control setting.</w:t>
      </w:r>
    </w:p>
    <w:p>
      <w:pPr>
        <w:pStyle w:val="111"/>
        <w:overflowPunct w:val="0"/>
        <w:autoSpaceDE w:val="0"/>
        <w:autoSpaceDN w:val="0"/>
        <w:adjustRightInd w:val="0"/>
        <w:contextualSpacing w:val="0"/>
        <w:textAlignment w:val="baseline"/>
      </w:pPr>
      <w:r>
        <w:t>13.</w:t>
      </w:r>
      <w:r>
        <w:tab/>
      </w:r>
      <w:r>
        <w:t>SS transmits NPDSCH via NPDCCH DCI format N1 for C_RNTI to transmit the DL RMC according to Table 7.5B.4.1-1.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pPr>
      <w:r>
        <w:t>14.</w:t>
      </w:r>
      <w:r>
        <w:tab/>
      </w:r>
      <w:r>
        <w:t>Set the Downlink signal level to the value defined for ACS2, GSM in Table 7.5B.5-1. For steps 14 to 17 and 18 to 21, use message contents with the exceptions defined in Table 7.5B.4.3-1.</w:t>
      </w:r>
    </w:p>
    <w:p>
      <w:pPr>
        <w:pStyle w:val="111"/>
        <w:overflowPunct w:val="0"/>
        <w:autoSpaceDE w:val="0"/>
        <w:autoSpaceDN w:val="0"/>
        <w:adjustRightInd w:val="0"/>
        <w:contextualSpacing w:val="0"/>
        <w:textAlignment w:val="baseline"/>
      </w:pPr>
      <w:r>
        <w:t>15.</w:t>
      </w:r>
      <w:r>
        <w:tab/>
      </w:r>
      <w:r>
        <w:t>Set the Interferer signal level to the value defined for ACS2, GSM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16.</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17.</w:t>
      </w:r>
      <w:r>
        <w:tab/>
      </w:r>
      <w:r>
        <w:t xml:space="preserve">Repeat steps 14 to 16, using an interfering signal above the wanted signal at step 15. </w:t>
      </w:r>
    </w:p>
    <w:p>
      <w:pPr>
        <w:pStyle w:val="111"/>
        <w:overflowPunct w:val="0"/>
        <w:autoSpaceDE w:val="0"/>
        <w:autoSpaceDN w:val="0"/>
        <w:adjustRightInd w:val="0"/>
        <w:contextualSpacing w:val="0"/>
        <w:textAlignment w:val="baseline"/>
      </w:pPr>
      <w:r>
        <w:t>18.</w:t>
      </w:r>
      <w:r>
        <w:tab/>
      </w:r>
      <w:r>
        <w:t>Set the Downlink signal level to the value defined for ACS2, E-UTRA in Table 7.5B.5-1.</w:t>
      </w:r>
    </w:p>
    <w:p>
      <w:pPr>
        <w:pStyle w:val="111"/>
        <w:overflowPunct w:val="0"/>
        <w:autoSpaceDE w:val="0"/>
        <w:autoSpaceDN w:val="0"/>
        <w:adjustRightInd w:val="0"/>
        <w:contextualSpacing w:val="0"/>
        <w:textAlignment w:val="baseline"/>
      </w:pPr>
      <w:r>
        <w:t>19.</w:t>
      </w:r>
      <w:r>
        <w:tab/>
      </w:r>
      <w:r>
        <w:t>Set the Interferer signal level to the value defined for ACS2, E-UTRA in Table 7.5B.5-1, with frequency below the wanted signal according to table 7.5B.5-1, using a modulated interferer of 5MHz bandwidth defined in Annex D.2 of the present document.</w:t>
      </w:r>
    </w:p>
    <w:p>
      <w:pPr>
        <w:pStyle w:val="111"/>
        <w:overflowPunct w:val="0"/>
        <w:autoSpaceDE w:val="0"/>
        <w:autoSpaceDN w:val="0"/>
        <w:adjustRightInd w:val="0"/>
        <w:contextualSpacing w:val="0"/>
        <w:textAlignment w:val="baseline"/>
      </w:pPr>
      <w:r>
        <w:t>20.</w:t>
      </w:r>
      <w:r>
        <w:tab/>
      </w:r>
      <w:r>
        <w:t>Measure the average throughput for a duration sufficient to achieve statistical significance according to Annex G.2.</w:t>
      </w:r>
    </w:p>
    <w:p>
      <w:pPr>
        <w:pStyle w:val="111"/>
        <w:overflowPunct w:val="0"/>
        <w:autoSpaceDE w:val="0"/>
        <w:autoSpaceDN w:val="0"/>
        <w:adjustRightInd w:val="0"/>
        <w:contextualSpacing w:val="0"/>
        <w:textAlignment w:val="baseline"/>
      </w:pPr>
      <w:r>
        <w:t>21.</w:t>
      </w:r>
      <w:r>
        <w:tab/>
      </w:r>
      <w:r>
        <w:t>Repeat steps 18 to 20, using an interfering signal above the wanted signal at step 19.</w:t>
      </w:r>
    </w:p>
    <w:p>
      <w:pPr>
        <w:pStyle w:val="9"/>
      </w:pPr>
      <w:r>
        <w:t>7.5B.4.3</w:t>
      </w:r>
      <w:r>
        <w:tab/>
      </w:r>
      <w:r>
        <w:rPr>
          <w:snapToGrid w:val="0"/>
        </w:rPr>
        <w:t>Message contents</w:t>
      </w:r>
    </w:p>
    <w:p>
      <w:r>
        <w:t xml:space="preserve">Message contents are according to TS 36.508 [7] clause 8.1.6 </w:t>
      </w:r>
      <w:r>
        <w:rPr>
          <w:rFonts w:eastAsia="宋体"/>
        </w:rPr>
        <w:t>w</w:t>
      </w:r>
      <w:r>
        <w:t xml:space="preserve">ith the </w:t>
      </w:r>
      <w:r>
        <w:rPr>
          <w:rFonts w:eastAsia="宋体"/>
        </w:rPr>
        <w:t xml:space="preserve">following </w:t>
      </w:r>
      <w:r>
        <w:t>exceptions:</w:t>
      </w:r>
    </w:p>
    <w:p>
      <w:pPr>
        <w:pStyle w:val="113"/>
      </w:pPr>
      <w:r>
        <w:t xml:space="preserve">Table </w:t>
      </w:r>
      <w:r>
        <w:rPr>
          <w:rFonts w:eastAsia="宋体"/>
        </w:rPr>
        <w:t>7.5B.4.</w:t>
      </w:r>
      <w:r>
        <w:t>3</w:t>
      </w:r>
      <w:r>
        <w:rPr>
          <w:rFonts w:eastAsia="宋体"/>
        </w:rPr>
        <w:t>-</w:t>
      </w:r>
      <w:r>
        <w:t>1: UplinkPowerControlCommon-NB-DEFAULT: ACS2</w:t>
      </w:r>
    </w:p>
    <w:tbl>
      <w:tblPr>
        <w:tblStyle w:val="89"/>
        <w:tblW w:w="9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35"/>
        <w:gridCol w:w="2267"/>
        <w:gridCol w:w="1700"/>
        <w:gridCol w:w="11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5" w:type="dxa"/>
            <w:gridSpan w:val="4"/>
          </w:tcPr>
          <w:p>
            <w:pPr>
              <w:pStyle w:val="103"/>
            </w:pPr>
            <w:r>
              <w:t>Derivation Path: TS 36.508 [7] clause 8.1.6.3, Table 8.1.6.3-14 UplinkPowerControlCommon-NB-DEFAULT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35" w:type="dxa"/>
          </w:tcPr>
          <w:p>
            <w:pPr>
              <w:pStyle w:val="104"/>
            </w:pPr>
            <w:r>
              <w:t>Information Element</w:t>
            </w:r>
          </w:p>
        </w:tc>
        <w:tc>
          <w:tcPr>
            <w:tcW w:w="2267" w:type="dxa"/>
          </w:tcPr>
          <w:p>
            <w:pPr>
              <w:pStyle w:val="104"/>
            </w:pPr>
            <w:r>
              <w:t>Value/remark</w:t>
            </w:r>
          </w:p>
        </w:tc>
        <w:tc>
          <w:tcPr>
            <w:tcW w:w="1700" w:type="dxa"/>
          </w:tcPr>
          <w:p>
            <w:pPr>
              <w:pStyle w:val="104"/>
            </w:pPr>
            <w:r>
              <w:t>Comment</w:t>
            </w:r>
          </w:p>
        </w:tc>
        <w:tc>
          <w:tcPr>
            <w:tcW w:w="1133"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5" w:type="dxa"/>
          </w:tcPr>
          <w:p>
            <w:pPr>
              <w:pStyle w:val="103"/>
            </w:pPr>
            <w:r>
              <w:t>UplinkPowerControlCommon-NB-DEFAULT ::= SEQUENCE {</w:t>
            </w:r>
          </w:p>
          <w:p>
            <w:pPr>
              <w:pStyle w:val="103"/>
            </w:pPr>
            <w:r>
              <w:t>p0-NominalNPUSCH-r13</w:t>
            </w:r>
          </w:p>
        </w:tc>
        <w:tc>
          <w:tcPr>
            <w:tcW w:w="2267" w:type="dxa"/>
          </w:tcPr>
          <w:p>
            <w:pPr>
              <w:pStyle w:val="103"/>
            </w:pPr>
            <w:r>
              <w:t>-70</w:t>
            </w:r>
          </w:p>
        </w:tc>
        <w:tc>
          <w:tcPr>
            <w:tcW w:w="1700" w:type="dxa"/>
          </w:tcPr>
          <w:p>
            <w:pPr>
              <w:pStyle w:val="103"/>
            </w:pPr>
          </w:p>
        </w:tc>
        <w:tc>
          <w:tcPr>
            <w:tcW w:w="1133" w:type="dxa"/>
          </w:tcPr>
          <w:p>
            <w:pPr>
              <w:pStyle w:val="103"/>
            </w:pPr>
          </w:p>
        </w:tc>
      </w:tr>
    </w:tbl>
    <w:p/>
    <w:p>
      <w:pPr>
        <w:pStyle w:val="9"/>
      </w:pPr>
      <w:r>
        <w:t>7.5B.5</w:t>
      </w:r>
      <w:r>
        <w:tab/>
      </w:r>
      <w:r>
        <w:t>Test requirement</w:t>
      </w:r>
    </w:p>
    <w:p>
      <w:pPr>
        <w:ind w:right="-140"/>
      </w:pPr>
      <w:r>
        <w:t xml:space="preserve">The throughput shall be ≥ 95% of the maximum throughput of the reference measurement channels as specified in TS36.521-1 [14] Annex A.3.2 with parameters specified in Table </w:t>
      </w:r>
      <w:r>
        <w:rPr>
          <w:rFonts w:eastAsia="MS Mincho"/>
        </w:rPr>
        <w:t>7.5B.5-1</w:t>
      </w:r>
      <w:r>
        <w:t xml:space="preserve">. </w:t>
      </w:r>
    </w:p>
    <w:p>
      <w:pPr>
        <w:pStyle w:val="113"/>
      </w:pPr>
      <w:r>
        <w:t>Table 7.5B.5-1: Test parameters for Adjacent channel selectivity,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29"/>
        <w:gridCol w:w="1742"/>
        <w:gridCol w:w="1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w:t>
            </w:r>
            <w:r>
              <w:rPr>
                <w:rFonts w:eastAsia="MS Mincho" w:cs="Arial"/>
                <w:lang w:val="fi-FI" w:eastAsia="ja-JP"/>
              </w:rPr>
              <w:t>1</w:t>
            </w:r>
            <w:r>
              <w:rPr>
                <w:rFonts w:eastAsia="MS Mincho" w:cs="Arial"/>
                <w:lang w:eastAsia="ja-JP"/>
              </w:rPr>
              <w:t xml:space="preserve">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+ 14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+ 42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REFSENS + 4</w:t>
            </w:r>
            <w:r>
              <w:rPr>
                <w:rFonts w:eastAsia="MS Mincho" w:cs="Arial"/>
                <w:lang w:val="fi-FI" w:eastAsia="ja-JP"/>
              </w:rPr>
              <w:t>7</w:t>
            </w:r>
            <w:r>
              <w:rPr>
                <w:rFonts w:eastAsia="MS Mincho" w:cs="Arial"/>
                <w:lang w:eastAsia="ja-JP"/>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3"/>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eastAsia="ja-JP"/>
              </w:rPr>
            </w:pPr>
            <w:r>
              <w:rPr>
                <w:rFonts w:eastAsia="MS Mincho" w:cs="Arial"/>
                <w:lang w:eastAsia="ja-JP"/>
              </w:rPr>
              <w:t>ACS2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Interferer</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GSM (GMSK)</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MS Mincho" w:cs="Arial"/>
                <w:lang w:val="fi-FI" w:eastAsia="ja-JP"/>
              </w:rPr>
            </w:pPr>
            <w:r>
              <w:rPr>
                <w:rFonts w:eastAsia="MS Mincho" w:cs="Arial"/>
                <w:lang w:val="fi-FI" w:eastAsia="ja-JP"/>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 xml:space="preserve">Category NB1 </w:t>
            </w:r>
            <w:r>
              <w:rPr>
                <w:rFonts w:cs="Arial"/>
              </w:rPr>
              <w:t>or</w:t>
            </w:r>
            <w:r>
              <w:rPr>
                <w:rFonts w:eastAsia="MS Mincho" w:cs="Arial"/>
                <w:lang w:eastAsia="ja-JP"/>
              </w:rPr>
              <w:t xml:space="preserve"> NB2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wanted  </w:t>
            </w:r>
            <w:r>
              <w:rPr>
                <w:rFonts w:eastAsia="MS Mincho" w:cs="Arial"/>
                <w:lang w:eastAsia="ja-JP"/>
              </w:rPr>
              <w:t>) /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-68 dBm</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val="fi-FI" w:eastAsia="ja-JP"/>
              </w:rPr>
              <w:t>-73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eastAsia="ja-JP"/>
              </w:rPr>
            </w:pPr>
            <w:r>
              <w:rPr>
                <w:rFonts w:eastAsia="MS Mincho" w:cs="Arial"/>
                <w:bCs/>
                <w:lang w:eastAsia="ja-JP"/>
              </w:rPr>
              <w:t>Interferer signal power</w:t>
            </w:r>
          </w:p>
          <w:p>
            <w:pPr>
              <w:pStyle w:val="105"/>
              <w:rPr>
                <w:rFonts w:eastAsia="MS Mincho" w:cs="Arial"/>
                <w:lang w:eastAsia="ja-JP"/>
              </w:rPr>
            </w:pPr>
            <w:r>
              <w:rPr>
                <w:rFonts w:eastAsia="MS Mincho" w:cs="Arial"/>
                <w:bCs/>
                <w:lang w:eastAsia="ja-JP"/>
              </w:rPr>
              <w:t>(P</w:t>
            </w:r>
            <w:r>
              <w:rPr>
                <w:rFonts w:eastAsia="MS Mincho" w:cs="Arial"/>
                <w:bCs/>
                <w:vertAlign w:val="subscript"/>
                <w:lang w:eastAsia="ja-JP"/>
              </w:rPr>
              <w:t xml:space="preserve">Interferer </w:t>
            </w:r>
            <w:r>
              <w:rPr>
                <w:rFonts w:eastAsia="MS Mincho" w:cs="Arial"/>
                <w:lang w:eastAsia="ja-JP"/>
              </w:rPr>
              <w:t xml:space="preserve">) / dBm </w:t>
            </w:r>
          </w:p>
        </w:tc>
        <w:tc>
          <w:tcPr>
            <w:tcW w:w="0" w:type="auto"/>
            <w:gridSpan w:val="2"/>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val="fi-FI" w:eastAsia="ja-JP"/>
              </w:rPr>
            </w:pPr>
            <w:r>
              <w:rPr>
                <w:rFonts w:eastAsia="MS Mincho" w:cs="Arial"/>
                <w:lang w:val="fi-FI" w:eastAsia="ja-JP"/>
              </w:rPr>
              <w:t>-40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bCs/>
                <w:lang w:val="fi-FI" w:eastAsia="ja-JP"/>
              </w:rPr>
            </w:pPr>
            <w:r>
              <w:rPr>
                <w:rFonts w:eastAsia="MS Mincho" w:cs="Arial"/>
                <w:bCs/>
                <w:lang w:val="fi-FI" w:eastAsia="ja-JP"/>
              </w:rPr>
              <w:t>Interferer bandwidth</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i/>
                <w:lang w:eastAsia="ja-JP"/>
              </w:rPr>
            </w:pPr>
            <w:r>
              <w:rPr>
                <w:rFonts w:eastAsia="MS Mincho" w:cs="Arial"/>
                <w:bCs/>
                <w:lang w:eastAsia="ja-JP"/>
              </w:rPr>
              <w:t xml:space="preserve">Interferer offset from category NB1 </w:t>
            </w:r>
            <w:r>
              <w:rPr>
                <w:rFonts w:cs="Arial"/>
                <w:bCs/>
              </w:rPr>
              <w:t>or</w:t>
            </w:r>
            <w:r>
              <w:rPr>
                <w:rFonts w:eastAsia="MS Mincho" w:cs="Arial"/>
                <w:bCs/>
                <w:lang w:eastAsia="ja-JP"/>
              </w:rPr>
              <w:t xml:space="preserve"> NB2 channel edge</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±200 kHz</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MS Mincho" w:cs="Arial"/>
                <w:lang w:eastAsia="ja-JP"/>
              </w:rPr>
            </w:pPr>
            <w:r>
              <w:rPr>
                <w:rFonts w:eastAsia="MS Mincho" w:cs="Arial"/>
                <w:lang w:eastAsia="ja-JP"/>
              </w:rPr>
              <w:t>±2.5 MHz</w:t>
            </w:r>
          </w:p>
        </w:tc>
      </w:tr>
    </w:tbl>
    <w:p>
      <w:pPr>
        <w:rPr>
          <w:lang w:eastAsia="zh-TW"/>
        </w:rPr>
      </w:pPr>
    </w:p>
    <w:p>
      <w:pPr>
        <w:pStyle w:val="4"/>
      </w:pPr>
      <w:bookmarkStart w:id="800" w:name="_Toc23789"/>
      <w:bookmarkStart w:id="801" w:name="_Toc19530"/>
      <w:bookmarkStart w:id="802" w:name="_Toc2591"/>
      <w:r>
        <w:t>7.6</w:t>
      </w:r>
      <w:r>
        <w:tab/>
      </w:r>
      <w:r>
        <w:t>Blocking characteristics</w:t>
      </w:r>
      <w:bookmarkEnd w:id="796"/>
      <w:bookmarkEnd w:id="797"/>
      <w:bookmarkEnd w:id="798"/>
      <w:bookmarkEnd w:id="799"/>
      <w:bookmarkEnd w:id="800"/>
      <w:bookmarkEnd w:id="801"/>
      <w:bookmarkEnd w:id="802"/>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p>
    <w:p>
      <w:pPr>
        <w:pStyle w:val="4"/>
      </w:pPr>
      <w:bookmarkStart w:id="803" w:name="_Toc23890"/>
      <w:bookmarkStart w:id="804" w:name="_Toc120570101"/>
      <w:bookmarkStart w:id="805" w:name="_Toc121162893"/>
      <w:bookmarkStart w:id="806" w:name="_Toc10021"/>
      <w:bookmarkStart w:id="807" w:name="_Toc22096"/>
      <w:r>
        <w:t>7.6A</w:t>
      </w:r>
      <w:r>
        <w:tab/>
      </w:r>
      <w:r>
        <w:t>Blocking characteristics for category M1</w:t>
      </w:r>
      <w:bookmarkEnd w:id="803"/>
      <w:bookmarkEnd w:id="804"/>
      <w:bookmarkEnd w:id="805"/>
      <w:bookmarkEnd w:id="806"/>
      <w:bookmarkEnd w:id="807"/>
    </w:p>
    <w:p>
      <w:pPr>
        <w:pStyle w:val="5"/>
      </w:pPr>
      <w:bookmarkStart w:id="808" w:name="_Toc121162894"/>
      <w:bookmarkStart w:id="809" w:name="_Toc14724"/>
      <w:bookmarkStart w:id="810" w:name="_Toc120570102"/>
      <w:bookmarkStart w:id="811" w:name="_Toc4047"/>
      <w:bookmarkStart w:id="812" w:name="_Toc8696"/>
      <w:r>
        <w:t>7.6A.1</w:t>
      </w:r>
      <w:r>
        <w:tab/>
      </w:r>
      <w:r>
        <w:t>General</w:t>
      </w:r>
      <w:bookmarkEnd w:id="808"/>
      <w:bookmarkEnd w:id="809"/>
      <w:bookmarkEnd w:id="810"/>
      <w:bookmarkEnd w:id="811"/>
      <w:bookmarkEnd w:id="812"/>
    </w:p>
    <w:p>
      <w:r>
        <w:t xml:space="preserve"> </w:t>
      </w:r>
    </w:p>
    <w:p>
      <w:pPr>
        <w:pStyle w:val="5"/>
      </w:pPr>
      <w:bookmarkStart w:id="813" w:name="_Toc28297"/>
      <w:bookmarkStart w:id="814" w:name="_Toc121162895"/>
      <w:bookmarkStart w:id="815" w:name="_Toc120570103"/>
      <w:bookmarkStart w:id="816" w:name="_Toc20472"/>
      <w:bookmarkStart w:id="817" w:name="_Toc8431"/>
      <w:r>
        <w:t>7.6A.2</w:t>
      </w:r>
      <w:r>
        <w:tab/>
      </w:r>
      <w:r>
        <w:t>In-band blocking for category M1</w:t>
      </w:r>
      <w:bookmarkEnd w:id="813"/>
      <w:bookmarkEnd w:id="814"/>
      <w:bookmarkEnd w:id="815"/>
      <w:bookmarkEnd w:id="816"/>
      <w:bookmarkEnd w:id="817"/>
    </w:p>
    <w:p>
      <w:pPr>
        <w:pStyle w:val="112"/>
        <w:rPr>
          <w:lang w:val="en-US"/>
        </w:rPr>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112"/>
      </w:pPr>
      <w:r>
        <w:t>- Test configuration is TBD</w:t>
      </w:r>
    </w:p>
    <w:p>
      <w:pPr>
        <w:pStyle w:val="9"/>
      </w:pPr>
      <w:r>
        <w:t>7.6A.2.1</w:t>
      </w:r>
      <w:r>
        <w:tab/>
      </w:r>
      <w:r>
        <w:t>Test Purpose</w:t>
      </w:r>
    </w:p>
    <w:p>
      <w:pPr>
        <w:rPr>
          <w:rFonts w:eastAsia="Osaka"/>
        </w:rPr>
      </w:pPr>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t>7.6A.2.2</w:t>
      </w:r>
      <w:r>
        <w:tab/>
      </w:r>
      <w:r>
        <w:t>Test Applicability</w:t>
      </w:r>
    </w:p>
    <w:p>
      <w:r>
        <w:t>This test case applies to all types of E-UTRA UE release 17 and forward of category M1</w:t>
      </w:r>
      <w:r>
        <w:rPr>
          <w:rFonts w:ascii="宋体" w:hAnsi="宋体" w:cs="宋体"/>
          <w:lang w:eastAsia="zh-TW"/>
        </w:rPr>
        <w:t xml:space="preserve"> </w:t>
      </w:r>
      <w:r>
        <w:t>that support satellite access operation.</w:t>
      </w:r>
    </w:p>
    <w:p>
      <w:pPr>
        <w:pStyle w:val="9"/>
      </w:pPr>
      <w:r>
        <w:t>7.6A.2.3</w:t>
      </w:r>
      <w:r>
        <w:tab/>
      </w:r>
      <w:r>
        <w:t>Minimum Conformance Requirements</w:t>
      </w:r>
    </w:p>
    <w:p>
      <w:pPr>
        <w:rPr>
          <w:color w:val="000000" w:themeColor="text1"/>
          <w14:textFill>
            <w14:solidFill>
              <w14:schemeClr w14:val="tx1"/>
            </w14:solidFill>
          </w14:textFill>
        </w:rPr>
      </w:pPr>
      <w:r>
        <w:rPr>
          <w:color w:val="000000" w:themeColor="text1"/>
          <w14:textFill>
            <w14:solidFill>
              <w14:schemeClr w14:val="tx1"/>
            </w14:solidFill>
          </w14:textFill>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7.6A.2.3-1: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rPr>
          <w:color w:val="000000" w:themeColor="text1"/>
          <w14:textFill>
            <w14:solidFill>
              <w14:schemeClr w14:val="tx1"/>
            </w14:solidFill>
          </w14:textFill>
        </w:rPr>
      </w:pPr>
      <w:r>
        <w:rPr>
          <w:color w:val="000000" w:themeColor="text1"/>
          <w14:textFill>
            <w14:solidFill>
              <w14:schemeClr w14:val="tx1"/>
            </w14:solidFill>
          </w14:textFill>
        </w:rPr>
        <w:t>Table 7.6A.2.3-2: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
      <w:pPr>
        <w:rPr>
          <w:rFonts w:eastAsia="Osaka"/>
        </w:rPr>
      </w:pPr>
      <w:r>
        <w:t>The normative reference for this requirement is TS 36.102 [11] clause 7.6A.2.</w:t>
      </w:r>
    </w:p>
    <w:p>
      <w:pPr>
        <w:pStyle w:val="9"/>
      </w:pPr>
      <w:r>
        <w:t>7.6A.2.4</w:t>
      </w:r>
      <w:r>
        <w:tab/>
      </w:r>
      <w:r>
        <w:t>Test Description</w:t>
      </w:r>
    </w:p>
    <w:p>
      <w:pPr>
        <w:pStyle w:val="9"/>
      </w:pPr>
      <w:r>
        <w:t>7.6A.2.4.1</w:t>
      </w:r>
      <w:r>
        <w:tab/>
      </w:r>
      <w:r>
        <w:t>Initial Conditions</w:t>
      </w:r>
    </w:p>
    <w:p>
      <w:r>
        <w:t>Initial conditions are a set of test configurations the UE needs to be tested in and the steps for the SS to take with the UE to reach the correct measurement state.</w:t>
      </w:r>
    </w:p>
    <w:p>
      <w:pPr>
        <w:rPr>
          <w:rFonts w:cs="v5.0.0"/>
        </w:rPr>
      </w:pPr>
      <w:r>
        <w:t xml:space="preserve">The initial test configurations consist of environmental conditions and test frequencies based on the subset of E-UTRA operating bands defined for category M1 in clause 5.2A. All of these configurations shall be tested with applicable test parameters for each channel bandwidth, and are shown in table 7.6A.2.4.1-1. The details of the downlink and uplink reference measurement channels (RMCs) are specified in TS 36.521-1 [14] Annexes A.2 and A.3. The details of the OCNG patterns used are specified in TS 36.521-1 [14] Annex A.5. </w:t>
      </w:r>
      <w:r>
        <w:rPr>
          <w:rFonts w:cs="v5.0.0"/>
        </w:rPr>
        <w:t>Configurations of PDSCH and MPDCCH before measurement are specified in TS 36.521-1 [14] Annex C.2.</w:t>
      </w:r>
    </w:p>
    <w:p>
      <w:pPr>
        <w:pStyle w:val="113"/>
        <w:rPr>
          <w:lang w:eastAsia="ko-KR"/>
        </w:rPr>
      </w:pPr>
      <w:r>
        <w:t>Table 7.6A.2.4.1-1: Test Configuration Table</w:t>
      </w:r>
    </w:p>
    <w:tbl>
      <w:tblPr>
        <w:tblStyle w:val="89"/>
        <w:tblW w:w="93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6"/>
        <w:gridCol w:w="1166"/>
        <w:gridCol w:w="3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0" w:hRule="atLeast"/>
          <w:jc w:val="center"/>
        </w:trPr>
        <w:tc>
          <w:tcPr>
            <w:tcW w:w="9326" w:type="dxa"/>
            <w:gridSpan w:val="6"/>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Environment as specified in</w:t>
            </w:r>
          </w:p>
          <w:p>
            <w:pPr>
              <w:keepNext/>
              <w:keepLines/>
              <w:spacing w:after="0"/>
              <w:rPr>
                <w:rFonts w:ascii="Arial" w:hAnsi="Arial"/>
                <w:sz w:val="18"/>
              </w:rPr>
            </w:pPr>
            <w:r>
              <w:rPr>
                <w:rFonts w:ascii="Arial" w:hAnsi="Arial"/>
                <w:sz w:val="18"/>
              </w:rPr>
              <w:t>TS 36.508[12] subclause 4.1</w:t>
            </w:r>
          </w:p>
        </w:tc>
        <w:tc>
          <w:tcPr>
            <w:tcW w:w="5830"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[N</w:t>
            </w:r>
            <w:r>
              <w:rPr>
                <w:rFonts w:hint="eastAsia" w:ascii="Arial" w:hAnsi="Arial"/>
                <w:sz w:val="18"/>
              </w:rPr>
              <w:t>ormal</w:t>
            </w:r>
            <w:r>
              <w:rPr>
                <w:rFonts w:ascii="Arial" w:hAnsi="Arial"/>
                <w:sz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Frequencies as specified in</w:t>
            </w:r>
          </w:p>
          <w:p>
            <w:pPr>
              <w:keepNext/>
              <w:keepLines/>
              <w:spacing w:after="0"/>
              <w:rPr>
                <w:rFonts w:ascii="Arial" w:hAnsi="Arial"/>
                <w:sz w:val="18"/>
              </w:rPr>
            </w:pPr>
            <w:r>
              <w:rPr>
                <w:rFonts w:ascii="Arial" w:hAnsi="Arial"/>
                <w:sz w:val="18"/>
              </w:rPr>
              <w:t>TS36.508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[Mid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Test Channel Bandwidths as specified in TS 36.508 [12] subclause 4.3.1</w:t>
            </w:r>
          </w:p>
        </w:tc>
        <w:tc>
          <w:tcPr>
            <w:tcW w:w="5830" w:type="dxa"/>
            <w:gridSpan w:val="3"/>
            <w:tcBorders>
              <w:top w:val="single" w:color="auto" w:sz="4" w:space="0"/>
              <w:left w:val="single" w:color="auto" w:sz="4" w:space="0"/>
              <w:bottom w:val="single" w:color="auto" w:sz="4" w:space="0"/>
              <w:right w:val="single" w:color="auto" w:sz="4" w:space="0"/>
            </w:tcBorders>
          </w:tcPr>
          <w:p>
            <w:pPr>
              <w:keepNext/>
              <w:keepLines/>
              <w:spacing w:after="0"/>
              <w:rPr>
                <w:rFonts w:ascii="Arial" w:hAnsi="Arial"/>
                <w:sz w:val="18"/>
              </w:rPr>
            </w:pPr>
            <w:r>
              <w:rPr>
                <w:rFonts w:ascii="Arial" w:hAnsi="Arial"/>
                <w:sz w:val="18"/>
              </w:rPr>
              <w:t>1.4MHz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326" w:type="dxa"/>
            <w:gridSpan w:val="6"/>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Test Parameters for</w:t>
            </w:r>
            <w:r>
              <w:t xml:space="preserve"> </w:t>
            </w:r>
            <w:r>
              <w:rPr>
                <w:rFonts w:ascii="Arial" w:hAnsi="Arial"/>
                <w:b/>
                <w:sz w:val="18"/>
              </w:rPr>
              <w:t>Channel Bandwidths and Narrowband positions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p>
        </w:tc>
        <w:tc>
          <w:tcPr>
            <w:tcW w:w="3496" w:type="dxa"/>
            <w:gridSpan w:val="3"/>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Downlink Configuration</w:t>
            </w:r>
          </w:p>
        </w:tc>
        <w:tc>
          <w:tcPr>
            <w:tcW w:w="4664"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b/>
                <w:sz w:val="18"/>
              </w:rPr>
            </w:pPr>
            <w:r>
              <w:rPr>
                <w:rFonts w:ascii="Arial" w:hAnsi="Arial"/>
                <w:b/>
                <w:sz w:val="18"/>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ID</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Mod'n</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Mod'n</w:t>
            </w:r>
          </w:p>
        </w:tc>
        <w:tc>
          <w:tcPr>
            <w:tcW w:w="34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hint="eastAsia" w:ascii="Arial" w:hAnsi="Arial"/>
                <w:sz w:val="18"/>
              </w:rPr>
              <w:t>1</w:t>
            </w:r>
          </w:p>
        </w:tc>
        <w:tc>
          <w:tcPr>
            <w:tcW w:w="116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TDB</w:t>
            </w:r>
          </w:p>
        </w:tc>
        <w:tc>
          <w:tcPr>
            <w:tcW w:w="2331"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TDB</w:t>
            </w:r>
          </w:p>
        </w:tc>
        <w:tc>
          <w:tcPr>
            <w:tcW w:w="1166"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TDB</w:t>
            </w:r>
          </w:p>
        </w:tc>
        <w:tc>
          <w:tcPr>
            <w:tcW w:w="34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sz w:val="18"/>
              </w:rPr>
            </w:pPr>
            <w:r>
              <w:rPr>
                <w:rFonts w:ascii="Arial" w:hAnsi="Arial"/>
                <w:sz w:val="18"/>
              </w:rPr>
              <w:t>TDB</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connectors as shown in TS 36.508[12] Annex A Figure A.</w:t>
      </w:r>
      <w:r>
        <w:rPr>
          <w:rFonts w:eastAsia="Malgun Gothic"/>
          <w:lang w:eastAsia="ko-KR"/>
        </w:rPr>
        <w:t>4</w:t>
      </w:r>
      <w:r>
        <w:rPr>
          <w:rFonts w:eastAsia="Malgun Gothic"/>
        </w:rPr>
        <w:t xml:space="preserve"> </w:t>
      </w:r>
      <w:bookmarkStart w:id="818" w:name="_Hlk134608608"/>
      <w:r>
        <w:rPr>
          <w:rFonts w:eastAsia="Malgun Gothic"/>
        </w:rPr>
        <w:t>using only main UE Tx/Rx antenna</w:t>
      </w:r>
      <w:bookmarkEnd w:id="818"/>
      <w:r>
        <w:rPr>
          <w:rFonts w:eastAsia="Malgun Gothic"/>
        </w:rPr>
        <w:t>.</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TS 36.521-1 [14] Annex C0, C.1 and C.3.1, and uplink signals according to TS 36.521-1 [14] Annex H.1 and H.3.1.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UL and DL Reference Measurement channels are set according to Table 7.6A.2.4.1-1.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TS 36.521-1 [14] Annex B.0.</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lang w:eastAsia="en-GB"/>
        </w:rPr>
        <w:t>UE location according to TS 36.508 [12] clause 4.13 is provided to the UE through AT commands or any other preconfigured means</w:t>
      </w:r>
      <w:r>
        <w:rPr>
          <w:rFonts w:eastAsia="Malgun Gothic"/>
        </w:rPr>
        <w:t>.</w:t>
      </w:r>
    </w:p>
    <w:p>
      <w:pPr>
        <w:pStyle w:val="111"/>
        <w:overflowPunct w:val="0"/>
        <w:autoSpaceDE w:val="0"/>
        <w:autoSpaceDN w:val="0"/>
        <w:adjustRightInd w:val="0"/>
        <w:contextualSpacing w:val="0"/>
        <w:textAlignment w:val="baseline"/>
        <w:rPr>
          <w:rFonts w:hint="eastAsia" w:eastAsia="Malgun Gothic"/>
        </w:rPr>
      </w:pPr>
      <w:r>
        <w:rPr>
          <w:rFonts w:hint="eastAsia" w:eastAsia="Malgun Gothic"/>
        </w:rPr>
        <w:t>7.</w:t>
      </w:r>
      <w:r>
        <w:rPr>
          <w:rFonts w:hint="eastAsia" w:eastAsia="Malgun Gothic"/>
        </w:rPr>
        <w:tab/>
      </w:r>
      <w:r>
        <w:rPr>
          <w:rFonts w:hint="eastAsia" w:eastAsia="Malgun Gothic"/>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rPr>
        <w:tab/>
      </w:r>
      <w:r>
        <w:rPr>
          <w:rFonts w:hint="eastAsia" w:eastAsia="Malgun Gothic"/>
        </w:rPr>
        <w:t>Ensure the UE is in State 3A-RF-CE according to TS 36.508 [12] clause 5.2A.2AA. Message contents are defined in clause 7.6A.2.4.3.</w:t>
      </w:r>
    </w:p>
    <w:p>
      <w:pPr>
        <w:pStyle w:val="9"/>
      </w:pPr>
      <w:r>
        <w:t>7.6A.2.4.2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 xml:space="preserve">SS transmits PDSCH via MPDCCH DCI format 6-1A for C_RNTI to transmit the DL RMC according to Table 7.6A.2.4.1-1. The SS sends downlink MAC padding bits on the DL RMC. The SS sends one sided dynamic OCNG Pattern OP.1 FDD/TDD for the DL-signal as described in TS 36.521-1 [14] Annex A.5.1.1/A.5.2.1. </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SS sends uplink scheduling information for each UL HARQ process via MPDCCH DCI format 6-0A for C_RNTI to schedule the UL RMC according to Table 7.6A.2.4.1-1. Since the UE has no payload data to send, the UE transmits uplink MAC padding bits on the UL RMC.</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signal generator for an interfering signal below the wanted signal in Case 1 according to Tables 7.6A.2.5-1 and 7.6A.2.5-2.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Throughput measurement, where:</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MU is the test system uplink power measurement uncertainty and is specified in [Table F.1.3-1] for the carrier frequency f and the channel bandwidth BW</w:t>
      </w:r>
    </w:p>
    <w:p>
      <w:pPr>
        <w:pStyle w:val="111"/>
        <w:overflowPunct w:val="0"/>
        <w:autoSpaceDE w:val="0"/>
        <w:autoSpaceDN w:val="0"/>
        <w:adjustRightInd w:val="0"/>
        <w:contextualSpacing w:val="0"/>
        <w:textAlignment w:val="baseline"/>
        <w:rPr>
          <w:rFonts w:eastAsia="Malgun Gothic"/>
        </w:rPr>
      </w:pPr>
      <w:r>
        <w:rPr>
          <w:rFonts w:eastAsia="Malgun Gothic"/>
        </w:rPr>
        <w:t>-</w:t>
      </w:r>
      <w:r>
        <w:rPr>
          <w:rFonts w:eastAsia="Malgun Gothic"/>
        </w:rPr>
        <w:tab/>
      </w:r>
      <w:r>
        <w:rPr>
          <w:rFonts w:eastAsia="Malgun Gothic"/>
        </w:rPr>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F.1.3-1].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Measure the average throughput for duration sufficient to achieve statistical significance according to TS 36.521-1 [14] Annex G.2.</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an interfering signal above the wanted signal in Case 1 at step 3.</w:t>
      </w:r>
    </w:p>
    <w:p>
      <w:pPr>
        <w:pStyle w:val="111"/>
        <w:overflowPunct w:val="0"/>
        <w:autoSpaceDE w:val="0"/>
        <w:autoSpaceDN w:val="0"/>
        <w:adjustRightInd w:val="0"/>
        <w:contextualSpacing w:val="0"/>
        <w:textAlignment w:val="baseline"/>
        <w:rPr>
          <w:rFonts w:eastAsia="Malgun Gothic"/>
        </w:rPr>
      </w:pPr>
      <w:r>
        <w:rPr>
          <w:rFonts w:eastAsia="Malgun Gothic"/>
        </w:rPr>
        <w:t>7.</w:t>
      </w:r>
      <w:r>
        <w:rPr>
          <w:rFonts w:eastAsia="Malgun Gothic"/>
        </w:rPr>
        <w:tab/>
      </w:r>
      <w:r>
        <w:rPr>
          <w:rFonts w:eastAsia="Malgun Gothic"/>
        </w:rPr>
        <w:t>Repeat steps from 3 to 6, using interfering signals in Case 2 at step 3</w:t>
      </w:r>
      <w:r>
        <w:rPr>
          <w:rFonts w:eastAsia="Malgun Gothic"/>
          <w:lang w:eastAsia="ko-KR"/>
        </w:rPr>
        <w:t xml:space="preserve"> </w:t>
      </w:r>
      <w:r>
        <w:rPr>
          <w:rFonts w:eastAsia="Malgun Gothic"/>
        </w:rPr>
        <w:t>and 6. The ranges of case 2 are covered in steps equal to the interferer bandwidth. The test frequencies are chosen in analogy to Table 7.6A.2.4.2-1.</w:t>
      </w:r>
    </w:p>
    <w:p>
      <w:pPr>
        <w:pStyle w:val="113"/>
      </w:pPr>
      <w:r>
        <w:t>Table 7.6A.2.4.2-1: Example for interferer frequencies</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3071"/>
        <w:gridCol w:w="3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p>
        </w:tc>
        <w:tc>
          <w:tcPr>
            <w:tcW w:w="3071" w:type="dxa"/>
          </w:tcPr>
          <w:p>
            <w:pPr>
              <w:pStyle w:val="104"/>
            </w:pPr>
            <w:r>
              <w:t>Lower frequency</w:t>
            </w:r>
          </w:p>
        </w:tc>
        <w:tc>
          <w:tcPr>
            <w:tcW w:w="3071" w:type="dxa"/>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Band 256 DL</w:t>
            </w:r>
          </w:p>
        </w:tc>
        <w:tc>
          <w:tcPr>
            <w:tcW w:w="3071" w:type="dxa"/>
          </w:tcPr>
          <w:p>
            <w:pPr>
              <w:pStyle w:val="105"/>
            </w:pPr>
            <w:r>
              <w:t>2170 MHz</w:t>
            </w:r>
          </w:p>
        </w:tc>
        <w:tc>
          <w:tcPr>
            <w:tcW w:w="3071" w:type="dxa"/>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Band 1 Midrange</w:t>
            </w:r>
          </w:p>
        </w:tc>
        <w:tc>
          <w:tcPr>
            <w:tcW w:w="6142" w:type="dxa"/>
            <w:gridSpan w:val="2"/>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Receive band wanted signal</w:t>
            </w:r>
          </w:p>
          <w:p>
            <w:pPr>
              <w:pStyle w:val="103"/>
            </w:pPr>
            <w:r>
              <w:t>(BW 1.4MHz)</w:t>
            </w:r>
          </w:p>
        </w:tc>
        <w:tc>
          <w:tcPr>
            <w:tcW w:w="3071" w:type="dxa"/>
          </w:tcPr>
          <w:p>
            <w:pPr>
              <w:pStyle w:val="105"/>
            </w:pPr>
            <w:r>
              <w:t>2184.3 MHz</w:t>
            </w:r>
          </w:p>
        </w:tc>
        <w:tc>
          <w:tcPr>
            <w:tcW w:w="3071" w:type="dxa"/>
          </w:tcPr>
          <w:p>
            <w:pPr>
              <w:pStyle w:val="105"/>
            </w:pPr>
            <w:r>
              <w:t>2145.7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Interferer case 1</w:t>
            </w:r>
          </w:p>
        </w:tc>
        <w:tc>
          <w:tcPr>
            <w:tcW w:w="3071" w:type="dxa"/>
          </w:tcPr>
          <w:p>
            <w:pPr>
              <w:pStyle w:val="105"/>
            </w:pPr>
            <w:r>
              <w:t>2182.1875 MHz</w:t>
            </w:r>
          </w:p>
        </w:tc>
        <w:tc>
          <w:tcPr>
            <w:tcW w:w="3071" w:type="dxa"/>
          </w:tcPr>
          <w:p>
            <w:pPr>
              <w:pStyle w:val="105"/>
            </w:pPr>
            <w:r>
              <w:t>2147.8125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Interferer case 2 (inner frequency)</w:t>
            </w:r>
          </w:p>
        </w:tc>
        <w:tc>
          <w:tcPr>
            <w:tcW w:w="3071" w:type="dxa"/>
          </w:tcPr>
          <w:p>
            <w:pPr>
              <w:pStyle w:val="105"/>
            </w:pPr>
            <w:r>
              <w:t>2180.7925 MHz</w:t>
            </w:r>
          </w:p>
        </w:tc>
        <w:tc>
          <w:tcPr>
            <w:tcW w:w="3071" w:type="dxa"/>
          </w:tcPr>
          <w:p>
            <w:pPr>
              <w:pStyle w:val="105"/>
            </w:pPr>
            <w:r>
              <w:t>2149.2075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Interferer case 2 (outer frequency)</w:t>
            </w:r>
          </w:p>
        </w:tc>
        <w:tc>
          <w:tcPr>
            <w:tcW w:w="3071" w:type="dxa"/>
          </w:tcPr>
          <w:p>
            <w:pPr>
              <w:pStyle w:val="105"/>
            </w:pPr>
            <w:r>
              <w:t>2167.1925 MHz</w:t>
            </w:r>
          </w:p>
        </w:tc>
        <w:tc>
          <w:tcPr>
            <w:tcW w:w="3071" w:type="dxa"/>
          </w:tcPr>
          <w:p>
            <w:pPr>
              <w:pStyle w:val="105"/>
            </w:pPr>
            <w:r>
              <w:t>2202.8075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Outer limit for in band blocking</w:t>
            </w:r>
          </w:p>
        </w:tc>
        <w:tc>
          <w:tcPr>
            <w:tcW w:w="3071" w:type="dxa"/>
          </w:tcPr>
          <w:p>
            <w:pPr>
              <w:pStyle w:val="105"/>
            </w:pPr>
            <w:r>
              <w:t>2155MHz</w:t>
            </w:r>
          </w:p>
        </w:tc>
        <w:tc>
          <w:tcPr>
            <w:tcW w:w="3071" w:type="dxa"/>
          </w:tcPr>
          <w:p>
            <w:pPr>
              <w:pStyle w:val="105"/>
            </w:pPr>
            <w:r>
              <w:t>2215MHz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Number of test frequencies case 2</w:t>
            </w:r>
          </w:p>
        </w:tc>
        <w:tc>
          <w:tcPr>
            <w:tcW w:w="3071" w:type="dxa"/>
          </w:tcPr>
          <w:p>
            <w:pPr>
              <w:pStyle w:val="105"/>
            </w:pPr>
            <w:r>
              <w:t>[10]</w:t>
            </w:r>
          </w:p>
        </w:tc>
        <w:tc>
          <w:tcPr>
            <w:tcW w:w="3071" w:type="dxa"/>
          </w:tcPr>
          <w:p>
            <w:pPr>
              <w:pStyle w:val="105"/>
            </w:pPr>
            <w:r>
              <w:t>[10]</w:t>
            </w:r>
          </w:p>
        </w:tc>
      </w:tr>
    </w:tbl>
    <w:p/>
    <w:p>
      <w:pPr>
        <w:pStyle w:val="9"/>
      </w:pPr>
      <w:r>
        <w:t>7.6A.2.4.3</w:t>
      </w:r>
      <w:r>
        <w:tab/>
      </w:r>
      <w:r>
        <w:t>Message Contents</w:t>
      </w:r>
    </w:p>
    <w:p>
      <w:r>
        <w:t xml:space="preserve">Message contents are according to TS 36.508 [12] subclause 4.6 with the condition CEModeA </w:t>
      </w:r>
      <w:r>
        <w:rPr>
          <w:rFonts w:eastAsia="Batang"/>
        </w:rPr>
        <w:t xml:space="preserve">and the </w:t>
      </w:r>
      <w:r>
        <w:t>following exception.</w:t>
      </w:r>
    </w:p>
    <w:p>
      <w:pPr>
        <w:pStyle w:val="113"/>
      </w:pPr>
      <w:r>
        <w:t>Table 7.6A.2.4.3-1: UplinkPowerControlDedicated</w:t>
      </w:r>
    </w:p>
    <w:tbl>
      <w:tblPr>
        <w:tblStyle w:val="89"/>
        <w:tblW w:w="0" w:type="auto"/>
        <w:tblInd w:w="-4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99" w:type="dxa"/>
          <w:bottom w:w="0" w:type="dxa"/>
          <w:right w:w="99" w:type="dxa"/>
        </w:tblCellMar>
      </w:tblPr>
      <w:tblGrid>
        <w:gridCol w:w="4537"/>
        <w:gridCol w:w="2268"/>
        <w:gridCol w:w="170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99" w:type="dxa"/>
            <w:bottom w:w="0" w:type="dxa"/>
            <w:right w:w="99" w:type="dxa"/>
          </w:tblCellMar>
        </w:tblPrEx>
        <w:tc>
          <w:tcPr>
            <w:tcW w:w="9781" w:type="dxa"/>
            <w:gridSpan w:val="4"/>
          </w:tcPr>
          <w:p>
            <w:pPr>
              <w:pStyle w:val="103"/>
            </w:pPr>
            <w:r>
              <w:t>Derivation Path: 36.331 clause 6.3.2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Pr>
          <w:p>
            <w:pPr>
              <w:pStyle w:val="104"/>
            </w:pPr>
            <w:r>
              <w:t>Information Element</w:t>
            </w:r>
          </w:p>
        </w:tc>
        <w:tc>
          <w:tcPr>
            <w:tcW w:w="2268" w:type="dxa"/>
          </w:tcPr>
          <w:p>
            <w:pPr>
              <w:pStyle w:val="104"/>
            </w:pPr>
            <w:r>
              <w:t>Value/remark</w:t>
            </w:r>
          </w:p>
        </w:tc>
        <w:tc>
          <w:tcPr>
            <w:tcW w:w="1701" w:type="dxa"/>
          </w:tcPr>
          <w:p>
            <w:pPr>
              <w:pStyle w:val="104"/>
            </w:pPr>
            <w:r>
              <w:t>Comment</w:t>
            </w:r>
          </w:p>
        </w:tc>
        <w:tc>
          <w:tcPr>
            <w:tcW w:w="1275" w:type="dxa"/>
          </w:tcPr>
          <w:p>
            <w:pPr>
              <w:pStyle w:val="104"/>
            </w:pPr>
            <w:r>
              <w:t>Condition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UplinkPowerControlDedicated-DEFAULT ::= SEQUENCE {</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p0-U</w:t>
            </w:r>
            <w:r>
              <w:rPr>
                <w:lang w:eastAsia="ko-KR"/>
              </w:rPr>
              <w:t>E-</w:t>
            </w:r>
            <w:r>
              <w:t xml:space="preserve">PUSCH </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deltaMCS-Enabled</w:t>
            </w:r>
          </w:p>
        </w:tc>
        <w:tc>
          <w:tcPr>
            <w:tcW w:w="2268" w:type="dxa"/>
            <w:tcBorders>
              <w:top w:val="single" w:color="auto" w:sz="4" w:space="0"/>
              <w:left w:val="single" w:color="auto" w:sz="4" w:space="0"/>
              <w:bottom w:val="single" w:color="auto" w:sz="4" w:space="0"/>
              <w:right w:val="single" w:color="auto" w:sz="4" w:space="0"/>
            </w:tcBorders>
          </w:tcPr>
          <w:p>
            <w:pPr>
              <w:pStyle w:val="103"/>
            </w:pPr>
            <w:r>
              <w:t>en0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accumulationEnabled</w:t>
            </w:r>
          </w:p>
        </w:tc>
        <w:tc>
          <w:tcPr>
            <w:tcW w:w="2268" w:type="dxa"/>
            <w:tcBorders>
              <w:top w:val="single" w:color="auto" w:sz="4" w:space="0"/>
              <w:left w:val="single" w:color="auto" w:sz="4" w:space="0"/>
              <w:bottom w:val="single" w:color="auto" w:sz="4" w:space="0"/>
              <w:right w:val="single" w:color="auto" w:sz="4" w:space="0"/>
            </w:tcBorders>
          </w:tcPr>
          <w:p>
            <w:pPr>
              <w:pStyle w:val="103"/>
            </w:pPr>
            <w:r>
              <w:t>TRUE</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p0-</w:t>
            </w:r>
            <w:r>
              <w:rPr>
                <w:lang w:eastAsia="ko-KR"/>
              </w:rPr>
              <w:t>UE-</w:t>
            </w:r>
            <w:r>
              <w:t>PUCCH</w:t>
            </w:r>
          </w:p>
        </w:tc>
        <w:tc>
          <w:tcPr>
            <w:tcW w:w="2268" w:type="dxa"/>
            <w:tcBorders>
              <w:top w:val="single" w:color="auto" w:sz="4" w:space="0"/>
              <w:left w:val="single" w:color="auto" w:sz="4" w:space="0"/>
              <w:bottom w:val="single" w:color="auto" w:sz="4" w:space="0"/>
              <w:right w:val="single" w:color="auto" w:sz="4" w:space="0"/>
            </w:tcBorders>
          </w:tcPr>
          <w:p>
            <w:pPr>
              <w:pStyle w:val="103"/>
            </w:pPr>
            <w:r>
              <w:t>0</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pSRS-Offset</w:t>
            </w:r>
          </w:p>
        </w:tc>
        <w:tc>
          <w:tcPr>
            <w:tcW w:w="2268" w:type="dxa"/>
            <w:tcBorders>
              <w:top w:val="single" w:color="auto" w:sz="4" w:space="0"/>
              <w:left w:val="single" w:color="auto" w:sz="4" w:space="0"/>
              <w:bottom w:val="single" w:color="auto" w:sz="4" w:space="0"/>
              <w:right w:val="single" w:color="auto" w:sz="4" w:space="0"/>
            </w:tcBorders>
          </w:tcPr>
          <w:p>
            <w:pPr>
              <w:pStyle w:val="103"/>
            </w:pPr>
            <w:r>
              <w:t>3 (-6 dB)</w:t>
            </w: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 xml:space="preserve">  filterCoefficient</w:t>
            </w:r>
          </w:p>
        </w:tc>
        <w:tc>
          <w:tcPr>
            <w:tcW w:w="2268" w:type="dxa"/>
            <w:tcBorders>
              <w:top w:val="single" w:color="auto" w:sz="4" w:space="0"/>
              <w:left w:val="single" w:color="auto" w:sz="4" w:space="0"/>
              <w:bottom w:val="single" w:color="auto" w:sz="4" w:space="0"/>
              <w:right w:val="single" w:color="auto" w:sz="4" w:space="0"/>
            </w:tcBorders>
          </w:tcPr>
          <w:p>
            <w:pPr>
              <w:pStyle w:val="103"/>
            </w:pPr>
            <w:r>
              <w:t>fc8</w:t>
            </w:r>
          </w:p>
        </w:tc>
        <w:tc>
          <w:tcPr>
            <w:tcW w:w="1701" w:type="dxa"/>
            <w:tcBorders>
              <w:top w:val="single" w:color="auto" w:sz="4" w:space="0"/>
              <w:left w:val="single" w:color="auto" w:sz="4" w:space="0"/>
              <w:bottom w:val="single" w:color="auto" w:sz="4" w:space="0"/>
              <w:right w:val="single" w:color="auto" w:sz="4" w:space="0"/>
            </w:tcBorders>
          </w:tcPr>
          <w:p>
            <w:pPr>
              <w:pStyle w:val="103"/>
            </w:pPr>
            <w:r>
              <w:t>larger filter length is used to reduce the RSRP measurement variation</w:t>
            </w:r>
          </w:p>
        </w:tc>
        <w:tc>
          <w:tcPr>
            <w:tcW w:w="1275"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7" w:type="dxa"/>
            <w:tcBorders>
              <w:top w:val="single" w:color="auto" w:sz="4" w:space="0"/>
              <w:left w:val="single" w:color="auto" w:sz="4" w:space="0"/>
              <w:bottom w:val="single" w:color="auto" w:sz="4" w:space="0"/>
              <w:right w:val="single" w:color="auto" w:sz="4" w:space="0"/>
            </w:tcBorders>
          </w:tcPr>
          <w:p>
            <w:pPr>
              <w:pStyle w:val="103"/>
            </w:pPr>
            <w:r>
              <w:t>}</w:t>
            </w:r>
          </w:p>
        </w:tc>
        <w:tc>
          <w:tcPr>
            <w:tcW w:w="2268" w:type="dxa"/>
            <w:tcBorders>
              <w:top w:val="single" w:color="auto" w:sz="4" w:space="0"/>
              <w:left w:val="single" w:color="auto" w:sz="4" w:space="0"/>
              <w:bottom w:val="single" w:color="auto" w:sz="4" w:space="0"/>
              <w:right w:val="single" w:color="auto" w:sz="4" w:space="0"/>
            </w:tcBorders>
          </w:tcPr>
          <w:p>
            <w:pPr>
              <w:pStyle w:val="103"/>
            </w:pPr>
          </w:p>
        </w:tc>
        <w:tc>
          <w:tcPr>
            <w:tcW w:w="1701" w:type="dxa"/>
            <w:tcBorders>
              <w:top w:val="single" w:color="auto" w:sz="4" w:space="0"/>
              <w:left w:val="single" w:color="auto" w:sz="4" w:space="0"/>
              <w:bottom w:val="single" w:color="auto" w:sz="4" w:space="0"/>
              <w:right w:val="single" w:color="auto" w:sz="4" w:space="0"/>
            </w:tcBorders>
          </w:tcPr>
          <w:p>
            <w:pPr>
              <w:pStyle w:val="103"/>
            </w:pPr>
          </w:p>
        </w:tc>
        <w:tc>
          <w:tcPr>
            <w:tcW w:w="1275" w:type="dxa"/>
            <w:tcBorders>
              <w:top w:val="single" w:color="auto" w:sz="4" w:space="0"/>
              <w:left w:val="single" w:color="auto" w:sz="4" w:space="0"/>
              <w:bottom w:val="single" w:color="auto" w:sz="4" w:space="0"/>
              <w:right w:val="single" w:color="auto" w:sz="4" w:space="0"/>
            </w:tcBorders>
          </w:tcPr>
          <w:p>
            <w:pPr>
              <w:pStyle w:val="103"/>
            </w:pPr>
          </w:p>
        </w:tc>
      </w:tr>
    </w:tbl>
    <w:p/>
    <w:p>
      <w:pPr>
        <w:pStyle w:val="9"/>
      </w:pPr>
      <w:r>
        <w:t>7.6A.2.5</w:t>
      </w:r>
      <w:r>
        <w:tab/>
      </w:r>
      <w:r>
        <w:t>Test Requirement</w:t>
      </w:r>
    </w:p>
    <w:p>
      <w:r>
        <w:t>The throughput measurement derived in test procedure shall be ≥ 95% of the maximum throughput of the reference measurement channels as specified in TS 36.521-1 [14] Annex A.3.2 with parameters specified in Tables 7.6A.2.5-1 and 7.6A.2.5-2.</w:t>
      </w:r>
    </w:p>
    <w:p>
      <w:pPr>
        <w:pStyle w:val="113"/>
        <w:rPr>
          <w:lang w:eastAsia="ko-KR"/>
        </w:rPr>
      </w:pPr>
      <w:r>
        <w:t xml:space="preserve">Table </w:t>
      </w:r>
      <w:r>
        <w:rPr>
          <w:rFonts w:eastAsia="MS Mincho"/>
        </w:rPr>
        <w:t>7.6A.2.5-1</w:t>
      </w:r>
      <w:r>
        <w:t>: In band blocking parameters</w:t>
      </w:r>
    </w:p>
    <w:tbl>
      <w:tblPr>
        <w:tblStyle w:val="89"/>
        <w:tblW w:w="86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1"/>
        <w:gridCol w:w="707"/>
        <w:gridCol w:w="63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Rx parameter</w:t>
            </w:r>
          </w:p>
        </w:tc>
        <w:tc>
          <w:tcPr>
            <w:tcW w:w="707" w:type="dxa"/>
            <w:vMerge w:val="restart"/>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Units </w:t>
            </w: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 xml:space="preserve">1.4 MHz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restart"/>
            <w:tcBorders>
              <w:top w:val="single" w:color="auto" w:sz="4" w:space="0"/>
              <w:left w:val="single" w:color="auto" w:sz="4" w:space="0"/>
              <w:bottom w:val="single" w:color="auto" w:sz="4" w:space="0"/>
              <w:right w:val="single" w:color="auto" w:sz="4" w:space="0"/>
            </w:tcBorders>
            <w:vAlign w:val="center"/>
          </w:tcPr>
          <w:p>
            <w:pPr>
              <w:pStyle w:val="103"/>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Power in Transmission Bandwidth Configuration</w:t>
            </w:r>
          </w:p>
        </w:tc>
        <w:tc>
          <w:tcPr>
            <w:tcW w:w="707" w:type="dxa"/>
            <w:vMerge w:val="restart"/>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REFSENS + channel bandwidth specific value below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707" w:type="dxa"/>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color w:val="000000" w:themeColor="text1"/>
                <w:sz w:val="18"/>
                <w14:textFill>
                  <w14:solidFill>
                    <w14:schemeClr w14:val="tx1"/>
                  </w14:solidFill>
                </w14:textFill>
              </w:rPr>
            </w:pP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BW</w:t>
            </w:r>
            <w:r>
              <w:rPr>
                <w:rFonts w:cs="Arial"/>
                <w:bCs/>
                <w:color w:val="000000" w:themeColor="text1"/>
                <w:vertAlign w:val="subscript"/>
                <w14:textFill>
                  <w14:solidFill>
                    <w14:schemeClr w14:val="tx1"/>
                  </w14:solidFill>
                </w14:textFill>
              </w:rPr>
              <w:t xml:space="preserve">Interferer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i/>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1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2.1+0.0125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dxa"/>
            <w:tcBorders>
              <w:top w:val="single" w:color="auto" w:sz="4" w:space="0"/>
              <w:left w:val="single" w:color="auto" w:sz="4" w:space="0"/>
              <w:bottom w:val="single" w:color="auto" w:sz="4" w:space="0"/>
              <w:right w:val="single" w:color="auto" w:sz="4" w:space="0"/>
            </w:tcBorders>
          </w:tcPr>
          <w:p>
            <w:pPr>
              <w:pStyle w:val="103"/>
              <w:rPr>
                <w:rFonts w:cs="Arial"/>
                <w:bCs/>
                <w:color w:val="000000" w:themeColor="text1"/>
                <w14:textFill>
                  <w14:solidFill>
                    <w14:schemeClr w14:val="tx1"/>
                  </w14:solidFill>
                </w14:textFill>
              </w:rPr>
            </w:pPr>
            <w:r>
              <w:rPr>
                <w:rFonts w:cs="Arial"/>
                <w:bCs/>
                <w:color w:val="000000" w:themeColor="text1"/>
                <w14:textFill>
                  <w14:solidFill>
                    <w14:schemeClr w14:val="tx1"/>
                  </w14:solidFill>
                </w14:textFill>
              </w:rPr>
              <w:t>F</w:t>
            </w:r>
            <w:r>
              <w:rPr>
                <w:rFonts w:cs="Arial"/>
                <w:bCs/>
                <w:color w:val="000000" w:themeColor="text1"/>
                <w:vertAlign w:val="subscript"/>
                <w14:textFill>
                  <w14:solidFill>
                    <w14:schemeClr w14:val="tx1"/>
                  </w14:solidFill>
                </w14:textFill>
              </w:rPr>
              <w:t xml:space="preserve">Ioffset, case 2 </w:t>
            </w:r>
          </w:p>
        </w:tc>
        <w:tc>
          <w:tcPr>
            <w:tcW w:w="707"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6384" w:type="dxa"/>
            <w:tcBorders>
              <w:top w:val="single" w:color="auto" w:sz="4" w:space="0"/>
              <w:left w:val="single" w:color="auto" w:sz="4" w:space="0"/>
              <w:bottom w:val="single" w:color="auto" w:sz="4" w:space="0"/>
              <w:right w:val="single" w:color="auto" w:sz="4" w:space="0"/>
            </w:tcBorders>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3.5+0.0075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8642" w:type="dxa"/>
            <w:gridSpan w:val="3"/>
            <w:tcBorders>
              <w:top w:val="single" w:color="auto" w:sz="4" w:space="0"/>
              <w:left w:val="single" w:color="auto" w:sz="4" w:space="0"/>
              <w:bottom w:val="single" w:color="auto" w:sz="4" w:space="0"/>
              <w:right w:val="single" w:color="auto" w:sz="4" w:space="0"/>
            </w:tcBorders>
          </w:tcPr>
          <w:p>
            <w:pPr>
              <w:pStyle w:val="118"/>
              <w:rPr>
                <w:rFonts w:eastAsia="MS Mincho" w:cs="Arial"/>
              </w:rPr>
            </w:pPr>
            <w:r>
              <w:rPr>
                <w:rFonts w:eastAsia="MS Mincho" w:cs="Arial"/>
              </w:rPr>
              <w:t xml:space="preserve">NOTE 1: </w:t>
            </w:r>
            <w:r>
              <w:rPr>
                <w:rFonts w:eastAsia="MS Mincho" w:cs="Arial"/>
              </w:rPr>
              <w:tab/>
            </w:r>
            <w:r>
              <w:rPr>
                <w:rFonts w:eastAsia="MS Mincho" w:cs="Arial"/>
              </w:rPr>
              <w:t xml:space="preserve">The transmitter shall be set to 4dB below </w:t>
            </w:r>
            <w:r>
              <w:rPr>
                <w:rFonts w:cs="Arial"/>
              </w:rPr>
              <w:t>P</w:t>
            </w:r>
            <w:r>
              <w:rPr>
                <w:rFonts w:cs="Arial"/>
                <w:sz w:val="12"/>
                <w:szCs w:val="12"/>
              </w:rPr>
              <w:t>CMAX_L</w:t>
            </w:r>
            <w:r>
              <w:rPr>
                <w:rFonts w:eastAsia="MS Mincho" w:cs="Arial"/>
              </w:rPr>
              <w:t xml:space="preserve"> at the minimum uplink configuration specified in Table 7.3A-3 with </w:t>
            </w:r>
            <w:r>
              <w:rPr>
                <w:rFonts w:cs="Arial"/>
              </w:rPr>
              <w:t>P</w:t>
            </w:r>
            <w:r>
              <w:rPr>
                <w:rFonts w:cs="Arial"/>
                <w:sz w:val="12"/>
                <w:szCs w:val="12"/>
              </w:rPr>
              <w:t>CMAX_L</w:t>
            </w:r>
            <w:r>
              <w:rPr>
                <w:rFonts w:eastAsia="MS Mincho" w:cs="Arial"/>
              </w:rPr>
              <w:t xml:space="preserve"> as defined in subclause 6.2.5 of TS 36.101 [7].</w:t>
            </w:r>
          </w:p>
          <w:p>
            <w:pPr>
              <w:pStyle w:val="118"/>
              <w:rPr>
                <w:rFonts w:eastAsia="MS Mincho" w:cs="Arial"/>
              </w:rPr>
            </w:pPr>
            <w:r>
              <w:rPr>
                <w:rFonts w:eastAsia="MS Mincho" w:cs="Arial"/>
              </w:rPr>
              <w:t>NOTE 2:</w:t>
            </w:r>
            <w:r>
              <w:rPr>
                <w:rFonts w:eastAsia="MS Mincho" w:cs="Arial"/>
              </w:rPr>
              <w:tab/>
            </w:r>
            <w:r>
              <w:rPr>
                <w:rFonts w:eastAsia="MS Mincho" w:cs="Arial"/>
              </w:rPr>
              <w:t xml:space="preserve">The interferer consists of the Reference measurement channel specified in TS 36.101 [7] Annex A.3.2 with </w:t>
            </w:r>
            <w:r>
              <w:rPr>
                <w:rFonts w:cs="Arial"/>
              </w:rPr>
              <w:t xml:space="preserve">one sided dynamic OCNG Pattern OP.1 FDD as described in Annex A.5.1.1 and </w:t>
            </w:r>
            <w:r>
              <w:rPr>
                <w:rFonts w:eastAsia="MS Mincho" w:cs="Arial"/>
              </w:rPr>
              <w:t>set-up according to Annex C.3.1.</w:t>
            </w:r>
          </w:p>
          <w:p>
            <w:pPr>
              <w:pStyle w:val="118"/>
              <w:rPr>
                <w:rFonts w:eastAsia="MS Mincho" w:cs="Arial"/>
              </w:rPr>
            </w:pPr>
            <w:r>
              <w:rPr>
                <w:rFonts w:eastAsia="MS Mincho" w:cs="Arial"/>
              </w:rPr>
              <w:t>NOTE 3:</w:t>
            </w:r>
            <w:r>
              <w:rPr>
                <w:rFonts w:eastAsia="MS Mincho" w:cs="Arial"/>
              </w:rPr>
              <w:tab/>
            </w:r>
            <w:r>
              <w:rPr>
                <w:rFonts w:eastAsia="MS Mincho" w:cs="Arial"/>
              </w:rPr>
              <w:t>For DL category M1 UE, the reference sensitivity for category M1 in table 7.3A-1 should be used as REFSENS for the power in Transmission Bandwidth Configuration.</w:t>
            </w:r>
          </w:p>
          <w:p>
            <w:pPr>
              <w:pStyle w:val="118"/>
              <w:rPr>
                <w:rFonts w:eastAsia="MS Mincho" w:cs="Arial"/>
                <w:color w:val="000000" w:themeColor="text1"/>
                <w14:textFill>
                  <w14:solidFill>
                    <w14:schemeClr w14:val="tx1"/>
                  </w14:solidFill>
                </w14:textFill>
              </w:rPr>
            </w:pPr>
            <w:r>
              <w:rPr>
                <w:rFonts w:eastAsia="MS Mincho" w:cs="Arial"/>
              </w:rPr>
              <w:t>NOTE 4:</w:t>
            </w:r>
            <w:r>
              <w:rPr>
                <w:rFonts w:eastAsia="MS Mincho" w:cs="Arial"/>
              </w:rPr>
              <w:tab/>
            </w:r>
            <w:r>
              <w:rPr>
                <w:rFonts w:cs="Arial"/>
              </w:rPr>
              <w:t>For DL category M1 UE, the parameters for the applicable channel bandwidth apply.</w:t>
            </w:r>
          </w:p>
        </w:tc>
      </w:tr>
    </w:tbl>
    <w:p>
      <w:pPr>
        <w:rPr>
          <w:rFonts w:eastAsiaTheme="minorEastAsia"/>
          <w:lang w:eastAsia="zh-TW"/>
        </w:rPr>
      </w:pPr>
    </w:p>
    <w:p>
      <w:pPr>
        <w:pStyle w:val="113"/>
      </w:pPr>
      <w:r>
        <w:t>Table 7.6A.2.5-2: In-band blocking</w:t>
      </w:r>
    </w:p>
    <w:tbl>
      <w:tblPr>
        <w:tblStyle w:val="89"/>
        <w:tblW w:w="920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00"/>
        <w:gridCol w:w="1134"/>
        <w:gridCol w:w="724"/>
        <w:gridCol w:w="3074"/>
        <w:gridCol w:w="3074"/>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restart"/>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E-UTRA band</w:t>
            </w:r>
          </w:p>
        </w:tc>
        <w:tc>
          <w:tcPr>
            <w:tcW w:w="113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Parameter</w:t>
            </w:r>
          </w:p>
        </w:tc>
        <w:tc>
          <w:tcPr>
            <w:tcW w:w="72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Unit</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1</w:t>
            </w:r>
          </w:p>
        </w:tc>
        <w:tc>
          <w:tcPr>
            <w:tcW w:w="3074" w:type="dxa"/>
            <w:tcBorders>
              <w:top w:val="single" w:color="000000" w:sz="6" w:space="0"/>
              <w:left w:val="single" w:color="000000" w:sz="6" w:space="0"/>
              <w:bottom w:val="single" w:color="000000" w:sz="6" w:space="0"/>
              <w:right w:val="single" w:color="000000" w:sz="6" w:space="0"/>
            </w:tcBorders>
          </w:tcPr>
          <w:p>
            <w:pPr>
              <w:pStyle w:val="104"/>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P</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dBm</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-56</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-44</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vMerge w:val="continue"/>
            <w:tcBorders>
              <w:top w:val="single" w:color="000000" w:sz="6" w:space="0"/>
              <w:left w:val="single" w:color="000000" w:sz="6" w:space="0"/>
              <w:bottom w:val="single" w:color="000000" w:sz="6" w:space="0"/>
              <w:right w:val="single" w:color="000000" w:sz="6" w:space="0"/>
            </w:tcBorders>
            <w:vAlign w:val="center"/>
          </w:tcPr>
          <w:p>
            <w:pPr>
              <w:spacing w:after="0"/>
              <w:rPr>
                <w:rFonts w:ascii="Arial" w:hAnsi="Arial" w:cs="Arial"/>
                <w:b/>
                <w:color w:val="000000" w:themeColor="text1"/>
                <w:sz w:val="18"/>
                <w14:textFill>
                  <w14:solidFill>
                    <w14:schemeClr w14:val="tx1"/>
                  </w14:solidFill>
                </w14:textFill>
              </w:rPr>
            </w:pP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r>
              <w:rPr>
                <w:rFonts w:cs="Arial"/>
                <w:color w:val="000000" w:themeColor="text1"/>
                <w14:textFill>
                  <w14:solidFill>
                    <w14:schemeClr w14:val="tx1"/>
                  </w14:solidFill>
                </w14:textFill>
              </w:rPr>
              <w:t xml:space="preserve"> (offset)</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30"/>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30"/>
              <w:rPr>
                <w:rFonts w:cs="Arial"/>
                <w:color w:val="000000" w:themeColor="text1"/>
                <w:vertAlign w:val="subscript"/>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1</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&amp;</w:t>
            </w:r>
          </w:p>
          <w:p>
            <w:pPr>
              <w:pStyle w:val="105"/>
              <w:ind w:left="-108"/>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≥+BW/2 + F</w:t>
            </w:r>
            <w:r>
              <w:rPr>
                <w:rFonts w:cs="Arial"/>
                <w:color w:val="000000" w:themeColor="text1"/>
                <w:vertAlign w:val="subscript"/>
                <w14:textFill>
                  <w14:solidFill>
                    <w14:schemeClr w14:val="tx1"/>
                  </w14:solidFill>
                </w14:textFill>
              </w:rPr>
              <w:t>Ioffset,case 2</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00"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256, 255</w:t>
            </w:r>
          </w:p>
        </w:tc>
        <w:tc>
          <w:tcPr>
            <w:tcW w:w="113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Interferer</w:t>
            </w:r>
          </w:p>
        </w:tc>
        <w:tc>
          <w:tcPr>
            <w:tcW w:w="72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MHz</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(NOTE 2)</w:t>
            </w:r>
          </w:p>
        </w:tc>
        <w:tc>
          <w:tcPr>
            <w:tcW w:w="3074" w:type="dxa"/>
            <w:tcBorders>
              <w:top w:val="single" w:color="000000" w:sz="6" w:space="0"/>
              <w:left w:val="single" w:color="000000" w:sz="6" w:space="0"/>
              <w:bottom w:val="single" w:color="000000" w:sz="6" w:space="0"/>
              <w:right w:val="single" w:color="000000" w:sz="6" w:space="0"/>
            </w:tcBorders>
            <w:vAlign w:val="center"/>
          </w:tcPr>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DL_low </w:t>
            </w:r>
            <w:r>
              <w:rPr>
                <w:rFonts w:cs="Arial"/>
                <w:color w:val="000000" w:themeColor="text1"/>
                <w14:textFill>
                  <w14:solidFill>
                    <w14:schemeClr w14:val="tx1"/>
                  </w14:solidFill>
                </w14:textFill>
              </w:rPr>
              <w:t>– 15</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to</w:t>
            </w:r>
          </w:p>
          <w:p>
            <w:pPr>
              <w:pStyle w:val="105"/>
              <w:rPr>
                <w:rFonts w:cs="Arial"/>
                <w:color w:val="000000" w:themeColor="text1"/>
                <w14:textFill>
                  <w14:solidFill>
                    <w14:schemeClr w14:val="tx1"/>
                  </w14:solidFill>
                </w14:textFill>
              </w:rPr>
            </w:pPr>
            <w:r>
              <w:rPr>
                <w:rFonts w:cs="Arial"/>
                <w:color w:val="000000" w:themeColor="text1"/>
                <w14:textFill>
                  <w14:solidFill>
                    <w14:schemeClr w14:val="tx1"/>
                  </w14:solidFill>
                </w14:textFill>
              </w:rPr>
              <w:t>F</w:t>
            </w:r>
            <w:r>
              <w:rPr>
                <w:rFonts w:cs="Arial"/>
                <w:color w:val="000000" w:themeColor="text1"/>
                <w:vertAlign w:val="subscript"/>
                <w14:textFill>
                  <w14:solidFill>
                    <w14:schemeClr w14:val="tx1"/>
                  </w14:solidFill>
                </w14:textFill>
              </w:rPr>
              <w:t xml:space="preserve">DL_high </w:t>
            </w:r>
            <w:r>
              <w:rPr>
                <w:rFonts w:cs="Arial"/>
                <w:color w:val="000000" w:themeColor="text1"/>
                <w14:textFill>
                  <w14:solidFill>
                    <w14:schemeClr w14:val="tx1"/>
                  </w14:solidFill>
                </w14:textFill>
              </w:rPr>
              <w:t>+ 15</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9206" w:type="dxa"/>
            <w:gridSpan w:val="5"/>
            <w:tcBorders>
              <w:top w:val="single" w:color="000000" w:sz="6" w:space="0"/>
              <w:left w:val="single" w:color="000000" w:sz="6" w:space="0"/>
              <w:bottom w:val="single" w:color="000000" w:sz="6" w:space="0"/>
              <w:right w:val="single" w:color="000000" w:sz="6" w:space="0"/>
            </w:tcBorders>
            <w:vAlign w:val="center"/>
          </w:tcPr>
          <w:p>
            <w:pPr>
              <w:pStyle w:val="118"/>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pPr>
              <w:pStyle w:val="118"/>
              <w:rPr>
                <w:rFonts w:eastAsia="MS Mincho" w:cs="Arial"/>
              </w:rPr>
            </w:pPr>
            <w:r>
              <w:rPr>
                <w:rFonts w:cs="Arial"/>
              </w:rPr>
              <w:t>NOTE 2:</w:t>
            </w:r>
            <w:r>
              <w:rPr>
                <w:rFonts w:cs="Arial"/>
              </w:rPr>
              <w:tab/>
            </w:r>
            <w:r>
              <w:rPr>
                <w:rFonts w:eastAsia="MS Mincho" w:cs="Arial"/>
              </w:rPr>
              <w:t>For each carrier frequency the requirement is valid for two frequencies:</w:t>
            </w:r>
          </w:p>
          <w:p>
            <w:pPr>
              <w:pStyle w:val="118"/>
              <w:ind w:left="1987"/>
              <w:rPr>
                <w:rFonts w:eastAsia="MS Mincho" w:cs="Arial"/>
              </w:rPr>
            </w:pPr>
            <w:r>
              <w:rPr>
                <w:rFonts w:eastAsia="MS Mincho" w:cs="Arial"/>
              </w:rPr>
              <w:t>a. the carrier frequency -BW/2 - F</w:t>
            </w:r>
            <w:r>
              <w:rPr>
                <w:rFonts w:eastAsia="MS Mincho" w:cs="Arial"/>
                <w:vertAlign w:val="subscript"/>
              </w:rPr>
              <w:t xml:space="preserve">Ioffset, case 1 </w:t>
            </w:r>
            <w:r>
              <w:rPr>
                <w:rFonts w:eastAsia="MS Mincho" w:cs="Arial"/>
              </w:rPr>
              <w:t>and</w:t>
            </w:r>
          </w:p>
          <w:p>
            <w:pPr>
              <w:pStyle w:val="118"/>
              <w:ind w:left="1987"/>
              <w:rPr>
                <w:rFonts w:eastAsia="MS Mincho" w:cs="Arial"/>
              </w:rPr>
            </w:pPr>
            <w:r>
              <w:rPr>
                <w:rFonts w:eastAsia="MS Mincho" w:cs="Arial"/>
              </w:rPr>
              <w:t>b. the carrier frequency +BW/2 + F</w:t>
            </w:r>
            <w:r>
              <w:rPr>
                <w:rFonts w:eastAsia="MS Mincho" w:cs="Arial"/>
                <w:vertAlign w:val="subscript"/>
              </w:rPr>
              <w:t>Ioffset, case 1</w:t>
            </w:r>
          </w:p>
          <w:p>
            <w:pPr>
              <w:pStyle w:val="105"/>
              <w:jc w:val="left"/>
              <w:rPr>
                <w:rFonts w:cs="Arial" w:eastAsiaTheme="minorEastAsia"/>
                <w:color w:val="000000" w:themeColor="text1"/>
                <w14:textFill>
                  <w14:solidFill>
                    <w14:schemeClr w14:val="tx1"/>
                  </w14:solidFill>
                </w14:textFill>
              </w:rPr>
            </w:pPr>
            <w:r>
              <w:rPr>
                <w:rFonts w:cs="Arial"/>
              </w:rPr>
              <w:t>NOTE 3:</w:t>
            </w:r>
            <w:r>
              <w:rPr>
                <w:rFonts w:cs="Arial"/>
              </w:rPr>
              <w:tab/>
            </w:r>
            <w:r>
              <w:rPr>
                <w:rFonts w:cs="Arial"/>
              </w:rPr>
              <w:t>F</w:t>
            </w:r>
            <w:r>
              <w:rPr>
                <w:rFonts w:cs="Arial"/>
                <w:vertAlign w:val="subscript"/>
              </w:rPr>
              <w:t>Interferer</w:t>
            </w:r>
            <w:r>
              <w:rPr>
                <w:rFonts w:cs="Arial"/>
              </w:rPr>
              <w:t xml:space="preserve"> range values for unwanted modulated interfering signal are interferer center frequencies </w:t>
            </w:r>
          </w:p>
        </w:tc>
      </w:tr>
    </w:tbl>
    <w:p>
      <w:pPr>
        <w:rPr>
          <w:lang w:eastAsia="zh-TW"/>
        </w:rPr>
      </w:pPr>
    </w:p>
    <w:p>
      <w:pPr>
        <w:pStyle w:val="5"/>
      </w:pPr>
      <w:bookmarkStart w:id="819" w:name="_Toc121162896"/>
      <w:bookmarkStart w:id="820" w:name="_Toc20931"/>
      <w:bookmarkStart w:id="821" w:name="_Toc10706"/>
      <w:bookmarkStart w:id="822" w:name="_Toc120570104"/>
      <w:bookmarkStart w:id="823" w:name="_Toc21242"/>
      <w:r>
        <w:t>7.6A.3</w:t>
      </w:r>
      <w:r>
        <w:tab/>
      </w:r>
      <w:r>
        <w:t>Out-of-band blocking for category M1</w:t>
      </w:r>
      <w:bookmarkEnd w:id="819"/>
      <w:bookmarkEnd w:id="820"/>
      <w:bookmarkEnd w:id="821"/>
      <w:bookmarkEnd w:id="822"/>
      <w:bookmarkEnd w:id="823"/>
    </w:p>
    <w:p>
      <w:pPr>
        <w:rPr>
          <w:lang w:eastAsia="en-GB"/>
        </w:rPr>
      </w:pPr>
    </w:p>
    <w:p>
      <w:pPr>
        <w:pStyle w:val="5"/>
        <w:rPr>
          <w:rFonts w:eastAsia="MS Mincho"/>
        </w:rPr>
      </w:pPr>
      <w:bookmarkStart w:id="824" w:name="_Toc121162897"/>
      <w:bookmarkStart w:id="825" w:name="_Toc5932"/>
      <w:bookmarkStart w:id="826" w:name="_Toc3365"/>
      <w:bookmarkStart w:id="827" w:name="_Toc120570105"/>
      <w:bookmarkStart w:id="828" w:name="_Toc584"/>
      <w:r>
        <w:rPr>
          <w:rFonts w:eastAsia="MS Mincho"/>
        </w:rPr>
        <w:t>7.6A.4</w:t>
      </w:r>
      <w:r>
        <w:rPr>
          <w:rFonts w:eastAsia="MS Mincho"/>
        </w:rPr>
        <w:tab/>
      </w:r>
      <w:r>
        <w:rPr>
          <w:rFonts w:eastAsia="MS Mincho"/>
        </w:rPr>
        <w:t>Narrow band blocking for category M1</w:t>
      </w:r>
      <w:bookmarkEnd w:id="824"/>
      <w:bookmarkEnd w:id="825"/>
      <w:bookmarkEnd w:id="826"/>
      <w:bookmarkEnd w:id="827"/>
      <w:bookmarkEnd w:id="828"/>
    </w:p>
    <w:p>
      <w:pPr>
        <w:rPr>
          <w:lang w:eastAsia="zh-TW"/>
        </w:rPr>
      </w:pPr>
    </w:p>
    <w:p>
      <w:pPr>
        <w:pStyle w:val="4"/>
      </w:pPr>
      <w:bookmarkStart w:id="829" w:name="_Toc6208"/>
      <w:bookmarkStart w:id="830" w:name="_Toc2045"/>
      <w:bookmarkStart w:id="831" w:name="_Toc121162898"/>
      <w:bookmarkStart w:id="832" w:name="_Toc120570106"/>
      <w:bookmarkStart w:id="833" w:name="_Toc120812863"/>
      <w:bookmarkStart w:id="834" w:name="_Toc10236"/>
      <w:r>
        <w:t>7.6B</w:t>
      </w:r>
      <w:r>
        <w:tab/>
      </w:r>
      <w:r>
        <w:t>Blocking characteristics for category NB1 and NB2</w:t>
      </w:r>
      <w:bookmarkEnd w:id="829"/>
      <w:bookmarkEnd w:id="830"/>
      <w:bookmarkEnd w:id="831"/>
      <w:bookmarkEnd w:id="832"/>
      <w:bookmarkEnd w:id="833"/>
      <w:bookmarkEnd w:id="834"/>
    </w:p>
    <w:p>
      <w:pPr>
        <w:pStyle w:val="5"/>
      </w:pPr>
      <w:bookmarkStart w:id="835" w:name="_Toc15345"/>
      <w:bookmarkStart w:id="836" w:name="_Toc20001"/>
      <w:bookmarkStart w:id="837" w:name="_Toc120812864"/>
      <w:bookmarkStart w:id="838" w:name="_Toc120570107"/>
      <w:bookmarkStart w:id="839" w:name="_Toc121162899"/>
      <w:bookmarkStart w:id="840" w:name="_Toc18459"/>
      <w:r>
        <w:t>7.6B.1</w:t>
      </w:r>
      <w:r>
        <w:tab/>
      </w:r>
      <w:r>
        <w:t>General</w:t>
      </w:r>
      <w:bookmarkEnd w:id="835"/>
      <w:bookmarkEnd w:id="836"/>
      <w:bookmarkEnd w:id="837"/>
      <w:bookmarkEnd w:id="838"/>
      <w:bookmarkEnd w:id="839"/>
      <w:bookmarkEnd w:id="840"/>
    </w:p>
    <w:p/>
    <w:p>
      <w:pPr>
        <w:pStyle w:val="5"/>
      </w:pPr>
      <w:bookmarkStart w:id="841" w:name="_Toc12368"/>
      <w:bookmarkStart w:id="842" w:name="_Toc21503"/>
      <w:bookmarkStart w:id="843" w:name="_Toc121162900"/>
      <w:bookmarkStart w:id="844" w:name="_Toc23249"/>
      <w:bookmarkStart w:id="845" w:name="_Toc120570108"/>
      <w:bookmarkStart w:id="846" w:name="_Toc368026383"/>
      <w:r>
        <w:t>7.6B.2</w:t>
      </w:r>
      <w:r>
        <w:tab/>
      </w:r>
      <w:r>
        <w:t>In-band blocking for category NB1 and NB2</w:t>
      </w:r>
      <w:bookmarkEnd w:id="841"/>
      <w:bookmarkEnd w:id="842"/>
      <w:bookmarkEnd w:id="843"/>
      <w:bookmarkEnd w:id="844"/>
      <w:bookmarkEnd w:id="845"/>
    </w:p>
    <w:p>
      <w:pPr>
        <w:pStyle w:val="112"/>
        <w:rPr>
          <w:lang w:val="en-US"/>
        </w:rPr>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Test Points analysis is TBD</w:t>
      </w:r>
    </w:p>
    <w:p>
      <w:pPr>
        <w:pStyle w:val="112"/>
      </w:pPr>
      <w:r>
        <w:t>- Test configuration is TBD</w:t>
      </w:r>
    </w:p>
    <w:p>
      <w:pPr>
        <w:pStyle w:val="9"/>
      </w:pPr>
      <w:r>
        <w:rPr>
          <w:rFonts w:eastAsia="??"/>
        </w:rPr>
        <w:t>7.6B.2.1</w:t>
      </w:r>
      <w:r>
        <w:rPr>
          <w:rFonts w:eastAsia="??"/>
        </w:rPr>
        <w:tab/>
      </w:r>
      <w:r>
        <w:rPr>
          <w:rFonts w:eastAsia="??"/>
        </w:rPr>
        <w:t>Test Purpose</w:t>
      </w:r>
    </w:p>
    <w:p>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r>
        <w:t>The lack of in-band blocking ability will decrease the coverage area when other e-NodeB transmitters exist (except in the adjacent channels and spurious response).</w:t>
      </w:r>
    </w:p>
    <w:p>
      <w:pPr>
        <w:pStyle w:val="9"/>
      </w:pPr>
      <w:r>
        <w:rPr>
          <w:rFonts w:eastAsia="??"/>
        </w:rPr>
        <w:t>7.6B.2.2</w:t>
      </w:r>
      <w:r>
        <w:rPr>
          <w:rFonts w:eastAsia="??"/>
        </w:rPr>
        <w:tab/>
      </w:r>
      <w:r>
        <w:rPr>
          <w:rFonts w:eastAsia="??"/>
        </w:rPr>
        <w:t>Test Applicability</w:t>
      </w:r>
    </w:p>
    <w:p>
      <w:r>
        <w:t>This test case applies to all types of E-UTRA UE release 17 and forward of category</w:t>
      </w:r>
      <w:r>
        <w:rPr>
          <w:lang w:eastAsia="zh-TW"/>
        </w:rPr>
        <w:t xml:space="preserve"> NB1 and</w:t>
      </w:r>
      <w:r>
        <w:t xml:space="preserve"> NB2</w:t>
      </w:r>
      <w:r>
        <w:rPr>
          <w:rFonts w:ascii="宋体" w:hAnsi="宋体" w:cs="宋体"/>
          <w:lang w:eastAsia="zh-TW"/>
        </w:rPr>
        <w:t xml:space="preserve"> </w:t>
      </w:r>
      <w:r>
        <w:t>that support satellite access operation.</w:t>
      </w:r>
    </w:p>
    <w:p>
      <w:pPr>
        <w:pStyle w:val="9"/>
      </w:pPr>
      <w:r>
        <w:rPr>
          <w:rFonts w:eastAsia="??"/>
        </w:rPr>
        <w:t>7.6B.2.3</w:t>
      </w:r>
      <w:r>
        <w:rPr>
          <w:rFonts w:eastAsia="??"/>
        </w:rPr>
        <w:tab/>
      </w:r>
      <w:r>
        <w:rPr>
          <w:rFonts w:eastAsia="??"/>
        </w:rPr>
        <w:t>Minimum Conformance Requirements</w:t>
      </w:r>
    </w:p>
    <w:p>
      <w:r>
        <w:t xml:space="preserve">Category NB1 and NB2 UE throughput shall be ≥ 95% of the maximum throughput of the reference measurement channel as specified in </w:t>
      </w:r>
      <w:r>
        <w:rPr>
          <w:color w:val="000000" w:themeColor="text1"/>
          <w14:textFill>
            <w14:solidFill>
              <w14:schemeClr w14:val="tx1"/>
            </w14:solidFill>
          </w14:textFill>
        </w:rPr>
        <w:t xml:space="preserve">TS 36.101 [7] </w:t>
      </w:r>
      <w:r>
        <w:t>Annex A.3.2 with parameters specified in Table 7.6B.2.3-1.</w:t>
      </w:r>
    </w:p>
    <w:p>
      <w:pPr>
        <w:pStyle w:val="113"/>
      </w:pPr>
      <w:r>
        <w:t>Table 7.6B.2.3-1: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wanted</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Interferer offset from category NB1</w:t>
            </w:r>
            <w:r>
              <w:rPr>
                <w:rFonts w:eastAsia="MS Mincho" w:cs="Arial"/>
              </w:rPr>
              <w:t xml:space="preserve"> or NB2</w:t>
            </w:r>
            <w:r>
              <w:rPr>
                <w:rFonts w:eastAsia="MS Mincho" w:cs="Arial"/>
                <w:bCs/>
              </w:rPr>
              <w:t xml:space="preserve"> 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r>
        <w:t>The normative reference for this requirement is TS 36.102 [11] clause 7.6B.2.</w:t>
      </w:r>
    </w:p>
    <w:p>
      <w:pPr>
        <w:pStyle w:val="9"/>
      </w:pPr>
      <w:r>
        <w:rPr>
          <w:rFonts w:eastAsia="??"/>
        </w:rPr>
        <w:t>7.6B.2.4</w:t>
      </w:r>
      <w:r>
        <w:rPr>
          <w:rFonts w:eastAsia="??"/>
        </w:rPr>
        <w:tab/>
      </w:r>
      <w:r>
        <w:rPr>
          <w:rFonts w:eastAsia="??"/>
        </w:rPr>
        <w:t>Test Description</w:t>
      </w:r>
    </w:p>
    <w:p>
      <w:pPr>
        <w:pStyle w:val="9"/>
        <w:rPr>
          <w:rFonts w:eastAsia="??"/>
        </w:rPr>
      </w:pPr>
      <w:r>
        <w:rPr>
          <w:rFonts w:eastAsia="??"/>
        </w:rPr>
        <w:t>7.6B.2.4.1</w:t>
      </w:r>
      <w:r>
        <w:rPr>
          <w:rFonts w:eastAsia="??"/>
        </w:rPr>
        <w:tab/>
      </w:r>
      <w:r>
        <w:rPr>
          <w:rFonts w:eastAsia="??"/>
        </w:rPr>
        <w:t>Initial Conditions</w:t>
      </w:r>
    </w:p>
    <w:p>
      <w:r>
        <w:t>Initial conditions are a set of test configurations the UE needs to be tested in and the steps for the SS to take with the UE to reach the correct measurement state.</w:t>
      </w:r>
    </w:p>
    <w:p>
      <w:r>
        <w:t>The initial test configurations consist of environmental conditions and test frequencies based on the subset of E-UTRA operating bands defined for category NB1 and NB2 in clause 5.2B. All of these configurations shall be tested with applicable test parameters, and are shown in Table 7.6B.2.4.1-1. The details of the downlink reference measurement channels (RMCs) are specified in TS 36.521-1 [14] Annex A.3. Configurations of NPDSCH and NPDCCH before measurement are specified in TS 36.521-1 [14] Annex C.2.</w:t>
      </w:r>
    </w:p>
    <w:p>
      <w:pPr>
        <w:pStyle w:val="113"/>
      </w:pPr>
      <w:r>
        <w:t>Table 7.6B.2.4.1-1: Test Configuration Table</w:t>
      </w:r>
    </w:p>
    <w:tbl>
      <w:tblPr>
        <w:tblStyle w:val="89"/>
        <w:tblW w:w="84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gridCol w:w="1214"/>
        <w:gridCol w:w="1304"/>
        <w:gridCol w:w="2139"/>
        <w:gridCol w:w="1164"/>
        <w:gridCol w:w="11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485"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3988" w:type="dxa"/>
            <w:gridSpan w:val="3"/>
          </w:tcPr>
          <w:p>
            <w:pPr>
              <w:pStyle w:val="103"/>
            </w:pPr>
            <w:r>
              <w:t>Test Environment as specified in TS 36.508 [12] clause 8.1.1</w:t>
            </w:r>
          </w:p>
        </w:tc>
        <w:tc>
          <w:tcPr>
            <w:tcW w:w="4497" w:type="dxa"/>
            <w:gridSpan w:val="3"/>
          </w:tcPr>
          <w:p>
            <w:pPr>
              <w:pStyle w:val="103"/>
            </w:pPr>
            <w:r>
              <w:t>[N</w:t>
            </w:r>
            <w:r>
              <w:rPr>
                <w:rFonts w:hint="eastAsia"/>
              </w:rPr>
              <w:t>ormal</w:t>
            </w:r>
            <w:r>
              <w:rPr>
                <w:rFonts w:hint="eastAsia" w:ascii="宋体" w:hAnsi="宋体" w:cs="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988" w:type="dxa"/>
            <w:gridSpan w:val="3"/>
          </w:tcPr>
          <w:p>
            <w:pPr>
              <w:pStyle w:val="103"/>
            </w:pPr>
            <w:r>
              <w:t>Test Frequencies as specified in TS36.508 [12] clause 8.1.3.1</w:t>
            </w:r>
          </w:p>
        </w:tc>
        <w:tc>
          <w:tcPr>
            <w:tcW w:w="4497" w:type="dxa"/>
            <w:gridSpan w:val="3"/>
          </w:tcPr>
          <w:p>
            <w:pPr>
              <w:pStyle w:val="103"/>
            </w:pPr>
            <w:r>
              <w:t>[Frequency ranges defined in TS 36.521-1 [14] Annex K.1.1]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0" w:type="dxa"/>
          </w:tcPr>
          <w:p>
            <w:pPr>
              <w:pStyle w:val="104"/>
            </w:pPr>
            <w:r>
              <w:t>Configuration ID</w:t>
            </w:r>
          </w:p>
        </w:tc>
        <w:tc>
          <w:tcPr>
            <w:tcW w:w="2518" w:type="dxa"/>
            <w:gridSpan w:val="2"/>
          </w:tcPr>
          <w:p>
            <w:pPr>
              <w:pStyle w:val="104"/>
            </w:pPr>
            <w:r>
              <w:t>Downlink Configuration</w:t>
            </w:r>
          </w:p>
        </w:tc>
        <w:tc>
          <w:tcPr>
            <w:tcW w:w="4497" w:type="dxa"/>
            <w:gridSpan w:val="3"/>
          </w:tcPr>
          <w:p>
            <w:pPr>
              <w:pStyle w:val="104"/>
            </w:pPr>
            <w: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470" w:type="dxa"/>
          </w:tcPr>
          <w:p>
            <w:pPr>
              <w:pStyle w:val="105"/>
            </w:pPr>
          </w:p>
        </w:tc>
        <w:tc>
          <w:tcPr>
            <w:tcW w:w="1214" w:type="dxa"/>
          </w:tcPr>
          <w:p>
            <w:pPr>
              <w:pStyle w:val="105"/>
            </w:pPr>
            <w:r>
              <w:t>Modulation</w:t>
            </w:r>
          </w:p>
        </w:tc>
        <w:tc>
          <w:tcPr>
            <w:tcW w:w="1304" w:type="dxa"/>
          </w:tcPr>
          <w:p>
            <w:pPr>
              <w:pStyle w:val="105"/>
            </w:pPr>
            <w:r>
              <w:rPr>
                <w:rFonts w:cs="Arial"/>
              </w:rPr>
              <w:t>Subcarriers</w:t>
            </w:r>
          </w:p>
        </w:tc>
        <w:tc>
          <w:tcPr>
            <w:tcW w:w="2139" w:type="dxa"/>
          </w:tcPr>
          <w:p>
            <w:pPr>
              <w:pStyle w:val="105"/>
            </w:pPr>
            <w:r>
              <w:t>Modulation</w:t>
            </w:r>
          </w:p>
        </w:tc>
        <w:tc>
          <w:tcPr>
            <w:tcW w:w="1164" w:type="dxa"/>
          </w:tcPr>
          <w:p>
            <w:pPr>
              <w:pStyle w:val="105"/>
            </w:pPr>
            <w:r>
              <w:t>N</w:t>
            </w:r>
            <w:r>
              <w:rPr>
                <w:vertAlign w:val="subscript"/>
              </w:rPr>
              <w:t>tones</w:t>
            </w:r>
          </w:p>
        </w:tc>
        <w:tc>
          <w:tcPr>
            <w:tcW w:w="1194" w:type="dxa"/>
          </w:tcPr>
          <w:p>
            <w:pPr>
              <w:pStyle w:val="105"/>
            </w:pPr>
            <w:r>
              <w:t>Subcarrier spacing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470" w:type="dxa"/>
          </w:tcPr>
          <w:p>
            <w:pPr>
              <w:pStyle w:val="105"/>
            </w:pPr>
            <w:r>
              <w:t>1</w:t>
            </w:r>
          </w:p>
        </w:tc>
        <w:tc>
          <w:tcPr>
            <w:tcW w:w="1214" w:type="dxa"/>
          </w:tcPr>
          <w:p>
            <w:pPr>
              <w:pStyle w:val="105"/>
              <w:rPr>
                <w:lang w:eastAsia="ko-KR"/>
              </w:rPr>
            </w:pPr>
            <w:r>
              <w:rPr>
                <w:lang w:eastAsia="ko-KR"/>
              </w:rPr>
              <w:t>[QPSK]</w:t>
            </w:r>
          </w:p>
        </w:tc>
        <w:tc>
          <w:tcPr>
            <w:tcW w:w="1304" w:type="dxa"/>
          </w:tcPr>
          <w:p>
            <w:pPr>
              <w:pStyle w:val="105"/>
              <w:rPr>
                <w:lang w:eastAsia="ko-KR"/>
              </w:rPr>
            </w:pPr>
            <w:r>
              <w:rPr>
                <w:lang w:eastAsia="ko-KR"/>
              </w:rPr>
              <w:t>[12]</w:t>
            </w:r>
          </w:p>
        </w:tc>
        <w:tc>
          <w:tcPr>
            <w:tcW w:w="2139" w:type="dxa"/>
          </w:tcPr>
          <w:p>
            <w:pPr>
              <w:pStyle w:val="105"/>
            </w:pPr>
            <w:r>
              <w:t>[BPSK]</w:t>
            </w:r>
          </w:p>
        </w:tc>
        <w:tc>
          <w:tcPr>
            <w:tcW w:w="1164" w:type="dxa"/>
          </w:tcPr>
          <w:p>
            <w:pPr>
              <w:pStyle w:val="105"/>
            </w:pPr>
            <w:r>
              <w:t>[1@0]</w:t>
            </w:r>
          </w:p>
        </w:tc>
        <w:tc>
          <w:tcPr>
            <w:tcW w:w="1194" w:type="dxa"/>
          </w:tcPr>
          <w:p>
            <w:pPr>
              <w:pStyle w:val="105"/>
            </w:pPr>
            <w:r>
              <w:t>[15 kHz]</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to the UE antenna connector as shown in TS 36.508 [12] Annex A, Figure A.4 using only the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8.1.4.3.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TS 36.521-1 [14] Annex C.0, C.1 and C.2, and NPUSCH Format 2 is used to carry ACK/NACK on the uplink.</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 is set according to Table 7.6B.2.4.1-1.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TS 36.521-1 [14] Annex B.0.</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lang w:eastAsia="en-GB"/>
        </w:rPr>
        <w:t>UE location according to TS 36.508 [12] clause 4.13 is provided to the UE through AT commands or any other preconfigured means</w:t>
      </w:r>
      <w:r>
        <w:rPr>
          <w:rFonts w:eastAsia="Malgun Gothic"/>
        </w:rPr>
        <w:t>.</w:t>
      </w:r>
    </w:p>
    <w:p>
      <w:pPr>
        <w:pStyle w:val="111"/>
        <w:overflowPunct w:val="0"/>
        <w:autoSpaceDE w:val="0"/>
        <w:autoSpaceDN w:val="0"/>
        <w:adjustRightInd w:val="0"/>
        <w:contextualSpacing w:val="0"/>
        <w:textAlignment w:val="baseline"/>
        <w:rPr>
          <w:rFonts w:hint="eastAsia" w:eastAsia="Malgun Gothic"/>
        </w:rPr>
      </w:pPr>
      <w:r>
        <w:rPr>
          <w:rFonts w:hint="eastAsia" w:eastAsia="Malgun Gothic"/>
        </w:rPr>
        <w:t>7.</w:t>
      </w:r>
      <w:r>
        <w:rPr>
          <w:rFonts w:hint="eastAsia" w:eastAsia="Malgun Gothic"/>
        </w:rPr>
        <w:tab/>
      </w:r>
      <w:r>
        <w:rPr>
          <w:rFonts w:hint="eastAsia" w:eastAsia="Malgun Gothic"/>
        </w:rPr>
        <w:t>Test equipment shall emulate Zero Doppler conditions in service link and Common TA delay according to SIB31 configuration in TS 36.508 [12].</w:t>
      </w:r>
    </w:p>
    <w:p>
      <w:pPr>
        <w:pStyle w:val="111"/>
        <w:overflowPunct w:val="0"/>
        <w:autoSpaceDE w:val="0"/>
        <w:autoSpaceDN w:val="0"/>
        <w:adjustRightInd w:val="0"/>
        <w:contextualSpacing w:val="0"/>
        <w:textAlignment w:val="baseline"/>
        <w:rPr>
          <w:rFonts w:eastAsia="Malgun Gothic"/>
        </w:rPr>
      </w:pPr>
      <w:r>
        <w:rPr>
          <w:rFonts w:hint="eastAsia" w:eastAsia="Malgun Gothic"/>
        </w:rPr>
        <w:t>8.</w:t>
      </w:r>
      <w:r>
        <w:rPr>
          <w:rFonts w:hint="eastAsia" w:eastAsia="Malgun Gothic"/>
        </w:rPr>
        <w:tab/>
      </w:r>
      <w:r>
        <w:rPr>
          <w:rFonts w:hint="eastAsia" w:eastAsia="Malgun Gothic"/>
        </w:rPr>
        <w:t>Ensure the UE is in State 2A-NB with CP CIoT Optimisation according to TS 36.508 [12] clause 8.1.5. Message contents are defined in clause 7.6B.2.4.3.</w:t>
      </w:r>
    </w:p>
    <w:p>
      <w:pPr>
        <w:pStyle w:val="9"/>
      </w:pPr>
      <w:r>
        <w:rPr>
          <w:rFonts w:eastAsia="??"/>
        </w:rPr>
        <w:t>7.6B.2.4.2</w:t>
      </w:r>
      <w:r>
        <w:rPr>
          <w:rFonts w:eastAsia="??"/>
        </w:rPr>
        <w:tab/>
      </w:r>
      <w:r>
        <w:rPr>
          <w:rFonts w:eastAsia="??"/>
        </w:rP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NPDSCH via NPDCCH DCI format N1 for C_RNTI to transmit the DL RMC according to Table 7.6B.2.4.1-1. The SS sends downlink MAC padding bits on the DL RMC. The UE will send HARQ feedback based on information contained in DCI format N1.</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downlink signal level according to the Table 7.6B.2.5-1.</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Set the parameters of the signal generator for an interfering signal below the wanted signal in IBB1 according to Table 7.6B.2.5-1.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Measure the average throughput for a duration sufficient to achieve statistical significance according to TS 36.521-1 [14] Annex G.2.</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Repeat steps from 3 to 4, using an interfering signal above the wanted signal in IBB1 at step 3.</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Repeat steps from 3 to 5, using interfering signals in IBB2 at step 3 and 5. The ranges of IBB2 are covered in steps equal to the interferer bandwidth. The test frequencies are chosen in analogy to Table 7.6B.2.4.2-1.</w:t>
      </w:r>
    </w:p>
    <w:p>
      <w:pPr>
        <w:pStyle w:val="113"/>
      </w:pPr>
      <w:r>
        <w:t>Table 7.6B.2.4.2-1: Example for interferer frequencies</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0"/>
        <w:gridCol w:w="3071"/>
        <w:gridCol w:w="30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070" w:type="dxa"/>
          </w:tcPr>
          <w:p>
            <w:pPr>
              <w:pStyle w:val="103"/>
            </w:pPr>
          </w:p>
        </w:tc>
        <w:tc>
          <w:tcPr>
            <w:tcW w:w="3071" w:type="dxa"/>
          </w:tcPr>
          <w:p>
            <w:pPr>
              <w:pStyle w:val="104"/>
            </w:pPr>
            <w:r>
              <w:t>Lower frequency</w:t>
            </w:r>
          </w:p>
        </w:tc>
        <w:tc>
          <w:tcPr>
            <w:tcW w:w="3071" w:type="dxa"/>
          </w:tcPr>
          <w:p>
            <w:pPr>
              <w:pStyle w:val="104"/>
            </w:pPr>
            <w:r>
              <w:t>Upper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Band 256 DL</w:t>
            </w:r>
          </w:p>
        </w:tc>
        <w:tc>
          <w:tcPr>
            <w:tcW w:w="3071" w:type="dxa"/>
          </w:tcPr>
          <w:p>
            <w:pPr>
              <w:pStyle w:val="105"/>
            </w:pPr>
            <w:r>
              <w:t>2170 MHz</w:t>
            </w:r>
          </w:p>
        </w:tc>
        <w:tc>
          <w:tcPr>
            <w:tcW w:w="3071" w:type="dxa"/>
          </w:tcPr>
          <w:p>
            <w:pPr>
              <w:pStyle w:val="105"/>
            </w:pPr>
            <w:r>
              <w:t>2200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Band 1 Midrange</w:t>
            </w:r>
          </w:p>
        </w:tc>
        <w:tc>
          <w:tcPr>
            <w:tcW w:w="6142" w:type="dxa"/>
            <w:gridSpan w:val="2"/>
          </w:tcPr>
          <w:p>
            <w:pPr>
              <w:pStyle w:val="105"/>
            </w:pPr>
            <w:r>
              <w:t>2185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Receive band wanted signal</w:t>
            </w:r>
          </w:p>
          <w:p>
            <w:pPr>
              <w:pStyle w:val="103"/>
            </w:pPr>
            <w:r>
              <w:t>(BW 200KHz)</w:t>
            </w:r>
          </w:p>
        </w:tc>
        <w:tc>
          <w:tcPr>
            <w:tcW w:w="3071" w:type="dxa"/>
          </w:tcPr>
          <w:p>
            <w:pPr>
              <w:pStyle w:val="105"/>
            </w:pPr>
            <w:r>
              <w:t>2184.9 MHz</w:t>
            </w:r>
          </w:p>
        </w:tc>
        <w:tc>
          <w:tcPr>
            <w:tcW w:w="3071" w:type="dxa"/>
          </w:tcPr>
          <w:p>
            <w:pPr>
              <w:pStyle w:val="105"/>
            </w:pPr>
            <w:r>
              <w:t>2185.1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070" w:type="dxa"/>
          </w:tcPr>
          <w:p>
            <w:pPr>
              <w:pStyle w:val="103"/>
            </w:pPr>
            <w:r>
              <w:rPr>
                <w:rFonts w:eastAsia="??"/>
              </w:rPr>
              <w:t>Interferer IBB1</w:t>
            </w:r>
          </w:p>
        </w:tc>
        <w:tc>
          <w:tcPr>
            <w:tcW w:w="3071" w:type="dxa"/>
          </w:tcPr>
          <w:p>
            <w:pPr>
              <w:pStyle w:val="105"/>
            </w:pPr>
            <w:r>
              <w:t>2177.395 MHz</w:t>
            </w:r>
          </w:p>
        </w:tc>
        <w:tc>
          <w:tcPr>
            <w:tcW w:w="3071" w:type="dxa"/>
          </w:tcPr>
          <w:p>
            <w:pPr>
              <w:pStyle w:val="105"/>
            </w:pPr>
            <w:r>
              <w:t>2192.605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0" w:type="dxa"/>
          </w:tcPr>
          <w:p>
            <w:pPr>
              <w:pStyle w:val="103"/>
            </w:pPr>
            <w:r>
              <w:rPr>
                <w:rFonts w:eastAsia="??"/>
              </w:rPr>
              <w:t>Interferer IBB2</w:t>
            </w:r>
          </w:p>
        </w:tc>
        <w:tc>
          <w:tcPr>
            <w:tcW w:w="3071" w:type="dxa"/>
          </w:tcPr>
          <w:p>
            <w:pPr>
              <w:pStyle w:val="105"/>
            </w:pPr>
            <w:r>
              <w:t>2172.4 MHz</w:t>
            </w:r>
          </w:p>
        </w:tc>
        <w:tc>
          <w:tcPr>
            <w:tcW w:w="3071" w:type="dxa"/>
          </w:tcPr>
          <w:p>
            <w:pPr>
              <w:pStyle w:val="105"/>
            </w:pPr>
            <w:r>
              <w:t>2197.6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070" w:type="dxa"/>
          </w:tcPr>
          <w:p>
            <w:pPr>
              <w:pStyle w:val="103"/>
            </w:pPr>
            <w:r>
              <w:rPr>
                <w:rFonts w:eastAsia="??"/>
              </w:rPr>
              <w:t>Outer limit for in band blocking</w:t>
            </w:r>
          </w:p>
        </w:tc>
        <w:tc>
          <w:tcPr>
            <w:tcW w:w="3071" w:type="dxa"/>
          </w:tcPr>
          <w:p>
            <w:pPr>
              <w:pStyle w:val="105"/>
            </w:pPr>
            <w:r>
              <w:t>2155MHz</w:t>
            </w:r>
          </w:p>
        </w:tc>
        <w:tc>
          <w:tcPr>
            <w:tcW w:w="3071" w:type="dxa"/>
          </w:tcPr>
          <w:p>
            <w:pPr>
              <w:pStyle w:val="105"/>
            </w:pPr>
            <w:r>
              <w:t>2215MHz</w:t>
            </w:r>
          </w:p>
        </w:tc>
      </w:tr>
    </w:tbl>
    <w:p/>
    <w:p>
      <w:pPr>
        <w:pStyle w:val="9"/>
      </w:pPr>
      <w:r>
        <w:rPr>
          <w:rFonts w:eastAsia="??"/>
        </w:rPr>
        <w:t>7.6B.2.4.3</w:t>
      </w:r>
      <w:r>
        <w:rPr>
          <w:rFonts w:eastAsia="??"/>
        </w:rPr>
        <w:tab/>
      </w:r>
      <w:r>
        <w:rPr>
          <w:rFonts w:eastAsia="??"/>
        </w:rPr>
        <w:t>Message Contents</w:t>
      </w:r>
    </w:p>
    <w:p>
      <w:r>
        <w:t>Message contents are according to TS 36.508 [7] clause 8.1.6.</w:t>
      </w:r>
    </w:p>
    <w:p>
      <w:pPr>
        <w:pStyle w:val="9"/>
        <w:rPr>
          <w:rFonts w:eastAsia="MS Mincho"/>
        </w:rPr>
      </w:pPr>
      <w:r>
        <w:rPr>
          <w:rFonts w:eastAsia="MS Mincho"/>
        </w:rPr>
        <w:t>7.6B.2.5</w:t>
      </w:r>
      <w:r>
        <w:rPr>
          <w:rFonts w:eastAsia="MS Mincho"/>
        </w:rPr>
        <w:tab/>
      </w:r>
      <w:r>
        <w:rPr>
          <w:rFonts w:eastAsia="MS Mincho"/>
        </w:rPr>
        <w:t>Test Requirement</w:t>
      </w:r>
    </w:p>
    <w:p>
      <w:r>
        <w:t>The throughput measurement derived in test procedure shall be ≥ 95% of the maximum throughput of the reference measurement channels as specified in TS 36.521-1 [14] clause A.3.2 with parameters specified in Tables 7.6B.2.5-1.</w:t>
      </w:r>
    </w:p>
    <w:p>
      <w:pPr>
        <w:pStyle w:val="113"/>
      </w:pPr>
      <w:r>
        <w:t>Table 7.6B.2.5-1: In-band blocking parameters for category NB1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39"/>
        <w:gridCol w:w="3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IBB1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+7.5 MHz </w:t>
            </w:r>
            <w:r>
              <w:rPr>
                <w:rFonts w:cs="Arial"/>
              </w:rPr>
              <w:t>+ 0.005 MHz</w:t>
            </w:r>
          </w:p>
          <w:p>
            <w:pPr>
              <w:pStyle w:val="105"/>
              <w:rPr>
                <w:rFonts w:cs="Arial"/>
              </w:rPr>
            </w:pPr>
            <w:r>
              <w:rPr>
                <w:rFonts w:cs="Arial"/>
              </w:rPr>
              <w:t>and</w:t>
            </w:r>
          </w:p>
          <w:p>
            <w:pPr>
              <w:pStyle w:val="105"/>
              <w:rPr>
                <w:rFonts w:eastAsia="MS Mincho" w:cs="Arial"/>
              </w:rPr>
            </w:pPr>
            <w:r>
              <w:rPr>
                <w:rFonts w:eastAsia="MS Mincho" w:cs="Arial"/>
              </w:rPr>
              <w:t>-7.5 MHz - 0.005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0" w:type="auto"/>
            <w:gridSpan w:val="2"/>
            <w:shd w:val="clear" w:color="auto" w:fill="auto"/>
            <w:vAlign w:val="center"/>
          </w:tcPr>
          <w:p>
            <w:pPr>
              <w:pStyle w:val="104"/>
              <w:rPr>
                <w:rFonts w:eastAsia="MS Mincho" w:cs="Arial"/>
              </w:rPr>
            </w:pPr>
            <w:r>
              <w:rPr>
                <w:rFonts w:eastAsia="MS Mincho" w:cs="Arial"/>
              </w:rPr>
              <w:t>IBB2 test Parameters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Category NB1 or NB2 signal power</w:t>
            </w:r>
          </w:p>
          <w:p>
            <w:pPr>
              <w:pStyle w:val="105"/>
              <w:rPr>
                <w:rFonts w:eastAsia="MS Mincho" w:cs="Arial"/>
              </w:rPr>
            </w:pPr>
            <w:r>
              <w:rPr>
                <w:rFonts w:eastAsia="MS Mincho" w:cs="Arial"/>
                <w:bCs/>
              </w:rPr>
              <w:t>(P</w:t>
            </w:r>
            <w:r>
              <w:rPr>
                <w:rFonts w:eastAsia="MS Mincho" w:cs="Arial"/>
                <w:bCs/>
                <w:vertAlign w:val="subscript"/>
              </w:rPr>
              <w:t xml:space="preserve">wanted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REFSENS + 6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rPr>
            </w:pPr>
            <w:r>
              <w:rPr>
                <w:rFonts w:eastAsia="MS Mincho" w:cs="Arial"/>
              </w:rPr>
              <w:t>Interferer</w:t>
            </w:r>
          </w:p>
        </w:tc>
        <w:tc>
          <w:tcPr>
            <w:tcW w:w="0" w:type="auto"/>
            <w:shd w:val="clear" w:color="auto" w:fill="auto"/>
            <w:vAlign w:val="center"/>
          </w:tcPr>
          <w:p>
            <w:pPr>
              <w:pStyle w:val="105"/>
              <w:rPr>
                <w:rFonts w:eastAsia="MS Mincho" w:cs="Arial"/>
              </w:rPr>
            </w:pPr>
            <w:r>
              <w:rPr>
                <w:rFonts w:eastAsia="MS Mincho" w:cs="Arial"/>
              </w:rPr>
              <w:t>E-UTRA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signal power</w:t>
            </w:r>
          </w:p>
          <w:p>
            <w:pPr>
              <w:pStyle w:val="105"/>
              <w:rPr>
                <w:rFonts w:eastAsia="MS Mincho" w:cs="Arial"/>
              </w:rPr>
            </w:pPr>
            <w:r>
              <w:rPr>
                <w:rFonts w:eastAsia="MS Mincho" w:cs="Arial"/>
                <w:bCs/>
              </w:rPr>
              <w:t>(P</w:t>
            </w:r>
            <w:r>
              <w:rPr>
                <w:rFonts w:eastAsia="MS Mincho" w:cs="Arial"/>
                <w:bCs/>
                <w:vertAlign w:val="subscript"/>
              </w:rPr>
              <w:t xml:space="preserve">Interferer </w:t>
            </w:r>
            <w:r>
              <w:rPr>
                <w:rFonts w:eastAsia="MS Mincho" w:cs="Arial"/>
              </w:rPr>
              <w:t>) / dBm</w:t>
            </w:r>
          </w:p>
        </w:tc>
        <w:tc>
          <w:tcPr>
            <w:tcW w:w="0" w:type="auto"/>
            <w:shd w:val="clear" w:color="auto" w:fill="auto"/>
            <w:vAlign w:val="center"/>
          </w:tcPr>
          <w:p>
            <w:pPr>
              <w:pStyle w:val="105"/>
              <w:rPr>
                <w:rFonts w:eastAsia="MS Mincho" w:cs="Arial"/>
              </w:rPr>
            </w:pPr>
            <w:r>
              <w:rPr>
                <w:rFonts w:eastAsia="MS Mincho" w:cs="Arial"/>
              </w:rPr>
              <w:t>- 44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bCs/>
              </w:rPr>
            </w:pPr>
            <w:r>
              <w:rPr>
                <w:rFonts w:eastAsia="MS Mincho" w:cs="Arial"/>
                <w:bCs/>
              </w:rPr>
              <w:t>Interferer bandwidth</w:t>
            </w:r>
          </w:p>
        </w:tc>
        <w:tc>
          <w:tcPr>
            <w:tcW w:w="0" w:type="auto"/>
            <w:shd w:val="clear" w:color="auto" w:fill="auto"/>
            <w:vAlign w:val="center"/>
          </w:tcPr>
          <w:p>
            <w:pPr>
              <w:pStyle w:val="105"/>
              <w:rPr>
                <w:rFonts w:eastAsia="MS Mincho" w:cs="Arial"/>
              </w:rPr>
            </w:pPr>
            <w:r>
              <w:rPr>
                <w:rFonts w:eastAsia="MS Mincho" w:cs="Arial"/>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auto"/>
            <w:vAlign w:val="center"/>
          </w:tcPr>
          <w:p>
            <w:pPr>
              <w:pStyle w:val="105"/>
              <w:rPr>
                <w:rFonts w:eastAsia="MS Mincho" w:cs="Arial"/>
                <w:i/>
              </w:rPr>
            </w:pPr>
            <w:r>
              <w:rPr>
                <w:rFonts w:eastAsia="MS Mincho" w:cs="Arial"/>
                <w:bCs/>
              </w:rPr>
              <w:t xml:space="preserve">Interferer offset range from category NB1 </w:t>
            </w:r>
            <w:r>
              <w:rPr>
                <w:rFonts w:eastAsia="MS Mincho" w:cs="Arial"/>
              </w:rPr>
              <w:t xml:space="preserve">or NB2 </w:t>
            </w:r>
            <w:r>
              <w:rPr>
                <w:rFonts w:eastAsia="MS Mincho" w:cs="Arial"/>
                <w:bCs/>
              </w:rPr>
              <w:t>channel edge</w:t>
            </w:r>
          </w:p>
        </w:tc>
        <w:tc>
          <w:tcPr>
            <w:tcW w:w="0" w:type="auto"/>
            <w:shd w:val="clear" w:color="auto" w:fill="auto"/>
            <w:vAlign w:val="center"/>
          </w:tcPr>
          <w:p>
            <w:pPr>
              <w:pStyle w:val="105"/>
              <w:rPr>
                <w:rFonts w:cs="Arial"/>
              </w:rPr>
            </w:pPr>
            <w:r>
              <w:rPr>
                <w:rFonts w:eastAsia="MS Mincho" w:cs="Arial"/>
              </w:rPr>
              <w:t xml:space="preserve">From +12.5 MHz </w:t>
            </w:r>
            <w:r>
              <w:rPr>
                <w:rFonts w:cs="Arial"/>
              </w:rPr>
              <w:t>to F</w:t>
            </w:r>
            <w:r>
              <w:rPr>
                <w:rFonts w:cs="Arial"/>
                <w:vertAlign w:val="subscript"/>
              </w:rPr>
              <w:t xml:space="preserve">DL_high </w:t>
            </w:r>
            <w:r>
              <w:rPr>
                <w:rFonts w:cs="Arial"/>
              </w:rPr>
              <w:t>+ 15 MHz</w:t>
            </w:r>
          </w:p>
          <w:p>
            <w:pPr>
              <w:pStyle w:val="105"/>
              <w:rPr>
                <w:rFonts w:cs="Arial"/>
              </w:rPr>
            </w:pPr>
            <w:r>
              <w:rPr>
                <w:rFonts w:cs="Arial"/>
              </w:rPr>
              <w:t>and</w:t>
            </w:r>
          </w:p>
          <w:p>
            <w:pPr>
              <w:pStyle w:val="105"/>
              <w:rPr>
                <w:rFonts w:cs="Arial"/>
              </w:rPr>
            </w:pPr>
            <w:r>
              <w:rPr>
                <w:rFonts w:eastAsia="MS Mincho" w:cs="Arial"/>
              </w:rPr>
              <w:t>From -12.5 MHz</w:t>
            </w:r>
            <w:r>
              <w:rPr>
                <w:rFonts w:cs="Arial"/>
              </w:rPr>
              <w:t xml:space="preserve"> to F</w:t>
            </w:r>
            <w:r>
              <w:rPr>
                <w:rFonts w:cs="Arial"/>
                <w:vertAlign w:val="subscript"/>
              </w:rPr>
              <w:t xml:space="preserve">DL_low </w:t>
            </w:r>
            <w:r>
              <w:rPr>
                <w:rFonts w:cs="Arial"/>
              </w:rPr>
              <w:t>- 15 MHz</w:t>
            </w:r>
          </w:p>
        </w:tc>
      </w:tr>
    </w:tbl>
    <w:p/>
    <w:p>
      <w:pPr>
        <w:pStyle w:val="5"/>
      </w:pPr>
      <w:bookmarkStart w:id="847" w:name="_Toc121162901"/>
      <w:bookmarkStart w:id="848" w:name="_Toc26988"/>
      <w:bookmarkStart w:id="849" w:name="_Toc32710"/>
      <w:bookmarkStart w:id="850" w:name="_Toc10425"/>
      <w:bookmarkStart w:id="851" w:name="_Toc120570109"/>
      <w:r>
        <w:t>7.6B.3</w:t>
      </w:r>
      <w:r>
        <w:tab/>
      </w:r>
      <w:r>
        <w:t>Out-of-band blocking for category NB1 and NB2</w:t>
      </w:r>
      <w:bookmarkEnd w:id="847"/>
      <w:bookmarkEnd w:id="848"/>
      <w:bookmarkEnd w:id="849"/>
      <w:bookmarkEnd w:id="850"/>
      <w:bookmarkEnd w:id="851"/>
    </w:p>
    <w:p>
      <w:pPr>
        <w:rPr>
          <w:lang w:eastAsia="zh-TW"/>
        </w:rPr>
      </w:pPr>
    </w:p>
    <w:p>
      <w:pPr>
        <w:pStyle w:val="5"/>
      </w:pPr>
      <w:bookmarkStart w:id="852" w:name="_Toc12682"/>
      <w:bookmarkStart w:id="853" w:name="_Toc18079"/>
      <w:bookmarkStart w:id="854" w:name="_Toc9803"/>
      <w:bookmarkStart w:id="855" w:name="_Toc121162902"/>
      <w:bookmarkStart w:id="856" w:name="_Toc120570110"/>
      <w:r>
        <w:t>7.6B.4</w:t>
      </w:r>
      <w:r>
        <w:tab/>
      </w:r>
      <w:r>
        <w:t>Narrow band blocking for category NB1 and NB2</w:t>
      </w:r>
      <w:bookmarkEnd w:id="852"/>
      <w:bookmarkEnd w:id="853"/>
      <w:bookmarkEnd w:id="854"/>
      <w:bookmarkEnd w:id="855"/>
      <w:bookmarkEnd w:id="856"/>
    </w:p>
    <w:p>
      <w:pPr>
        <w:rPr>
          <w:lang w:eastAsia="zh-TW"/>
        </w:rPr>
      </w:pPr>
    </w:p>
    <w:bookmarkEnd w:id="846"/>
    <w:p>
      <w:pPr>
        <w:pStyle w:val="4"/>
      </w:pPr>
      <w:bookmarkStart w:id="857" w:name="_Toc368026388"/>
      <w:bookmarkStart w:id="858" w:name="_Toc21153"/>
      <w:bookmarkStart w:id="859" w:name="_Toc120570111"/>
      <w:bookmarkStart w:id="860" w:name="_Toc121162903"/>
      <w:bookmarkStart w:id="861" w:name="_Toc28196"/>
      <w:bookmarkStart w:id="862" w:name="_Toc111062097"/>
      <w:bookmarkStart w:id="863" w:name="_Toc29671"/>
      <w:r>
        <w:t>7.7</w:t>
      </w:r>
      <w:r>
        <w:tab/>
      </w:r>
      <w:r>
        <w:t>Spurious response</w:t>
      </w:r>
      <w:bookmarkEnd w:id="857"/>
      <w:bookmarkEnd w:id="858"/>
      <w:bookmarkEnd w:id="859"/>
      <w:bookmarkEnd w:id="860"/>
      <w:bookmarkEnd w:id="861"/>
      <w:bookmarkEnd w:id="862"/>
      <w:bookmarkEnd w:id="863"/>
    </w:p>
    <w:p>
      <w:pPr>
        <w:rPr>
          <w:rFonts w:eastAsiaTheme="minorEastAsia"/>
          <w:color w:val="000000" w:themeColor="text1"/>
          <w:lang w:eastAsia="zh-TW"/>
          <w14:textFill>
            <w14:solidFill>
              <w14:schemeClr w14:val="tx1"/>
            </w14:solidFill>
          </w14:textFill>
        </w:rPr>
      </w:pPr>
      <w:r>
        <w:rPr>
          <w:rFonts w:eastAsia="宋体"/>
          <w:color w:val="000000" w:themeColor="text1"/>
          <w14:textFill>
            <w14:solidFill>
              <w14:schemeClr w14:val="tx1"/>
            </w14:solidFill>
          </w14:textFill>
        </w:rPr>
        <w:t>This clause is reserved</w:t>
      </w:r>
      <w:r>
        <w:rPr>
          <w:rFonts w:hint="eastAsia" w:eastAsiaTheme="minorEastAsia"/>
          <w:color w:val="000000" w:themeColor="text1"/>
          <w:lang w:eastAsia="zh-TW"/>
          <w14:textFill>
            <w14:solidFill>
              <w14:schemeClr w14:val="tx1"/>
            </w14:solidFill>
          </w14:textFill>
        </w:rPr>
        <w:t>.</w:t>
      </w:r>
    </w:p>
    <w:p>
      <w:pPr>
        <w:pStyle w:val="4"/>
      </w:pPr>
      <w:bookmarkStart w:id="864" w:name="_Toc121162904"/>
      <w:bookmarkStart w:id="865" w:name="_Toc120570112"/>
      <w:bookmarkStart w:id="866" w:name="_Toc2851"/>
      <w:bookmarkStart w:id="867" w:name="_Toc16922"/>
      <w:bookmarkStart w:id="868" w:name="_Toc12699"/>
      <w:r>
        <w:t>7.7A</w:t>
      </w:r>
      <w:r>
        <w:tab/>
      </w:r>
      <w:r>
        <w:t>Spurious response for category M1</w:t>
      </w:r>
      <w:bookmarkEnd w:id="864"/>
      <w:bookmarkEnd w:id="865"/>
      <w:bookmarkEnd w:id="866"/>
      <w:bookmarkEnd w:id="867"/>
      <w:bookmarkEnd w:id="868"/>
    </w:p>
    <w:p>
      <w:pPr>
        <w:rPr>
          <w:lang w:eastAsia="zh-TW"/>
        </w:rPr>
      </w:pPr>
    </w:p>
    <w:p>
      <w:pPr>
        <w:pStyle w:val="4"/>
      </w:pPr>
      <w:bookmarkStart w:id="869" w:name="_Toc121162905"/>
      <w:bookmarkStart w:id="870" w:name="_Toc4474"/>
      <w:bookmarkStart w:id="871" w:name="_Toc16417"/>
      <w:bookmarkStart w:id="872" w:name="_Toc10062"/>
      <w:bookmarkStart w:id="873" w:name="_Toc120570113"/>
      <w:r>
        <w:t>7.7B</w:t>
      </w:r>
      <w:r>
        <w:tab/>
      </w:r>
      <w:r>
        <w:t>Spurious response for category NB1 and NB2</w:t>
      </w:r>
      <w:bookmarkEnd w:id="869"/>
      <w:bookmarkEnd w:id="870"/>
      <w:bookmarkEnd w:id="871"/>
      <w:bookmarkEnd w:id="872"/>
      <w:bookmarkEnd w:id="873"/>
    </w:p>
    <w:p/>
    <w:p>
      <w:pPr>
        <w:pStyle w:val="4"/>
      </w:pPr>
      <w:bookmarkStart w:id="874" w:name="_Toc368026392"/>
      <w:bookmarkStart w:id="875" w:name="_Toc120570114"/>
      <w:bookmarkStart w:id="876" w:name="_Toc121162906"/>
      <w:bookmarkStart w:id="877" w:name="_Toc19453"/>
      <w:bookmarkStart w:id="878" w:name="_Toc111062100"/>
      <w:bookmarkStart w:id="879" w:name="_Toc9555"/>
      <w:bookmarkStart w:id="880" w:name="_Toc21116"/>
      <w:r>
        <w:t>7.8</w:t>
      </w:r>
      <w:r>
        <w:tab/>
      </w:r>
      <w:r>
        <w:t>Intermodulation characteristics</w:t>
      </w:r>
      <w:bookmarkEnd w:id="874"/>
      <w:bookmarkEnd w:id="875"/>
      <w:bookmarkEnd w:id="876"/>
      <w:bookmarkEnd w:id="877"/>
      <w:bookmarkEnd w:id="878"/>
      <w:bookmarkEnd w:id="879"/>
      <w:bookmarkEnd w:id="880"/>
    </w:p>
    <w:p>
      <w:pPr>
        <w:numPr>
          <w:ilvl w:val="12"/>
          <w:numId w:val="0"/>
        </w:numPr>
        <w:rPr>
          <w:rFonts w:cs="v5.0.0"/>
        </w:rPr>
      </w:pPr>
    </w:p>
    <w:p>
      <w:pPr>
        <w:pStyle w:val="4"/>
        <w:rPr>
          <w:lang w:eastAsia="zh-CN"/>
        </w:rPr>
      </w:pPr>
      <w:bookmarkStart w:id="881" w:name="_Toc120570115"/>
      <w:bookmarkStart w:id="882" w:name="_Toc31626"/>
      <w:bookmarkStart w:id="883" w:name="_Toc4570"/>
      <w:bookmarkStart w:id="884" w:name="_Toc121162907"/>
      <w:bookmarkStart w:id="885" w:name="_Toc8707"/>
      <w:r>
        <w:t>7.8</w:t>
      </w:r>
      <w:r>
        <w:rPr>
          <w:rFonts w:eastAsia="宋体"/>
          <w:lang w:eastAsia="zh-CN"/>
        </w:rPr>
        <w:t>A</w:t>
      </w:r>
      <w:r>
        <w:tab/>
      </w:r>
      <w:r>
        <w:t>Intermodulation</w:t>
      </w:r>
      <w:r>
        <w:rPr>
          <w:rFonts w:eastAsia="宋体"/>
          <w:lang w:eastAsia="zh-CN"/>
        </w:rPr>
        <w:t xml:space="preserve"> characteristics for category </w:t>
      </w:r>
      <w:r>
        <w:rPr>
          <w:lang w:eastAsia="zh-CN"/>
        </w:rPr>
        <w:t>M1</w:t>
      </w:r>
      <w:bookmarkEnd w:id="881"/>
      <w:bookmarkEnd w:id="882"/>
      <w:bookmarkEnd w:id="883"/>
      <w:bookmarkEnd w:id="884"/>
      <w:bookmarkEnd w:id="885"/>
    </w:p>
    <w:p>
      <w:pPr>
        <w:rPr>
          <w:lang w:eastAsia="zh-TW"/>
        </w:rPr>
      </w:pPr>
    </w:p>
    <w:p>
      <w:pPr>
        <w:pStyle w:val="4"/>
        <w:rPr>
          <w:lang w:eastAsia="zh-CN"/>
        </w:rPr>
      </w:pPr>
      <w:bookmarkStart w:id="886" w:name="_Toc23526"/>
      <w:bookmarkStart w:id="887" w:name="_Toc121162908"/>
      <w:bookmarkStart w:id="888" w:name="_Toc120570116"/>
      <w:bookmarkStart w:id="889" w:name="_Toc15872"/>
      <w:bookmarkStart w:id="890" w:name="_Toc18224"/>
      <w:r>
        <w:t>7.8</w:t>
      </w:r>
      <w:r>
        <w:rPr>
          <w:rFonts w:eastAsia="宋体"/>
          <w:lang w:eastAsia="zh-CN"/>
        </w:rPr>
        <w:t>B</w:t>
      </w:r>
      <w:r>
        <w:tab/>
      </w:r>
      <w:r>
        <w:t>Intermodulation</w:t>
      </w:r>
      <w:r>
        <w:rPr>
          <w:rFonts w:eastAsia="宋体"/>
          <w:lang w:eastAsia="zh-CN"/>
        </w:rPr>
        <w:t xml:space="preserve"> characteristics for category </w:t>
      </w:r>
      <w:r>
        <w:rPr>
          <w:lang w:eastAsia="zh-CN"/>
        </w:rPr>
        <w:t>NB1 and NB2</w:t>
      </w:r>
      <w:bookmarkEnd w:id="886"/>
      <w:bookmarkEnd w:id="887"/>
      <w:bookmarkEnd w:id="888"/>
      <w:bookmarkEnd w:id="889"/>
      <w:bookmarkEnd w:id="890"/>
    </w:p>
    <w:p/>
    <w:p>
      <w:pPr>
        <w:pStyle w:val="4"/>
      </w:pPr>
      <w:bookmarkStart w:id="891" w:name="_Toc368026398"/>
      <w:bookmarkStart w:id="892" w:name="_Toc120570117"/>
      <w:bookmarkStart w:id="893" w:name="_Toc6729"/>
      <w:bookmarkStart w:id="894" w:name="_Toc8648"/>
      <w:bookmarkStart w:id="895" w:name="_Toc111062103"/>
      <w:bookmarkStart w:id="896" w:name="_Toc26252"/>
      <w:bookmarkStart w:id="897" w:name="_Toc121162909"/>
      <w:r>
        <w:t>7.9</w:t>
      </w:r>
      <w:r>
        <w:tab/>
      </w:r>
      <w:r>
        <w:t>Spurious emissions</w:t>
      </w:r>
      <w:bookmarkEnd w:id="891"/>
      <w:bookmarkEnd w:id="892"/>
      <w:bookmarkEnd w:id="893"/>
      <w:bookmarkEnd w:id="894"/>
      <w:bookmarkEnd w:id="895"/>
      <w:bookmarkEnd w:id="896"/>
      <w:bookmarkEnd w:id="897"/>
    </w:p>
    <w:p>
      <w:pPr>
        <w:pStyle w:val="4"/>
      </w:pPr>
      <w:bookmarkStart w:id="898" w:name="_Toc28688"/>
      <w:bookmarkStart w:id="899" w:name="_Toc28333"/>
      <w:r>
        <w:t>7.9A</w:t>
      </w:r>
      <w:r>
        <w:tab/>
      </w:r>
      <w:r>
        <w:t>Spurious emissions for category M1</w:t>
      </w:r>
      <w:bookmarkEnd w:id="898"/>
      <w:bookmarkEnd w:id="899"/>
    </w:p>
    <w:p>
      <w:pPr>
        <w:pStyle w:val="112"/>
        <w:rPr>
          <w:lang w:val="en-US"/>
        </w:rPr>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Message exceptions specific to satellite access is TBD</w:t>
      </w:r>
    </w:p>
    <w:p>
      <w:pPr>
        <w:pStyle w:val="112"/>
      </w:pPr>
      <w:r>
        <w:t>- Test Points analysis is TBD</w:t>
      </w:r>
    </w:p>
    <w:p>
      <w:pPr>
        <w:pStyle w:val="112"/>
      </w:pPr>
      <w:r>
        <w:t>- Test configuration is TBD</w:t>
      </w:r>
    </w:p>
    <w:p>
      <w:pPr>
        <w:pStyle w:val="112"/>
      </w:pPr>
      <w:r>
        <w:t>- Annex F MU/TT is TBD</w:t>
      </w:r>
    </w:p>
    <w:p>
      <w:pPr>
        <w:pStyle w:val="9"/>
      </w:pPr>
      <w:bookmarkStart w:id="900" w:name="_Toc336589990"/>
      <w:r>
        <w:t>7.9A.1</w:t>
      </w:r>
      <w:r>
        <w:tab/>
      </w:r>
      <w:r>
        <w:t>Test Purpose</w:t>
      </w:r>
      <w:bookmarkEnd w:id="900"/>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7.9A.3.</w:t>
      </w:r>
    </w:p>
    <w:p>
      <w:r>
        <w:t>Excess spurious emissions increase the interference to other systems.</w:t>
      </w:r>
    </w:p>
    <w:p>
      <w:pPr>
        <w:pStyle w:val="9"/>
      </w:pPr>
      <w:bookmarkStart w:id="901" w:name="_Toc336589991"/>
      <w:r>
        <w:t>7.9A.2</w:t>
      </w:r>
      <w:r>
        <w:tab/>
      </w:r>
      <w:r>
        <w:t>Test Applicability</w:t>
      </w:r>
      <w:bookmarkEnd w:id="901"/>
    </w:p>
    <w:p>
      <w:bookmarkStart w:id="902" w:name="_Toc336589992"/>
      <w:r>
        <w:t>This test case applies to all types of E-UTRA UE release 17 and forward that support satellite access operation.</w:t>
      </w:r>
    </w:p>
    <w:p>
      <w:pPr>
        <w:pStyle w:val="9"/>
      </w:pPr>
      <w:r>
        <w:t>7.9A.3</w:t>
      </w:r>
      <w:r>
        <w:tab/>
      </w:r>
      <w:r>
        <w:t>Minimum Conformance Requirements</w:t>
      </w:r>
      <w:bookmarkEnd w:id="902"/>
    </w:p>
    <w:p>
      <w:pPr>
        <w:keepNext/>
        <w:rPr>
          <w:rFonts w:cs="v5.0.0"/>
        </w:rPr>
      </w:pPr>
      <w:r>
        <w:rPr>
          <w:rFonts w:cs="v5.0.0"/>
        </w:rPr>
        <w:t>The power of any narrow band CW spurious emission shall not exceed the maximum level specified in Table 7.9A.3-1</w:t>
      </w:r>
    </w:p>
    <w:p>
      <w:pPr>
        <w:pStyle w:val="113"/>
      </w:pPr>
      <w:r>
        <w:t>Table 7.9A.3-1: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bookmarkStart w:id="903" w:name="_Toc336589993"/>
      <w:r>
        <w:t>7.9A.4</w:t>
      </w:r>
      <w:r>
        <w:tab/>
      </w:r>
      <w:r>
        <w:t>Test Description</w:t>
      </w:r>
      <w:bookmarkEnd w:id="903"/>
    </w:p>
    <w:p>
      <w:pPr>
        <w:pStyle w:val="9"/>
      </w:pPr>
      <w:bookmarkStart w:id="904" w:name="_Toc336589994"/>
      <w:r>
        <w:t>7.9A.4.1</w:t>
      </w:r>
      <w:r>
        <w:tab/>
      </w:r>
      <w:r>
        <w:t>Initial Conditions</w:t>
      </w:r>
      <w:bookmarkEnd w:id="904"/>
    </w:p>
    <w:p>
      <w:r>
        <w:t>Initial conditions are a set of test configurations the UE needs to be tested in and the steps for the SS to take with the UE to reach the correct measurement state.</w:t>
      </w:r>
    </w:p>
    <w:p>
      <w:pPr>
        <w:rPr>
          <w:rFonts w:eastAsia="??"/>
        </w:rPr>
      </w:pPr>
      <w:r>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7.9A.4.1-1. The details of the downlink and uplink reference measurement channels (RMCs) are specified in [Annexes A.3 and A.2] respectively.</w:t>
      </w:r>
    </w:p>
    <w:p>
      <w:pPr>
        <w:pStyle w:val="113"/>
      </w:pPr>
      <w:r>
        <w:t>Table 7.9A.4.1-1: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03"/>
            </w:pPr>
            <w:r>
              <w:t>TS 36.508[12] subclause 4.1</w:t>
            </w:r>
          </w:p>
        </w:tc>
        <w:tc>
          <w:tcPr>
            <w:tcW w:w="4660"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4.3.1</w:t>
            </w:r>
          </w:p>
        </w:tc>
        <w:tc>
          <w:tcPr>
            <w:tcW w:w="4660" w:type="dxa"/>
            <w:gridSpan w:val="3"/>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Channel Bandwidths as specified in</w:t>
            </w:r>
          </w:p>
          <w:p>
            <w:pPr>
              <w:pStyle w:val="103"/>
            </w:pPr>
            <w:r>
              <w:t>TS 36.508 [12] subclause 4.3.1</w:t>
            </w:r>
          </w:p>
        </w:tc>
        <w:tc>
          <w:tcPr>
            <w:tcW w:w="4660" w:type="dxa"/>
            <w:gridSpan w:val="3"/>
          </w:tcPr>
          <w:p>
            <w:pPr>
              <w:pStyle w:val="103"/>
            </w:pPr>
            <w:r>
              <w:t>[Highest]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r>
              <w:t>Mod'n</w:t>
            </w:r>
          </w:p>
        </w:tc>
        <w:tc>
          <w:tcPr>
            <w:tcW w:w="2330" w:type="dxa"/>
            <w:gridSpan w:val="2"/>
          </w:tcPr>
          <w:p>
            <w:pPr>
              <w:pStyle w:val="104"/>
            </w:pPr>
            <w:r>
              <w:t>RB allocation</w:t>
            </w:r>
          </w:p>
        </w:tc>
        <w:tc>
          <w:tcPr>
            <w:tcW w:w="1165" w:type="dxa"/>
          </w:tcPr>
          <w:p>
            <w:pPr>
              <w:pStyle w:val="104"/>
            </w:pPr>
            <w:r>
              <w:t>Mod'n</w:t>
            </w:r>
          </w:p>
        </w:tc>
        <w:tc>
          <w:tcPr>
            <w:tcW w:w="2330" w:type="dxa"/>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pPr>
            <w:r>
              <w:rPr>
                <w:rFonts w:eastAsia="MS Mincho"/>
              </w:rPr>
              <w:t>N/A</w:t>
            </w:r>
          </w:p>
        </w:tc>
        <w:tc>
          <w:tcPr>
            <w:tcW w:w="2330" w:type="dxa"/>
            <w:gridSpan w:val="2"/>
          </w:tcPr>
          <w:p>
            <w:pPr>
              <w:pStyle w:val="105"/>
            </w:pPr>
            <w:r>
              <w:rPr>
                <w:rFonts w:hint="eastAsia" w:eastAsiaTheme="minorEastAsia"/>
              </w:rPr>
              <w:t>0</w:t>
            </w:r>
          </w:p>
        </w:tc>
        <w:tc>
          <w:tcPr>
            <w:tcW w:w="1165" w:type="dxa"/>
          </w:tcPr>
          <w:p>
            <w:pPr>
              <w:pStyle w:val="105"/>
            </w:pPr>
            <w:r>
              <w:rPr>
                <w:rFonts w:eastAsia="MS Mincho"/>
              </w:rPr>
              <w:t>N/A</w:t>
            </w:r>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7.9A.4.1-1.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Ensure the UE is in State 3A-RF-CE according to TS 36.508 [12] clause 5.2A.2AA. Message contents are defined in clause 7.9A.4.3.</w:t>
      </w:r>
    </w:p>
    <w:p>
      <w:pPr>
        <w:pStyle w:val="9"/>
      </w:pPr>
      <w:bookmarkStart w:id="905" w:name="_Toc336589995"/>
      <w:r>
        <w:t>7.9A.4.2</w:t>
      </w:r>
      <w:r>
        <w:tab/>
      </w:r>
      <w:r>
        <w:t>Test Procedure</w:t>
      </w:r>
      <w:bookmarkEnd w:id="905"/>
    </w:p>
    <w:p>
      <w:pPr>
        <w:pStyle w:val="111"/>
      </w:pPr>
      <w:r>
        <w:t>1.</w:t>
      </w:r>
      <w:r>
        <w:tab/>
      </w:r>
      <w:r>
        <w:t>Sweep the spectrum analyzer (or equivalent equipment) over a frequency range and measure the average power of spurious emission.</w:t>
      </w:r>
    </w:p>
    <w:p>
      <w:pPr>
        <w:pStyle w:val="111"/>
      </w:pPr>
      <w:r>
        <w:t>2.</w:t>
      </w:r>
      <w:r>
        <w:tab/>
      </w:r>
      <w:r>
        <w:t>Repeat step 1 for all E-UTRA Rx antennas of the UE.</w:t>
      </w:r>
    </w:p>
    <w:p>
      <w:pPr>
        <w:pStyle w:val="9"/>
      </w:pPr>
      <w:bookmarkStart w:id="906" w:name="_Toc336589996"/>
      <w:r>
        <w:t>7.9A.4.3</w:t>
      </w:r>
      <w:r>
        <w:tab/>
      </w:r>
      <w:r>
        <w:t>Message Contents</w:t>
      </w:r>
      <w:bookmarkEnd w:id="906"/>
    </w:p>
    <w:p>
      <w:r>
        <w:t>Message contents are according to TS 36.508 [12] subclause 4.6.</w:t>
      </w:r>
    </w:p>
    <w:p>
      <w:pPr>
        <w:pStyle w:val="9"/>
      </w:pPr>
      <w:bookmarkStart w:id="907" w:name="_Toc336589997"/>
      <w:r>
        <w:t>7.9A.5</w:t>
      </w:r>
      <w:r>
        <w:tab/>
      </w:r>
      <w:r>
        <w:t>Test Requirement</w:t>
      </w:r>
      <w:bookmarkEnd w:id="907"/>
    </w:p>
    <w:p>
      <w:pPr>
        <w:rPr>
          <w:rFonts w:eastAsia="MS Mincho"/>
        </w:rPr>
      </w:pPr>
      <w:r>
        <w:rPr>
          <w:rFonts w:eastAsia="MS Mincho"/>
        </w:rPr>
        <w:t xml:space="preserve">The measured spurious emissions derived in step 1), shall </w:t>
      </w:r>
      <w:r>
        <w:rPr>
          <w:rFonts w:cs="v5.0.0"/>
        </w:rPr>
        <w:t>not exceed the maximum level specified in Table 7.9A.5-1.</w:t>
      </w:r>
    </w:p>
    <w:p>
      <w:pPr>
        <w:pStyle w:val="113"/>
      </w:pPr>
      <w:r>
        <w:t>Table 7.9A.5-1: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pPr>
        <w:pStyle w:val="4"/>
      </w:pPr>
      <w:bookmarkStart w:id="908" w:name="_Toc28154"/>
      <w:bookmarkStart w:id="909" w:name="_Toc209"/>
      <w:r>
        <w:t>7.9B</w:t>
      </w:r>
      <w:r>
        <w:tab/>
      </w:r>
      <w:r>
        <w:t>Spurious emissions for category NB1 and NB2</w:t>
      </w:r>
      <w:bookmarkEnd w:id="908"/>
      <w:bookmarkEnd w:id="909"/>
    </w:p>
    <w:p>
      <w:pPr>
        <w:pStyle w:val="112"/>
        <w:rPr>
          <w:lang w:val="en-US"/>
        </w:rPr>
      </w:pPr>
      <w:r>
        <w:t>Editor’s Note: This clause is incomplete. The following aspects are either missing or not yet determined:</w:t>
      </w:r>
    </w:p>
    <w:p>
      <w:pPr>
        <w:pStyle w:val="112"/>
      </w:pPr>
      <w:r>
        <w:t>- Addition to applicability spec is pending</w:t>
      </w:r>
    </w:p>
    <w:p>
      <w:pPr>
        <w:pStyle w:val="112"/>
      </w:pPr>
      <w:r>
        <w:t>- Initial condition and call setup procedure to support satellite access are TBD</w:t>
      </w:r>
    </w:p>
    <w:p>
      <w:pPr>
        <w:pStyle w:val="112"/>
      </w:pPr>
      <w:r>
        <w:t>- Message exceptions specific to satellite access is TBD</w:t>
      </w:r>
    </w:p>
    <w:p>
      <w:pPr>
        <w:pStyle w:val="112"/>
      </w:pPr>
      <w:r>
        <w:t>- Test Points analysis is TBD</w:t>
      </w:r>
    </w:p>
    <w:p>
      <w:pPr>
        <w:pStyle w:val="112"/>
      </w:pPr>
      <w:r>
        <w:t>- Test configuration is TBD</w:t>
      </w:r>
    </w:p>
    <w:p>
      <w:pPr>
        <w:pStyle w:val="112"/>
      </w:pPr>
      <w:r>
        <w:t>- Annex F MU/TT is TBD</w:t>
      </w:r>
    </w:p>
    <w:p>
      <w:pPr>
        <w:pStyle w:val="9"/>
      </w:pPr>
      <w:r>
        <w:t>7.9B.1</w:t>
      </w:r>
      <w:r>
        <w:tab/>
      </w:r>
      <w:r>
        <w:t>Test Purpose</w:t>
      </w:r>
    </w:p>
    <w:p>
      <w:r>
        <w:rPr>
          <w:rFonts w:eastAsia="??" w:cs="v5.0.0"/>
        </w:rPr>
        <w:t>The spurious emissions power is the power of emissions generated or amplified in a receiver that appear at the UE antenna connector.</w:t>
      </w:r>
    </w:p>
    <w:p>
      <w:r>
        <w:t>Test verifies the UE's spurious emissions meet the requirements described in clause 7.9B.3.</w:t>
      </w:r>
    </w:p>
    <w:p>
      <w:r>
        <w:t>Excess spurious emissions increase the interference to other systems.</w:t>
      </w:r>
    </w:p>
    <w:p>
      <w:pPr>
        <w:pStyle w:val="9"/>
      </w:pPr>
      <w:r>
        <w:t>7.9B.2</w:t>
      </w:r>
      <w:r>
        <w:tab/>
      </w:r>
      <w:r>
        <w:t>Test Applicability</w:t>
      </w:r>
    </w:p>
    <w:p>
      <w:r>
        <w:t>This test case applies to all types of E-UTRA UE release 17 and forward that support satellite access operation.</w:t>
      </w:r>
    </w:p>
    <w:p>
      <w:pPr>
        <w:pStyle w:val="9"/>
      </w:pPr>
      <w:r>
        <w:t>7.9B.3</w:t>
      </w:r>
      <w:r>
        <w:tab/>
      </w:r>
      <w:r>
        <w:t>Minimum Conformance Requirements</w:t>
      </w:r>
    </w:p>
    <w:p>
      <w:pPr>
        <w:keepNext/>
        <w:rPr>
          <w:rFonts w:cs="v5.0.0"/>
        </w:rPr>
      </w:pPr>
      <w:r>
        <w:rPr>
          <w:rFonts w:cs="v5.0.0"/>
        </w:rPr>
        <w:t>The power of any narrow band CW spurious emission shall not exceed the maximum level specified in Table 7.9B.3-1</w:t>
      </w:r>
    </w:p>
    <w:p>
      <w:pPr>
        <w:pStyle w:val="113"/>
      </w:pPr>
      <w:r>
        <w:t>Table 7.9B.3-1: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
      <w:r>
        <w:t>The normative reference for this requirement is TS 36.102 [11] clause 7.9.</w:t>
      </w:r>
    </w:p>
    <w:p>
      <w:pPr>
        <w:pStyle w:val="9"/>
      </w:pPr>
      <w:r>
        <w:t>7.9B.4</w:t>
      </w:r>
      <w:r>
        <w:tab/>
      </w:r>
      <w:r>
        <w:t>Test Description</w:t>
      </w:r>
    </w:p>
    <w:p>
      <w:pPr>
        <w:pStyle w:val="9"/>
      </w:pPr>
      <w:r>
        <w:t>7.9B.4.1</w:t>
      </w:r>
      <w:r>
        <w:tab/>
      </w:r>
      <w:r>
        <w:t>Initial Conditions</w:t>
      </w:r>
    </w:p>
    <w:p>
      <w:r>
        <w:t>Initial conditions are a set of test configurations the UE needs to be tested in and the steps for the SS to take with the UE to reach the correct measurement state.</w:t>
      </w:r>
    </w:p>
    <w:p>
      <w:pPr>
        <w:rPr>
          <w:rFonts w:eastAsia="??"/>
        </w:rPr>
      </w:pPr>
      <w:r>
        <w:t>The initial test configurations consist of environmental conditions, test frequencies, and channel bandwidths based on E-UTRA bands specified in Table 5.2-1. All of these configurations shall be tested with applicable test parameters for each channel bandwidth, and are shown in Table 7.9B.4.1-1. The details of the downlink and uplink reference measurement channels (RMCs) are specified in [Annexes A.3 and A.2] respectively.</w:t>
      </w:r>
    </w:p>
    <w:p>
      <w:pPr>
        <w:pStyle w:val="113"/>
      </w:pPr>
      <w:r>
        <w:t>Table 7.9B.4.1-1: Test Configuration Table</w:t>
      </w:r>
    </w:p>
    <w:tbl>
      <w:tblPr>
        <w:tblStyle w:val="89"/>
        <w:tblW w:w="81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6"/>
        <w:gridCol w:w="1165"/>
        <w:gridCol w:w="1165"/>
        <w:gridCol w:w="1165"/>
        <w:gridCol w:w="1165"/>
        <w:gridCol w:w="2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4"/>
            </w:pPr>
            <w:r>
              <w:t>Initial Conditions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Environment as specified in</w:t>
            </w:r>
          </w:p>
          <w:p>
            <w:pPr>
              <w:pStyle w:val="189"/>
              <w:rPr>
                <w:rFonts w:ascii="Arial" w:hAnsi="Arial" w:cs="Times New Roman"/>
                <w:kern w:val="0"/>
                <w:sz w:val="18"/>
                <w:szCs w:val="20"/>
                <w:lang w:val="en-GB"/>
              </w:rPr>
            </w:pPr>
            <w:r>
              <w:t>TS 36.508[12] subclaus</w:t>
            </w:r>
            <w:r>
              <w:rPr>
                <w:rFonts w:ascii="Arial" w:hAnsi="Arial" w:cs="Times New Roman"/>
                <w:kern w:val="0"/>
                <w:sz w:val="18"/>
                <w:szCs w:val="20"/>
                <w:lang w:val="en-GB"/>
              </w:rPr>
              <w:t>e 8.1.1</w:t>
            </w:r>
          </w:p>
          <w:p>
            <w:pPr>
              <w:pStyle w:val="103"/>
            </w:pPr>
          </w:p>
        </w:tc>
        <w:tc>
          <w:tcPr>
            <w:tcW w:w="4660" w:type="dxa"/>
            <w:gridSpan w:val="3"/>
          </w:tcPr>
          <w:p>
            <w:pPr>
              <w:pStyle w:val="103"/>
            </w:pPr>
            <w: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496" w:type="dxa"/>
            <w:gridSpan w:val="3"/>
          </w:tcPr>
          <w:p>
            <w:pPr>
              <w:pStyle w:val="103"/>
            </w:pPr>
            <w:r>
              <w:t>Test Frequencies as specified in</w:t>
            </w:r>
          </w:p>
          <w:p>
            <w:pPr>
              <w:pStyle w:val="103"/>
            </w:pPr>
            <w:r>
              <w:t>TS36.508 [12] subclause 8.1.3.1</w:t>
            </w:r>
          </w:p>
        </w:tc>
        <w:tc>
          <w:tcPr>
            <w:tcW w:w="4660" w:type="dxa"/>
            <w:gridSpan w:val="3"/>
          </w:tcPr>
          <w:p>
            <w:pPr>
              <w:pStyle w:val="103"/>
            </w:pPr>
            <w:r>
              <w:t>[Low range, Mid range, High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8156" w:type="dxa"/>
            <w:gridSpan w:val="6"/>
          </w:tcPr>
          <w:p>
            <w:pPr>
              <w:pStyle w:val="103"/>
            </w:pPr>
            <w:r>
              <w:rPr>
                <w:b/>
              </w:rPr>
              <w:t>Test Parameters for Channel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66" w:type="dxa"/>
          </w:tcPr>
          <w:p>
            <w:pPr>
              <w:pStyle w:val="104"/>
            </w:pPr>
          </w:p>
        </w:tc>
        <w:tc>
          <w:tcPr>
            <w:tcW w:w="3495" w:type="dxa"/>
            <w:gridSpan w:val="3"/>
          </w:tcPr>
          <w:p>
            <w:pPr>
              <w:pStyle w:val="103"/>
            </w:pPr>
            <w:r>
              <w:rPr>
                <w:b/>
              </w:rPr>
              <w:t>Downlink Configuration</w:t>
            </w:r>
          </w:p>
        </w:tc>
        <w:tc>
          <w:tcPr>
            <w:tcW w:w="3495" w:type="dxa"/>
            <w:gridSpan w:val="2"/>
          </w:tcPr>
          <w:p>
            <w:pPr>
              <w:pStyle w:val="103"/>
            </w:pPr>
            <w:r>
              <w:rPr>
                <w:b/>
              </w:rPr>
              <w:t>Uplink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4"/>
            </w:pPr>
            <w:r>
              <w:t>Test ID</w:t>
            </w:r>
          </w:p>
        </w:tc>
        <w:tc>
          <w:tcPr>
            <w:tcW w:w="1165" w:type="dxa"/>
          </w:tcPr>
          <w:p>
            <w:pPr>
              <w:pStyle w:val="104"/>
            </w:pPr>
            <w:r>
              <w:t>Mod'n</w:t>
            </w:r>
          </w:p>
        </w:tc>
        <w:tc>
          <w:tcPr>
            <w:tcW w:w="2330" w:type="dxa"/>
            <w:gridSpan w:val="2"/>
          </w:tcPr>
          <w:p>
            <w:pPr>
              <w:pStyle w:val="104"/>
            </w:pPr>
            <w:r>
              <w:t>RB allocation</w:t>
            </w:r>
          </w:p>
        </w:tc>
        <w:tc>
          <w:tcPr>
            <w:tcW w:w="1165" w:type="dxa"/>
          </w:tcPr>
          <w:p>
            <w:pPr>
              <w:pStyle w:val="104"/>
            </w:pPr>
            <w:r>
              <w:t>Mod'n</w:t>
            </w:r>
          </w:p>
        </w:tc>
        <w:tc>
          <w:tcPr>
            <w:tcW w:w="2330" w:type="dxa"/>
          </w:tcPr>
          <w:p>
            <w:pPr>
              <w:pStyle w:val="104"/>
            </w:pPr>
            <w:r>
              <w:t>RB allocation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166" w:type="dxa"/>
          </w:tcPr>
          <w:p>
            <w:pPr>
              <w:pStyle w:val="105"/>
            </w:pPr>
            <w:r>
              <w:t>1</w:t>
            </w:r>
          </w:p>
        </w:tc>
        <w:tc>
          <w:tcPr>
            <w:tcW w:w="1165" w:type="dxa"/>
          </w:tcPr>
          <w:p>
            <w:pPr>
              <w:pStyle w:val="105"/>
            </w:pPr>
            <w:r>
              <w:rPr>
                <w:rFonts w:eastAsia="MS Mincho"/>
              </w:rPr>
              <w:t>N/A</w:t>
            </w:r>
          </w:p>
        </w:tc>
        <w:tc>
          <w:tcPr>
            <w:tcW w:w="2330" w:type="dxa"/>
            <w:gridSpan w:val="2"/>
          </w:tcPr>
          <w:p>
            <w:pPr>
              <w:pStyle w:val="105"/>
            </w:pPr>
            <w:r>
              <w:rPr>
                <w:rFonts w:hint="eastAsia" w:eastAsiaTheme="minorEastAsia"/>
              </w:rPr>
              <w:t>0</w:t>
            </w:r>
          </w:p>
        </w:tc>
        <w:tc>
          <w:tcPr>
            <w:tcW w:w="1165" w:type="dxa"/>
          </w:tcPr>
          <w:p>
            <w:pPr>
              <w:pStyle w:val="105"/>
            </w:pPr>
            <w:r>
              <w:rPr>
                <w:rFonts w:eastAsia="MS Mincho"/>
              </w:rPr>
              <w:t>N/A</w:t>
            </w:r>
          </w:p>
        </w:tc>
        <w:tc>
          <w:tcPr>
            <w:tcW w:w="2330" w:type="dxa"/>
          </w:tcPr>
          <w:p>
            <w:pPr>
              <w:pStyle w:val="105"/>
            </w:pPr>
            <w:r>
              <w:rPr>
                <w:rFonts w:hint="eastAsia" w:eastAsiaTheme="minorEastAsia"/>
              </w:rPr>
              <w:t>0</w:t>
            </w:r>
          </w:p>
        </w:tc>
      </w:tr>
    </w:tbl>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a spectrum analyzer (or other suitable test equipment) to the UE antenna connectors as shown in TS 36.508 [12] Annex A, Figure A.7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TS 36.508 [12] subclause 4.4.3.</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C.3.1].</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The DL Reference Measurement channels are set according to Table 7.9B.4.1-1.</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Propagation conditions are set according to [Annex B.0].</w:t>
      </w:r>
    </w:p>
    <w:p>
      <w:pPr>
        <w:pStyle w:val="111"/>
        <w:overflowPunct w:val="0"/>
        <w:autoSpaceDE w:val="0"/>
        <w:autoSpaceDN w:val="0"/>
        <w:adjustRightInd w:val="0"/>
        <w:contextualSpacing w:val="0"/>
        <w:textAlignment w:val="baseline"/>
        <w:rPr>
          <w:rFonts w:eastAsia="Malgun Gothic"/>
        </w:rPr>
      </w:pPr>
      <w:r>
        <w:rPr>
          <w:rFonts w:eastAsia="Malgun Gothic"/>
        </w:rPr>
        <w:t>6.</w:t>
      </w:r>
      <w:r>
        <w:rPr>
          <w:rFonts w:eastAsia="Malgun Gothic"/>
        </w:rPr>
        <w:tab/>
      </w:r>
      <w:r>
        <w:rPr>
          <w:rFonts w:eastAsia="Malgun Gothic"/>
        </w:rPr>
        <w:t>Ensure the UE is in State 2A-NB with CP CIoT Optimisation according to TS 36.508 [12] clause 8.1.5. Message contents are defined in clause 7.9B.4.3.</w:t>
      </w:r>
    </w:p>
    <w:p>
      <w:pPr>
        <w:pStyle w:val="9"/>
      </w:pPr>
      <w:r>
        <w:t>7.9B.4.2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Sweep the spectrum analyzer (or equivalent equipment) over a frequency range and measure the average power of spurious emission.</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Repeat step 1 for all E-UTRA Rx antennas of the UE.</w:t>
      </w:r>
    </w:p>
    <w:p>
      <w:pPr>
        <w:pStyle w:val="9"/>
      </w:pPr>
      <w:r>
        <w:t>7.9B.4.3</w:t>
      </w:r>
      <w:r>
        <w:tab/>
      </w:r>
      <w:r>
        <w:t>Message Contents</w:t>
      </w:r>
    </w:p>
    <w:p>
      <w:r>
        <w:t>Message contents are according to TS 36.508 [12] subclause 8.1.6.</w:t>
      </w:r>
    </w:p>
    <w:p>
      <w:pPr>
        <w:pStyle w:val="9"/>
      </w:pPr>
      <w:r>
        <w:t>7.9B.5</w:t>
      </w:r>
      <w:r>
        <w:tab/>
      </w:r>
      <w:r>
        <w:t>Test Requirement</w:t>
      </w:r>
    </w:p>
    <w:p>
      <w:pPr>
        <w:rPr>
          <w:rFonts w:eastAsia="MS Mincho"/>
        </w:rPr>
      </w:pPr>
      <w:r>
        <w:rPr>
          <w:rFonts w:eastAsia="MS Mincho"/>
        </w:rPr>
        <w:t xml:space="preserve">The measured spurious emissions derived in step 1), shall </w:t>
      </w:r>
      <w:r>
        <w:rPr>
          <w:rFonts w:cs="v5.0.0"/>
        </w:rPr>
        <w:t>not exceed the maximum level specified in Table 7.9B.5-1.</w:t>
      </w:r>
    </w:p>
    <w:p>
      <w:pPr>
        <w:pStyle w:val="113"/>
      </w:pPr>
      <w:r>
        <w:t>Table 7.9B.5-1: General receiver spurious emission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8"/>
        <w:gridCol w:w="1440"/>
        <w:gridCol w:w="1170"/>
        <w:gridCol w:w="3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4"/>
            </w:pPr>
            <w:r>
              <w:t>Frequency Band</w:t>
            </w:r>
          </w:p>
        </w:tc>
        <w:tc>
          <w:tcPr>
            <w:tcW w:w="1440" w:type="dxa"/>
          </w:tcPr>
          <w:p>
            <w:pPr>
              <w:pStyle w:val="104"/>
            </w:pPr>
            <w:r>
              <w:t>Measurement</w:t>
            </w:r>
          </w:p>
          <w:p>
            <w:pPr>
              <w:pStyle w:val="104"/>
            </w:pPr>
            <w:r>
              <w:t>Bandwidth</w:t>
            </w:r>
          </w:p>
        </w:tc>
        <w:tc>
          <w:tcPr>
            <w:tcW w:w="1170" w:type="dxa"/>
          </w:tcPr>
          <w:p>
            <w:pPr>
              <w:pStyle w:val="104"/>
            </w:pPr>
            <w:r>
              <w:t>Maximum level</w:t>
            </w:r>
          </w:p>
        </w:tc>
        <w:tc>
          <w:tcPr>
            <w:tcW w:w="3330"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2538" w:type="dxa"/>
          </w:tcPr>
          <w:p>
            <w:pPr>
              <w:pStyle w:val="103"/>
            </w:pPr>
            <w:r>
              <w:rPr>
                <w:rFonts w:cs="Arial"/>
              </w:rPr>
              <w:t xml:space="preserve">30MHz </w:t>
            </w:r>
            <w:r>
              <w:rPr>
                <w:rFonts w:cs="Arial"/>
              </w:rPr>
              <w:sym w:font="Symbol" w:char="F0A3"/>
            </w:r>
            <w:r>
              <w:rPr>
                <w:rFonts w:cs="Arial"/>
              </w:rPr>
              <w:t xml:space="preserve"> f &lt; 1GHz</w:t>
            </w:r>
          </w:p>
        </w:tc>
        <w:tc>
          <w:tcPr>
            <w:tcW w:w="1440" w:type="dxa"/>
          </w:tcPr>
          <w:p>
            <w:pPr>
              <w:pStyle w:val="105"/>
            </w:pPr>
            <w:r>
              <w:t>100 kHz</w:t>
            </w:r>
          </w:p>
        </w:tc>
        <w:tc>
          <w:tcPr>
            <w:tcW w:w="1170" w:type="dxa"/>
          </w:tcPr>
          <w:p>
            <w:pPr>
              <w:pStyle w:val="105"/>
            </w:pPr>
            <w:r>
              <w:t>-57 dBm</w:t>
            </w:r>
          </w:p>
        </w:tc>
        <w:tc>
          <w:tcPr>
            <w:tcW w:w="333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38" w:type="dxa"/>
          </w:tcPr>
          <w:p>
            <w:pPr>
              <w:pStyle w:val="103"/>
            </w:pPr>
            <w:r>
              <w:rPr>
                <w:rFonts w:cs="Arial"/>
              </w:rPr>
              <w:t xml:space="preserve">1GHz </w:t>
            </w:r>
            <w:r>
              <w:rPr>
                <w:rFonts w:cs="Arial"/>
              </w:rPr>
              <w:sym w:font="Symbol" w:char="F0A3"/>
            </w:r>
            <w:r>
              <w:rPr>
                <w:rFonts w:cs="Arial"/>
              </w:rPr>
              <w:t xml:space="preserve"> f </w:t>
            </w:r>
            <w:r>
              <w:rPr>
                <w:rFonts w:cs="Arial"/>
              </w:rPr>
              <w:sym w:font="Symbol" w:char="F0A3"/>
            </w:r>
            <w:r>
              <w:rPr>
                <w:rFonts w:cs="Arial"/>
              </w:rPr>
              <w:t xml:space="preserve"> 12.75 GHz</w:t>
            </w:r>
          </w:p>
        </w:tc>
        <w:tc>
          <w:tcPr>
            <w:tcW w:w="1440" w:type="dxa"/>
          </w:tcPr>
          <w:p>
            <w:pPr>
              <w:pStyle w:val="105"/>
            </w:pPr>
            <w:r>
              <w:t>1 MHz</w:t>
            </w:r>
          </w:p>
        </w:tc>
        <w:tc>
          <w:tcPr>
            <w:tcW w:w="1170" w:type="dxa"/>
          </w:tcPr>
          <w:p>
            <w:pPr>
              <w:pStyle w:val="105"/>
            </w:pPr>
            <w:r>
              <w:t>-47 dBm</w:t>
            </w:r>
          </w:p>
        </w:tc>
        <w:tc>
          <w:tcPr>
            <w:tcW w:w="3330" w:type="dxa"/>
          </w:tcPr>
          <w:p>
            <w:pPr>
              <w:pStyle w:val="105"/>
            </w:pPr>
          </w:p>
        </w:tc>
      </w:tr>
    </w:tbl>
    <w:p>
      <w:pPr>
        <w:rPr>
          <w:lang w:val="en-US" w:eastAsia="ja-JP"/>
        </w:rPr>
      </w:pPr>
    </w:p>
    <w:p>
      <w:pPr>
        <w:pStyle w:val="3"/>
      </w:pPr>
      <w:bookmarkStart w:id="910" w:name="_Toc8866"/>
      <w:bookmarkStart w:id="911" w:name="_Toc8026"/>
      <w:bookmarkStart w:id="912" w:name="_Toc111062105"/>
      <w:bookmarkStart w:id="913" w:name="_Toc120570118"/>
      <w:bookmarkStart w:id="914" w:name="_Toc28975"/>
      <w:bookmarkStart w:id="915" w:name="_Toc121162910"/>
      <w:r>
        <w:t>8</w:t>
      </w:r>
      <w:r>
        <w:tab/>
      </w:r>
      <w:r>
        <w:t>Performance requirement</w:t>
      </w:r>
      <w:bookmarkEnd w:id="910"/>
      <w:bookmarkEnd w:id="911"/>
      <w:bookmarkEnd w:id="912"/>
      <w:bookmarkEnd w:id="913"/>
      <w:bookmarkEnd w:id="914"/>
      <w:bookmarkEnd w:id="915"/>
    </w:p>
    <w:p>
      <w:pPr>
        <w:rPr>
          <w:rFonts w:cs="v5.0.0"/>
        </w:rPr>
      </w:pPr>
      <w:r>
        <w:t xml:space="preserve">This clause contains performance requirements for the physical channels specified in TS 36.211[3]. </w:t>
      </w:r>
      <w:r>
        <w:rPr>
          <w:rFonts w:cs="v5.0.0"/>
        </w:rPr>
        <w:t xml:space="preserve">The performance requirements for the UE in this clause are specified for the measurement channels specified in </w:t>
      </w:r>
      <w:r>
        <w:t xml:space="preserve">TS 36.102[11] </w:t>
      </w:r>
      <w:r>
        <w:rPr>
          <w:rFonts w:cs="v5.0.0"/>
        </w:rPr>
        <w:t xml:space="preserve">Annex A, the propagation conditions in </w:t>
      </w:r>
      <w:r>
        <w:t xml:space="preserve">TS 36.102[11] </w:t>
      </w:r>
      <w:r>
        <w:rPr>
          <w:rFonts w:cs="v5.0.0"/>
        </w:rPr>
        <w:t xml:space="preserve">Annex D and the downlink channels in </w:t>
      </w:r>
      <w:r>
        <w:t xml:space="preserve">TS 36.102[11] </w:t>
      </w:r>
      <w:r>
        <w:rPr>
          <w:rFonts w:cs="v5.0.0"/>
        </w:rPr>
        <w:t>Annex B.</w:t>
      </w:r>
    </w:p>
    <w:p>
      <w:pPr>
        <w:pStyle w:val="4"/>
      </w:pPr>
      <w:bookmarkStart w:id="916" w:name="_Toc368026404"/>
      <w:bookmarkStart w:id="917" w:name="_Toc16548"/>
      <w:bookmarkStart w:id="918" w:name="_Toc137401331"/>
      <w:r>
        <w:t>8.1</w:t>
      </w:r>
      <w:r>
        <w:tab/>
      </w:r>
      <w:r>
        <w:t>General</w:t>
      </w:r>
      <w:bookmarkEnd w:id="916"/>
      <w:bookmarkEnd w:id="917"/>
      <w:bookmarkEnd w:id="918"/>
    </w:p>
    <w:p>
      <w:bookmarkStart w:id="919" w:name="_Toc5939"/>
      <w:bookmarkStart w:id="920" w:name="_Toc368026405"/>
      <w:bookmarkStart w:id="921" w:name="_Toc137401332"/>
      <w:r>
        <w:t>All requirements in this section shall be verified when Doppler conditions related to satellite motion for DL in service link are set to zero and delay conditions are set to constant for all types of satellites.</w:t>
      </w:r>
    </w:p>
    <w:p>
      <w:pPr>
        <w:pStyle w:val="5"/>
        <w:rPr>
          <w:rFonts w:eastAsia="MS Mincho"/>
        </w:rPr>
      </w:pPr>
      <w:r>
        <w:rPr>
          <w:rFonts w:eastAsia="MS Mincho"/>
        </w:rPr>
        <w:t>8.1.1</w:t>
      </w:r>
      <w:r>
        <w:rPr>
          <w:rFonts w:eastAsia="MS Mincho"/>
        </w:rPr>
        <w:tab/>
      </w:r>
      <w:r>
        <w:rPr>
          <w:rFonts w:eastAsia="MS Mincho"/>
        </w:rPr>
        <w:t>Receiver antenna capability</w:t>
      </w:r>
      <w:bookmarkEnd w:id="919"/>
      <w:bookmarkEnd w:id="920"/>
      <w:bookmarkEnd w:id="921"/>
    </w:p>
    <w:p>
      <w:r>
        <w:t>The performance requirements are based on UE(s) that utilize one or more antenna receivers.</w:t>
      </w:r>
    </w:p>
    <w:p>
      <w:r>
        <w:t>For all test cases, the SNR is defined as</w:t>
      </w:r>
    </w:p>
    <w:p>
      <w:pPr>
        <w:pStyle w:val="95"/>
      </w:pPr>
      <w:r>
        <w:tab/>
      </w:r>
      <w:r>
        <w:object>
          <v:shape id="_x0000_i1078" o:spt="75" type="#_x0000_t75" style="height:72pt;width:76.35pt;" o:ole="t" filled="f" o:preferrelative="t" stroked="f" coordsize="21600,21600">
            <v:path/>
            <v:fill on="f" focussize="0,0"/>
            <v:stroke on="f" joinstyle="miter"/>
            <v:imagedata r:id="rId104" o:title=""/>
            <o:lock v:ext="edit" aspectratio="t"/>
            <w10:wrap type="none"/>
            <w10:anchorlock/>
          </v:shape>
          <o:OLEObject Type="Embed" ProgID="Equation.3" ShapeID="_x0000_i1078" DrawAspect="Content" ObjectID="_1468075778" r:id="rId103">
            <o:LockedField>false</o:LockedField>
          </o:OLEObject>
        </w:object>
      </w:r>
    </w:p>
    <w:p>
      <w:r>
        <w:t xml:space="preserve">where </w:t>
      </w:r>
      <w:r>
        <w:rPr>
          <w:i/>
        </w:rPr>
        <w:t>N</w:t>
      </w:r>
      <w:r>
        <w:rPr>
          <w:i/>
          <w:vertAlign w:val="subscript"/>
        </w:rPr>
        <w:t>RX</w:t>
      </w:r>
      <w:r>
        <w:t xml:space="preserve"> denotes the number of receiver antenna connectors and the superscript receiver antenna connector </w:t>
      </w:r>
      <w:r>
        <w:rPr>
          <w:i/>
        </w:rPr>
        <w:t>j</w:t>
      </w:r>
      <w:r>
        <w:t xml:space="preserve">. The </w:t>
      </w:r>
      <w:r>
        <w:rPr>
          <w:rFonts w:hint="eastAsia"/>
        </w:rPr>
        <w:t xml:space="preserve">above </w:t>
      </w:r>
      <w:r>
        <w:t xml:space="preserve">SNR </w:t>
      </w:r>
      <w:r>
        <w:rPr>
          <w:rFonts w:hint="eastAsia"/>
        </w:rPr>
        <w:t>definition assumes</w:t>
      </w:r>
      <w:r>
        <w:t xml:space="preserve"> that the REs are not</w:t>
      </w:r>
      <w:r>
        <w:rPr>
          <w:rFonts w:hint="eastAsia"/>
        </w:rPr>
        <w:t xml:space="preserve"> </w:t>
      </w:r>
      <w:r>
        <w:t>precod</w:t>
      </w:r>
      <w:r>
        <w:rPr>
          <w:rFonts w:hint="eastAsia"/>
        </w:rPr>
        <w:t>ed</w:t>
      </w:r>
      <w:r>
        <w:t>. The SNR definition does not account for any gain which can be associated to the precoding operation. The relative power of physical channels transmitted is defined in TS 36.102[11] Annex C. The SNR requirement applies for the UE categories given for each test.</w:t>
      </w:r>
    </w:p>
    <w:p>
      <w:pPr>
        <w:pStyle w:val="5"/>
        <w:rPr>
          <w:snapToGrid w:val="0"/>
        </w:rPr>
      </w:pPr>
      <w:bookmarkStart w:id="922" w:name="_Toc368026408"/>
      <w:bookmarkStart w:id="923" w:name="_Toc5167"/>
      <w:bookmarkStart w:id="924" w:name="_Toc137401333"/>
      <w:r>
        <w:rPr>
          <w:rFonts w:eastAsia="MS Mincho"/>
        </w:rPr>
        <w:t>8.1.</w:t>
      </w:r>
      <w:r>
        <w:rPr>
          <w:rFonts w:hint="eastAsia"/>
        </w:rPr>
        <w:t>2</w:t>
      </w:r>
      <w:r>
        <w:rPr>
          <w:rFonts w:eastAsia="MS Mincho"/>
        </w:rPr>
        <w:tab/>
      </w:r>
      <w:r>
        <w:rPr>
          <w:snapToGrid w:val="0"/>
        </w:rPr>
        <w:t xml:space="preserve">Applicability </w:t>
      </w:r>
      <w:r>
        <w:rPr>
          <w:rFonts w:hint="eastAsia"/>
          <w:snapToGrid w:val="0"/>
        </w:rPr>
        <w:t xml:space="preserve">of </w:t>
      </w:r>
      <w:r>
        <w:rPr>
          <w:snapToGrid w:val="0"/>
        </w:rPr>
        <w:t>requirements</w:t>
      </w:r>
      <w:bookmarkEnd w:id="922"/>
      <w:bookmarkEnd w:id="923"/>
      <w:bookmarkEnd w:id="924"/>
    </w:p>
    <w:p>
      <w:pPr>
        <w:pStyle w:val="6"/>
        <w:rPr>
          <w:snapToGrid w:val="0"/>
        </w:rPr>
      </w:pPr>
      <w:bookmarkStart w:id="925" w:name="_Toc137401334"/>
      <w:bookmarkStart w:id="926" w:name="_Toc27889"/>
      <w:bookmarkStart w:id="927" w:name="_Toc368026409"/>
      <w:r>
        <w:rPr>
          <w:snapToGrid w:val="0"/>
        </w:rPr>
        <w:t>8.1.</w:t>
      </w:r>
      <w:r>
        <w:rPr>
          <w:rFonts w:hint="eastAsia"/>
          <w:snapToGrid w:val="0"/>
        </w:rPr>
        <w:t>2</w:t>
      </w:r>
      <w:r>
        <w:rPr>
          <w:snapToGrid w:val="0"/>
        </w:rPr>
        <w:t>.</w:t>
      </w:r>
      <w:r>
        <w:rPr>
          <w:rFonts w:hint="eastAsia"/>
          <w:snapToGrid w:val="0"/>
        </w:rPr>
        <w:t>1</w:t>
      </w:r>
      <w:r>
        <w:rPr>
          <w:snapToGrid w:val="0"/>
        </w:rPr>
        <w:tab/>
      </w:r>
      <w:r>
        <w:rPr>
          <w:snapToGrid w:val="0"/>
        </w:rPr>
        <w:t xml:space="preserve">Applicability </w:t>
      </w:r>
      <w:r>
        <w:rPr>
          <w:rFonts w:hint="eastAsia"/>
          <w:snapToGrid w:val="0"/>
        </w:rPr>
        <w:t xml:space="preserve">of </w:t>
      </w:r>
      <w:r>
        <w:rPr>
          <w:snapToGrid w:val="0"/>
        </w:rPr>
        <w:t>requirements</w:t>
      </w:r>
      <w:r>
        <w:rPr>
          <w:rFonts w:hint="eastAsia"/>
          <w:snapToGrid w:val="0"/>
        </w:rPr>
        <w:t xml:space="preserve"> for different channel bandwidths</w:t>
      </w:r>
      <w:bookmarkEnd w:id="925"/>
      <w:bookmarkEnd w:id="926"/>
      <w:bookmarkEnd w:id="927"/>
    </w:p>
    <w:p>
      <w:pPr>
        <w:rPr>
          <w:rFonts w:cs="Arial"/>
        </w:rPr>
      </w:pPr>
      <w:r>
        <w:rPr>
          <w:rFonts w:cs="Arial"/>
        </w:rPr>
        <w:t>In Clause 8 the test cases may be defined with different channel bandwidth to verify the same target FRC conditions with the same propagation conditions, correlation matrix and antenna configuration.</w:t>
      </w:r>
    </w:p>
    <w:p>
      <w:pPr>
        <w:pStyle w:val="6"/>
      </w:pPr>
      <w:bookmarkStart w:id="928" w:name="_Toc37083733"/>
      <w:bookmarkStart w:id="929" w:name="_Toc21338163"/>
      <w:bookmarkStart w:id="930" w:name="_Toc61120871"/>
      <w:bookmarkStart w:id="931" w:name="_Toc114565699"/>
      <w:bookmarkStart w:id="932" w:name="_Toc37084075"/>
      <w:bookmarkStart w:id="933" w:name="_Toc137386451"/>
      <w:bookmarkStart w:id="934" w:name="_Toc15994"/>
      <w:bookmarkStart w:id="935" w:name="_Toc107233034"/>
      <w:bookmarkStart w:id="936" w:name="_Toc124256677"/>
      <w:bookmarkStart w:id="937" w:name="_Toc37068190"/>
      <w:bookmarkStart w:id="938" w:name="_Toc67918015"/>
      <w:bookmarkStart w:id="939" w:name="_Toc76652775"/>
      <w:bookmarkStart w:id="940" w:name="_Toc40209779"/>
      <w:bookmarkStart w:id="941" w:name="_Toc98849322"/>
      <w:bookmarkStart w:id="942" w:name="_Toc106543172"/>
      <w:bookmarkStart w:id="943" w:name="_Toc131734990"/>
      <w:bookmarkStart w:id="944" w:name="_Toc53176595"/>
      <w:bookmarkStart w:id="945" w:name="_Toc115267787"/>
      <w:bookmarkStart w:id="946" w:name="_Toc137401335"/>
      <w:bookmarkStart w:id="947" w:name="_Toc107234624"/>
      <w:bookmarkStart w:id="948" w:name="_Toc106737267"/>
      <w:bookmarkStart w:id="949" w:name="_Toc40209437"/>
      <w:bookmarkStart w:id="950" w:name="_Toc76651937"/>
      <w:bookmarkStart w:id="951" w:name="_Toc91440537"/>
      <w:bookmarkStart w:id="952" w:name="_Toc107476886"/>
      <w:bookmarkStart w:id="953" w:name="_Toc123057984"/>
      <w:bookmarkStart w:id="954" w:name="_Toc83742047"/>
      <w:bookmarkStart w:id="955" w:name="_Toc29808271"/>
      <w:bookmarkStart w:id="956" w:name="_Toc76572070"/>
      <w:bookmarkStart w:id="957" w:name="_Toc76298058"/>
      <w:bookmarkStart w:id="958" w:name="_Toc45892738"/>
      <w:bookmarkStart w:id="959" w:name="_Toc107419593"/>
      <w:r>
        <w:t>8.2.1.2</w:t>
      </w:r>
      <w:r>
        <w:rPr>
          <w:rFonts w:hint="eastAsia"/>
        </w:rPr>
        <w:tab/>
      </w:r>
      <w:r>
        <w:t xml:space="preserve">Applicability </w:t>
      </w:r>
      <w:bookmarkStart w:id="960" w:name="_Hlk132983007"/>
      <w:r>
        <w:t xml:space="preserve">of requirements for optional UE </w:t>
      </w:r>
      <w:r>
        <w:rPr>
          <w:rFonts w:hint="eastAsia"/>
        </w:rPr>
        <w:t>features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bookmarkStart w:id="961" w:name="_Hlk19883175"/>
      <w:r>
        <w:t xml:space="preserve">The performance requirements in Table 8.2.1.2-1 shall apply for UEs which support optional UE </w:t>
      </w:r>
      <w:r>
        <w:rPr>
          <w:rFonts w:hint="eastAsia"/>
        </w:rPr>
        <w:t>features</w:t>
      </w:r>
      <w:r>
        <w:t xml:space="preserve"> only. If same test is listed for different UE features/capabilities in Clauses 8.2.1.2, then this test shall apply for UEs which support all corresponding UE features/capabilities.</w:t>
      </w:r>
    </w:p>
    <w:p>
      <w:pPr>
        <w:pStyle w:val="113"/>
      </w:pPr>
      <w:r>
        <w:t>Table 8.2.1.2-1: Requirements applicability for optional UE features</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65"/>
        <w:gridCol w:w="1768"/>
        <w:gridCol w:w="50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0" w:type="auto"/>
            <w:vAlign w:val="center"/>
          </w:tcPr>
          <w:p>
            <w:pPr>
              <w:pStyle w:val="104"/>
            </w:pPr>
            <w:bookmarkStart w:id="962" w:name="_Hlk136268787"/>
            <w:r>
              <w:t>UE feature/capability</w:t>
            </w:r>
          </w:p>
        </w:tc>
        <w:tc>
          <w:tcPr>
            <w:tcW w:w="0" w:type="auto"/>
            <w:vAlign w:val="center"/>
          </w:tcPr>
          <w:p>
            <w:pPr>
              <w:pStyle w:val="104"/>
            </w:pPr>
            <w:r>
              <w:t>Test list</w:t>
            </w:r>
          </w:p>
        </w:tc>
        <w:tc>
          <w:tcPr>
            <w:tcW w:w="0" w:type="auto"/>
            <w:vAlign w:val="center"/>
          </w:tcPr>
          <w:p>
            <w:pPr>
              <w:pStyle w:val="104"/>
            </w:pPr>
            <w:r>
              <w:t>Applicability 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0" w:type="auto"/>
            <w:vMerge w:val="restart"/>
            <w:vAlign w:val="center"/>
          </w:tcPr>
          <w:p>
            <w:pPr>
              <w:pStyle w:val="103"/>
              <w:rPr>
                <w:lang w:val="en-US"/>
              </w:rPr>
            </w:pPr>
            <w:r>
              <w:rPr>
                <w:lang w:val="en-US"/>
              </w:rPr>
              <w:t>NTN access (ntn-Connectivity-EPC-r17)</w:t>
            </w:r>
          </w:p>
        </w:tc>
        <w:tc>
          <w:tcPr>
            <w:tcW w:w="0" w:type="auto"/>
            <w:vAlign w:val="center"/>
          </w:tcPr>
          <w:p>
            <w:pPr>
              <w:pStyle w:val="103"/>
              <w:rPr>
                <w:lang w:val="en-US"/>
              </w:rPr>
            </w:pPr>
            <w:r>
              <w:rPr>
                <w:lang w:val="en-US"/>
              </w:rPr>
              <w:t>Clause 8.2.1.1 (Test 1</w:t>
            </w:r>
            <w:r>
              <w:rPr>
                <w:rFonts w:hint="eastAsia"/>
                <w:lang w:val="en-US"/>
              </w:rPr>
              <w:t>,</w:t>
            </w:r>
            <w:r>
              <w:rPr>
                <w:lang w:val="en-US"/>
              </w:rPr>
              <w:t xml:space="preserve"> Test 2, Test 3)</w:t>
            </w:r>
          </w:p>
        </w:tc>
        <w:tc>
          <w:tcPr>
            <w:tcW w:w="0" w:type="auto"/>
            <w:vAlign w:val="center"/>
          </w:tcPr>
          <w:p>
            <w:pPr>
              <w:pStyle w:val="103"/>
              <w:rPr>
                <w:lang w:val="en-US"/>
              </w:rPr>
            </w:pPr>
            <w:r>
              <w:rPr>
                <w:lang w:val="en-US"/>
              </w:rPr>
              <w:t>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0" w:type="auto"/>
            <w:vMerge w:val="continue"/>
            <w:vAlign w:val="center"/>
          </w:tcPr>
          <w:p>
            <w:pPr>
              <w:pStyle w:val="103"/>
              <w:rPr>
                <w:lang w:val="en-US"/>
              </w:rPr>
            </w:pPr>
          </w:p>
        </w:tc>
        <w:tc>
          <w:tcPr>
            <w:tcW w:w="0" w:type="auto"/>
            <w:vAlign w:val="center"/>
          </w:tcPr>
          <w:p>
            <w:pPr>
              <w:pStyle w:val="103"/>
              <w:rPr>
                <w:lang w:val="en-US"/>
              </w:rPr>
            </w:pPr>
            <w:r>
              <w:rPr>
                <w:lang w:val="en-US"/>
              </w:rPr>
              <w:t>Clause 8.3.1.1 (Test 1, Test 2)</w:t>
            </w:r>
          </w:p>
        </w:tc>
        <w:tc>
          <w:tcPr>
            <w:tcW w:w="0" w:type="auto"/>
            <w:vAlign w:val="center"/>
          </w:tcPr>
          <w:p>
            <w:pPr>
              <w:pStyle w:val="103"/>
              <w:rPr>
                <w:lang w:val="en-US"/>
              </w:rPr>
            </w:pPr>
            <w:r>
              <w:rPr>
                <w:lang w:val="en-US"/>
              </w:rPr>
              <w:t>The requirements apply only for UE Category 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0" w:type="auto"/>
            <w:vMerge w:val="restart"/>
            <w:vAlign w:val="center"/>
          </w:tcPr>
          <w:p>
            <w:pPr>
              <w:pStyle w:val="103"/>
              <w:rPr>
                <w:lang w:val="en-US"/>
              </w:rPr>
            </w:pPr>
            <w:r>
              <w:rPr>
                <w:lang w:val="en-US"/>
              </w:rPr>
              <w:t>NTN scenario support (ntn-ScenarioSupport-r17)</w:t>
            </w:r>
          </w:p>
        </w:tc>
        <w:tc>
          <w:tcPr>
            <w:tcW w:w="0" w:type="auto"/>
            <w:vAlign w:val="center"/>
          </w:tcPr>
          <w:p>
            <w:pPr>
              <w:pStyle w:val="103"/>
              <w:rPr>
                <w:lang w:val="en-US"/>
              </w:rPr>
            </w:pPr>
            <w:r>
              <w:rPr>
                <w:lang w:val="en-US"/>
              </w:rPr>
              <w:t>Clause 8.2.1.1 (Test 1</w:t>
            </w:r>
            <w:r>
              <w:rPr>
                <w:rFonts w:hint="eastAsia"/>
                <w:lang w:val="en-US"/>
              </w:rPr>
              <w:t>,</w:t>
            </w:r>
            <w:r>
              <w:rPr>
                <w:lang w:val="en-US"/>
              </w:rPr>
              <w:t xml:space="preserve"> Test 2, Test 3)</w:t>
            </w:r>
          </w:p>
        </w:tc>
        <w:tc>
          <w:tcPr>
            <w:tcW w:w="0" w:type="auto"/>
            <w:vAlign w:val="center"/>
          </w:tcPr>
          <w:p>
            <w:pPr>
              <w:pStyle w:val="103"/>
              <w:rPr>
                <w:lang w:val="en-US"/>
              </w:rPr>
            </w:pPr>
            <w:r>
              <w:rPr>
                <w:lang w:val="en-US"/>
              </w:rPr>
              <w:t>The requirements apply only for UE Category M1, and only when ntn-ScenarioSupport-r17 is “ngso” or is not included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0" w:type="auto"/>
            <w:vMerge w:val="continue"/>
            <w:vAlign w:val="center"/>
          </w:tcPr>
          <w:p>
            <w:pPr>
              <w:pStyle w:val="103"/>
              <w:rPr>
                <w:lang w:val="en-US"/>
              </w:rPr>
            </w:pPr>
          </w:p>
        </w:tc>
        <w:tc>
          <w:tcPr>
            <w:tcW w:w="0" w:type="auto"/>
            <w:vAlign w:val="center"/>
          </w:tcPr>
          <w:p>
            <w:pPr>
              <w:pStyle w:val="103"/>
              <w:rPr>
                <w:lang w:val="en-US"/>
              </w:rPr>
            </w:pPr>
            <w:r>
              <w:rPr>
                <w:lang w:val="en-US"/>
              </w:rPr>
              <w:t>Clause 8.3.1.1 (Test 1, Test 2)</w:t>
            </w:r>
          </w:p>
        </w:tc>
        <w:tc>
          <w:tcPr>
            <w:tcW w:w="0" w:type="auto"/>
            <w:vAlign w:val="center"/>
          </w:tcPr>
          <w:p>
            <w:pPr>
              <w:pStyle w:val="103"/>
              <w:rPr>
                <w:lang w:val="en-US"/>
              </w:rPr>
            </w:pPr>
            <w:r>
              <w:rPr>
                <w:lang w:val="en-US"/>
              </w:rPr>
              <w:t>The requirements apply only for UE Category NB1, NB2, and only when ntn-ScenarioSupport-r17 is “ngso” or is not included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0" w:type="auto"/>
            <w:vAlign w:val="center"/>
          </w:tcPr>
          <w:p>
            <w:pPr>
              <w:pStyle w:val="103"/>
              <w:rPr>
                <w:lang w:val="en-US"/>
              </w:rPr>
            </w:pPr>
            <w:r>
              <w:rPr>
                <w:lang w:val="en-US"/>
              </w:rPr>
              <w:t>Operation in coverage enhancement mode A (ce-ModeA-r13)</w:t>
            </w:r>
          </w:p>
        </w:tc>
        <w:tc>
          <w:tcPr>
            <w:tcW w:w="0" w:type="auto"/>
            <w:vAlign w:val="center"/>
          </w:tcPr>
          <w:p>
            <w:pPr>
              <w:pStyle w:val="103"/>
              <w:rPr>
                <w:lang w:val="en-US"/>
              </w:rPr>
            </w:pPr>
            <w:r>
              <w:rPr>
                <w:lang w:val="en-US"/>
              </w:rPr>
              <w:t>Clause 8.2.1.1 (Test 1, Test 2)</w:t>
            </w:r>
          </w:p>
        </w:tc>
        <w:tc>
          <w:tcPr>
            <w:tcW w:w="0" w:type="auto"/>
            <w:vAlign w:val="center"/>
          </w:tcPr>
          <w:p>
            <w:pPr>
              <w:pStyle w:val="103"/>
              <w:rPr>
                <w:lang w:val="en-US"/>
              </w:rPr>
            </w:pPr>
            <w:r>
              <w:rPr>
                <w:rFonts w:hint="eastAsia"/>
                <w:lang w:val="en-US"/>
              </w:rPr>
              <w:t>T</w:t>
            </w:r>
            <w:r>
              <w:rPr>
                <w:lang w:val="en-US"/>
              </w:rPr>
              <w: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0" w:type="auto"/>
            <w:vAlign w:val="center"/>
          </w:tcPr>
          <w:p>
            <w:pPr>
              <w:pStyle w:val="103"/>
              <w:rPr>
                <w:lang w:val="en-US"/>
              </w:rPr>
            </w:pPr>
            <w:r>
              <w:rPr>
                <w:lang w:val="en-US"/>
              </w:rPr>
              <w:t>Operation in coverage enhancement mode B (ce-ModeB-r13)</w:t>
            </w:r>
          </w:p>
        </w:tc>
        <w:tc>
          <w:tcPr>
            <w:tcW w:w="0" w:type="auto"/>
            <w:vAlign w:val="center"/>
          </w:tcPr>
          <w:p>
            <w:pPr>
              <w:pStyle w:val="103"/>
              <w:rPr>
                <w:lang w:val="en-US"/>
              </w:rPr>
            </w:pPr>
            <w:r>
              <w:rPr>
                <w:lang w:val="en-US"/>
              </w:rPr>
              <w:t>Clause 8.2.1.1 (Test 3)</w:t>
            </w:r>
          </w:p>
        </w:tc>
        <w:tc>
          <w:tcPr>
            <w:tcW w:w="0" w:type="auto"/>
            <w:vAlign w:val="center"/>
          </w:tcPr>
          <w:p>
            <w:pPr>
              <w:pStyle w:val="103"/>
              <w:rPr>
                <w:lang w:val="en-US"/>
              </w:rPr>
            </w:pPr>
            <w:r>
              <w:rPr>
                <w:lang w:val="en-US"/>
              </w:rPr>
              <w:t>The requirements apply only for UE Category 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0" w:type="auto"/>
            <w:gridSpan w:val="3"/>
            <w:vAlign w:val="center"/>
          </w:tcPr>
          <w:p>
            <w:pPr>
              <w:pStyle w:val="118"/>
            </w:pPr>
            <w:r>
              <w:rPr>
                <w:rFonts w:hint="eastAsia"/>
                <w:lang w:val="en-US" w:eastAsia="zh-TW"/>
              </w:rPr>
              <w:t>N</w:t>
            </w:r>
            <w:r>
              <w:rPr>
                <w:lang w:val="en-US" w:eastAsia="zh-TW"/>
              </w:rPr>
              <w:t>ote:</w:t>
            </w:r>
            <w:r>
              <w:rPr>
                <w:rFonts w:eastAsia="MS Mincho"/>
                <w:sz w:val="28"/>
              </w:rPr>
              <w:tab/>
            </w:r>
            <w:r>
              <w:rPr>
                <w:lang w:val="en-US" w:eastAsia="zh-TW"/>
              </w:rPr>
              <w:t xml:space="preserve">For UE supports </w:t>
            </w:r>
            <w:r>
              <w:rPr>
                <w:lang w:val="en-US"/>
              </w:rPr>
              <w:t>NTN access (</w:t>
            </w:r>
            <w:r>
              <w:rPr>
                <w:i/>
                <w:lang w:val="en-US"/>
              </w:rPr>
              <w:t>ntn-Connectivity-EPC-r17</w:t>
            </w:r>
            <w:r>
              <w:rPr>
                <w:lang w:val="en-US"/>
              </w:rPr>
              <w:t>), the requirements</w:t>
            </w:r>
            <w:r>
              <w:rPr>
                <w:lang w:val="en-US" w:eastAsia="zh-TW"/>
              </w:rPr>
              <w:t xml:space="preserve"> in TS36.101[7] Clause 8 and Clause 9 also applies to UE according to the UE category and capability</w:t>
            </w:r>
          </w:p>
        </w:tc>
      </w:tr>
      <w:bookmarkEnd w:id="962"/>
    </w:tbl>
    <w:p/>
    <w:bookmarkEnd w:id="961"/>
    <w:p>
      <w:pPr>
        <w:pStyle w:val="5"/>
      </w:pPr>
      <w:bookmarkStart w:id="963" w:name="_Toc137401336"/>
      <w:bookmarkStart w:id="964" w:name="_Toc5540"/>
      <w:r>
        <w:rPr>
          <w:rFonts w:eastAsia="MS Mincho"/>
        </w:rPr>
        <w:t>8.1.</w:t>
      </w:r>
      <w:r>
        <w:t>3</w:t>
      </w:r>
      <w:r>
        <w:rPr>
          <w:rFonts w:eastAsia="MS Mincho"/>
        </w:rPr>
        <w:tab/>
      </w:r>
      <w:r>
        <w:rPr>
          <w:snapToGrid w:val="0"/>
        </w:rPr>
        <w:t>UE category and UE DL category</w:t>
      </w:r>
      <w:bookmarkEnd w:id="963"/>
      <w:bookmarkEnd w:id="964"/>
    </w:p>
    <w:p>
      <w:pPr>
        <w:ind w:left="0"/>
        <w:rPr>
          <w:rFonts w:ascii="Times New Roman" w:hAnsi="Times New Roman" w:eastAsia="宋体"/>
          <w:b/>
          <w:color w:val="auto"/>
          <w:sz w:val="20"/>
          <w:lang w:val="en-US"/>
        </w:rPr>
      </w:pPr>
      <w:r>
        <w:rPr>
          <w:rFonts w:eastAsia="宋体"/>
          <w:b w:val="0"/>
          <w:lang w:val="en-US"/>
        </w:rPr>
        <w:t>UE category and UE DL category refer to ue-Category, ue-CategoryDL, and ue-Category-NB define in 4.1, 4.1A and 4.1C from TS 36.306. A UE that belongs to either a UE category or a UE DL category indicated in UE performance requirements in subclause 8 shall fulfil the corresponding requirements.</w:t>
      </w:r>
    </w:p>
    <w:p>
      <w:pPr>
        <w:pStyle w:val="4"/>
        <w:rPr>
          <w:rFonts w:eastAsia="PMingLiU"/>
          <w:lang w:val="en-US"/>
        </w:rPr>
      </w:pPr>
      <w:bookmarkStart w:id="965" w:name="_Toc20291"/>
      <w:r>
        <w:rPr>
          <w:rFonts w:eastAsia="PMingLiU"/>
          <w:lang w:val="en-US"/>
        </w:rPr>
        <w:t>8.2</w:t>
      </w:r>
      <w:r>
        <w:rPr>
          <w:rFonts w:eastAsia="PMingLiU"/>
          <w:lang w:val="en-US"/>
        </w:rPr>
        <w:tab/>
      </w:r>
      <w:r>
        <w:rPr>
          <w:rFonts w:eastAsia="PMingLiU"/>
          <w:lang w:val="en-US"/>
        </w:rPr>
        <w:t>Demodulation for IOT NTN UE category M1</w:t>
      </w:r>
      <w:bookmarkEnd w:id="965"/>
    </w:p>
    <w:p>
      <w:pPr>
        <w:pStyle w:val="5"/>
        <w:rPr>
          <w:rFonts w:cs="Arial"/>
          <w:szCs w:val="28"/>
        </w:rPr>
      </w:pPr>
      <w:bookmarkStart w:id="966" w:name="_Toc15803"/>
      <w:r>
        <w:rPr>
          <w:rFonts w:cs="Arial"/>
          <w:szCs w:val="28"/>
        </w:rPr>
        <w:t>8.2.1</w:t>
      </w:r>
      <w:r>
        <w:rPr>
          <w:rFonts w:cs="Arial"/>
          <w:szCs w:val="28"/>
        </w:rPr>
        <w:tab/>
      </w:r>
      <w:r>
        <w:rPr>
          <w:rFonts w:cs="Arial"/>
          <w:szCs w:val="28"/>
        </w:rPr>
        <w:t>FDD and half-duplex FDD</w:t>
      </w:r>
      <w:bookmarkEnd w:id="966"/>
    </w:p>
    <w:p>
      <w:pPr>
        <w:pStyle w:val="6"/>
      </w:pPr>
      <w:bookmarkStart w:id="967" w:name="_Toc22085"/>
      <w:r>
        <w:t>8.2.1.1</w:t>
      </w:r>
      <w:r>
        <w:tab/>
      </w:r>
      <w:r>
        <w:t>PDSCH</w:t>
      </w:r>
      <w:bookmarkEnd w:id="967"/>
    </w:p>
    <w:p>
      <w:pPr>
        <w:rPr>
          <w:lang w:val="en-US"/>
        </w:rPr>
      </w:pPr>
      <w:r>
        <w:rPr>
          <w:lang w:val="en-US"/>
        </w:rPr>
        <w:t>The parameters specified in Table 8.2.1.1-1 and 8.2.1.1-2 are valid for FDD and half-duplex FDD tests unless otherwise stated.</w:t>
      </w:r>
    </w:p>
    <w:p>
      <w:pPr>
        <w:pStyle w:val="113"/>
      </w:pPr>
      <w:r>
        <w:t>Table 8.2.1.1-1: Common Test Parameters for 8.2.1.1.2 to 8.2.1.1.5(FDD and half-duplex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 xml:space="preserve">CE Mode A </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rPr>
            </w:pPr>
            <w:r>
              <w:rPr>
                <w:rFonts w:eastAsia="?? ??" w:cs="Arial"/>
                <w:kern w:val="2"/>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Number of HARQ processes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8 or 10</w:t>
            </w:r>
          </w:p>
          <w:p>
            <w:pPr>
              <w:pStyle w:val="105"/>
              <w:rPr>
                <w:rFonts w:eastAsia="?? ??" w:cs="Arial"/>
                <w:kern w:val="2"/>
              </w:rPr>
            </w:pPr>
            <w:r>
              <w:rPr>
                <w:rFonts w:eastAsia="?? ??" w:cs="Arial"/>
                <w:kern w:val="2"/>
              </w:rPr>
              <w:t>(Note 2)</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position w:val="-10"/>
              </w:rPr>
            </w:pPr>
            <w:r>
              <w:rPr>
                <w:rFonts w:cs="Arial"/>
                <w:kern w:val="2"/>
              </w:rPr>
              <w:t>Maximum number of HARQ transmission</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Redundancy version coding sequence</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rFonts w:eastAsia="?? ??" w:cs="Arial"/>
                <w:kern w:val="2"/>
              </w:rPr>
            </w:pPr>
            <w:r>
              <w:rPr>
                <w:rFonts w:eastAsia="?? ??" w:cs="Arial"/>
                <w:kern w:val="2"/>
              </w:rPr>
              <w:t>{0, 2, 3</w:t>
            </w:r>
            <w:r>
              <w:rPr>
                <w:rFonts w:eastAsia="Malgun Gothic" w:cs="Arial"/>
                <w:kern w:val="2"/>
                <w:lang w:eastAsia="ko-KR"/>
              </w:rPr>
              <w:t>,1</w:t>
            </w:r>
            <w:r>
              <w:rPr>
                <w:rFonts w:eastAsia="?? ??" w:cs="Arial"/>
                <w:kern w:val="2"/>
              </w:rPr>
              <w:t>} for QPSK and 16QAM</w:t>
            </w:r>
          </w:p>
          <w:p>
            <w:pPr>
              <w:pStyle w:val="105"/>
              <w:jc w:val="left"/>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bottom"/>
          </w:tcPr>
          <w:p>
            <w:pPr>
              <w:pStyle w:val="105"/>
              <w:rPr>
                <w:rFonts w:eastAsia="?? ??" w:cs="Arial"/>
                <w:kern w:val="2"/>
              </w:rPr>
            </w:pPr>
            <w:r>
              <w:rPr>
                <w:rFonts w:eastAsia="?? ??" w:cs="Arial"/>
                <w:kern w:val="2"/>
              </w:rPr>
              <w:t>{</w:t>
            </w:r>
            <w:r>
              <w:rPr>
                <w:kern w:val="2"/>
              </w:rPr>
              <w:t>0,0,0,0,2,2,2,2,3,3,3,3,1,1,1,1</w:t>
            </w:r>
            <w:r>
              <w:rPr>
                <w:rFonts w:eastAsia="?? ??" w:cs="Arial"/>
                <w:kern w:val="2"/>
              </w:rPr>
              <w:t>…} for QPSK</w:t>
            </w:r>
          </w:p>
          <w:p>
            <w:pPr>
              <w:pStyle w:val="105"/>
              <w:rPr>
                <w:rFonts w:eastAsia="?? ??"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Number of OFDM symbols for PDCCH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OFDM symbols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 for 1.4 MHz bandwidth, 3 for 3 MHz and 5 MHz bandwidths, 2 for 10 MHz, 15 MHz and 20 MHz bandwidths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4 for 1.4 MHz bandwidth, 3 for 3 MHz and 5 MHz bandwidths, 2 for 10 MHz, 15 MHz and 20 MHz bandwidths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Cyclic Prefix</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Normal</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r>
              <w:rPr>
                <w:rFonts w:eastAsia="?? ??" w:cs="Arial"/>
                <w:kern w:val="2"/>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 xml:space="preserve">Beamforming Precoder for MPDCCH </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Annex B.4.4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Annex B.4.4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Precoder update granularity for MPDCCH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Frequency domain: 1 PRB</w:t>
            </w:r>
          </w:p>
          <w:p>
            <w:pPr>
              <w:pStyle w:val="105"/>
              <w:rPr>
                <w:rFonts w:cs="Arial"/>
                <w:kern w:val="2"/>
              </w:rPr>
            </w:pPr>
            <w:r>
              <w:rPr>
                <w:rFonts w:cs="Arial"/>
                <w:kern w:val="2"/>
              </w:rPr>
              <w:t>Time domain: identical during the hopping period (interval-FDD for CE Mode A)</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Frequency domain: 1 PRB</w:t>
            </w:r>
          </w:p>
          <w:p>
            <w:pPr>
              <w:pStyle w:val="105"/>
              <w:rPr>
                <w:rFonts w:cs="Arial"/>
                <w:kern w:val="2"/>
              </w:rPr>
            </w:pPr>
            <w:r>
              <w:rPr>
                <w:rFonts w:cs="Arial"/>
                <w:kern w:val="2"/>
              </w:rPr>
              <w:t>Time domain: identical during the hopping period (interval-FDD for 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BL/CE DL subframe comfiguration (fdd-DownlinkOrTddSubframeBitmapBR)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1111111111</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1111111111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kern w:val="2"/>
              </w:rPr>
            </w:pPr>
            <w:r>
              <w:rPr>
                <w:kern w:val="2"/>
              </w:rPr>
              <w:t>Note 1:</w:t>
            </w:r>
            <w:r>
              <w:rPr>
                <w:snapToGrid w:val="0"/>
              </w:rPr>
              <w:tab/>
            </w:r>
            <w:r>
              <w:rPr>
                <w:kern w:val="2"/>
              </w:rPr>
              <w:t>rvidx is defined in TS 36.213[6] Table 7.1.7.1-2.</w:t>
            </w:r>
          </w:p>
          <w:p>
            <w:pPr>
              <w:pStyle w:val="118"/>
              <w:rPr>
                <w:rFonts w:cs="Arial"/>
                <w:kern w:val="2"/>
              </w:rPr>
            </w:pPr>
            <w:r>
              <w:rPr>
                <w:rFonts w:cs="Arial"/>
                <w:kern w:val="2"/>
              </w:rPr>
              <w:t>Note 2:</w:t>
            </w:r>
            <w:r>
              <w:rPr>
                <w:rFonts w:cs="Arial"/>
                <w:kern w:val="2"/>
              </w:rPr>
              <w:tab/>
            </w:r>
            <w:r>
              <w:rPr>
                <w:rFonts w:cs="Arial"/>
                <w:kern w:val="2"/>
              </w:rPr>
              <w:t>For UE supporting ce-pdsch-tenProcesses-r13, the number of HARQ processese are set to 10, otherwise, it is set to 8.</w:t>
            </w:r>
          </w:p>
        </w:tc>
      </w:tr>
    </w:tbl>
    <w:p>
      <w:pPr>
        <w:rPr>
          <w:lang w:eastAsia="en-GB"/>
        </w:rPr>
      </w:pPr>
      <w:r>
        <w:rPr>
          <w:lang w:eastAsia="en-GB"/>
        </w:rPr>
        <w:t xml:space="preserve"> </w:t>
      </w:r>
    </w:p>
    <w:p>
      <w:pPr>
        <w:pStyle w:val="113"/>
        <w:rPr>
          <w:lang w:val="en-US"/>
        </w:rPr>
      </w:pPr>
      <w:r>
        <w:rPr>
          <w:lang w:val="en-US"/>
        </w:rPr>
        <w:t>Table 8.2.1.1-2: Common Test Parameters for 8.2.1.1.1(FDD and half-duplex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 xml:space="preserve">CE Mode A </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cs="Arial"/>
                <w:kern w:val="2"/>
                <w:lang w:val="en-US" w:eastAsia="ja-JP"/>
              </w:rPr>
            </w:pPr>
            <w:r>
              <w:rPr>
                <w:rFonts w:eastAsia="?? ??" w:cs="Arial"/>
                <w:kern w:val="2"/>
                <w:lang w:val="en-US" w:eastAsia="ja-JP"/>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Inter-TTI Distance</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1</w:t>
            </w:r>
          </w:p>
        </w:tc>
        <w:tc>
          <w:tcPr>
            <w:tcW w:w="2701" w:type="dxa"/>
            <w:tcBorders>
              <w:top w:val="single" w:color="auto" w:sz="4" w:space="0"/>
              <w:left w:val="single" w:color="auto" w:sz="4" w:space="0"/>
              <w:bottom w:val="single" w:color="auto" w:sz="4" w:space="0"/>
              <w:right w:val="single" w:color="auto" w:sz="4" w:space="0"/>
            </w:tcBorders>
          </w:tcPr>
          <w:p>
            <w:pPr>
              <w:pStyle w:val="105"/>
              <w:rPr>
                <w:rFonts w:eastAsia="?? ??" w:cs="Arial"/>
                <w:kern w:val="2"/>
                <w:lang w:val="en-US" w:eastAsia="ja-JP"/>
              </w:rPr>
            </w:pPr>
            <w:r>
              <w:rPr>
                <w:rFonts w:eastAsia="?? ??" w:cs="Arial"/>
                <w:kern w:val="2"/>
                <w:lang w:val="en-US" w:eastAsia="ja-JP"/>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Number of HARQ processes per component carrier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8</w:t>
            </w:r>
          </w:p>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position w:val="-10"/>
                <w:lang w:val="en-US" w:eastAsia="ja-JP"/>
              </w:rPr>
            </w:pPr>
            <w:r>
              <w:rPr>
                <w:kern w:val="2"/>
                <w:lang w:val="en-US" w:eastAsia="ja-JP"/>
              </w:rPr>
              <w:t>Maximum number of HARQ transmission</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4</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Redundancy version coding sequence</w:t>
            </w:r>
            <w:r>
              <w:rPr>
                <w:rFonts w:cs="Arial"/>
                <w:kern w:val="2"/>
                <w:lang w:val="en-US"/>
              </w:rPr>
              <w:t xml:space="preserve"> </w:t>
            </w:r>
            <w:r>
              <w:rPr>
                <w:i/>
                <w:lang w:val="en-US" w:eastAsia="ja-JP"/>
              </w:rPr>
              <w:t>rv</w:t>
            </w:r>
            <w:r>
              <w:rPr>
                <w:i/>
                <w:vertAlign w:val="subscript"/>
                <w:lang w:val="en-US" w:eastAsia="ja-JP"/>
              </w:rPr>
              <w:t xml:space="preserve">idx </w:t>
            </w:r>
            <w:r>
              <w:rPr>
                <w:rFonts w:cs="Arial"/>
                <w:kern w:val="2"/>
                <w:lang w:val="en-US"/>
              </w:rPr>
              <w:t>(Note 1)</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w:t>
            </w:r>
            <w:r>
              <w:rPr>
                <w:kern w:val="2"/>
                <w:lang w:val="en-US"/>
              </w:rPr>
              <w:t>0, 2, 3, 1</w:t>
            </w:r>
            <w:r>
              <w:rPr>
                <w:rFonts w:eastAsia="?? ??" w:cs="Arial"/>
                <w:kern w:val="2"/>
                <w:lang w:val="en-US" w:eastAsia="ja-JP"/>
              </w:rPr>
              <w:t>} for QPSK and 16QAM</w:t>
            </w:r>
          </w:p>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w:t>
            </w:r>
            <w:r>
              <w:rPr>
                <w:kern w:val="2"/>
                <w:lang w:val="en-US"/>
              </w:rPr>
              <w:t>0,0,0,0,2,2,2,2,3,3,3,3,1,1,1,1</w:t>
            </w:r>
            <w:r>
              <w:rPr>
                <w:rFonts w:eastAsia="?? ??" w:cs="Arial"/>
                <w:kern w:val="2"/>
                <w:lang w:val="en-US" w:eastAsia="ja-JP"/>
              </w:rPr>
              <w:t>…} for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eastAsia="ja-JP"/>
              </w:rPr>
            </w:pPr>
            <w:r>
              <w:rPr>
                <w:kern w:val="2"/>
                <w:lang w:val="en-US" w:eastAsia="ja-JP"/>
              </w:rPr>
              <w:t>Cyclic Prefix</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Normal</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 xml:space="preserve">Beamforming Precoder for MPDCCH </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N/A</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BL/CE DL subframe comfiguration (fdd-DownlinkOrTddSubframeBitmapBR)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1111111111</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1111111111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sv-SE"/>
              </w:rPr>
            </w:pPr>
            <w:r>
              <w:rPr>
                <w:kern w:val="2"/>
                <w:lang w:val="sv-SE"/>
              </w:rPr>
              <w:t>HARQ bundling(</w:t>
            </w:r>
            <w:r>
              <w:rPr>
                <w:lang w:val="sv-SE"/>
              </w:rPr>
              <w:t>ce-HARQ-AckBundling</w:t>
            </w:r>
            <w:r>
              <w:rPr>
                <w:kern w:val="2"/>
                <w:lang w:val="sv-SE"/>
              </w:rP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sv-SE"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Disabled</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3"/>
              <w:rPr>
                <w:kern w:val="2"/>
                <w:lang w:val="en-US"/>
              </w:rPr>
            </w:pPr>
            <w:r>
              <w:rPr>
                <w:kern w:val="2"/>
                <w:lang w:val="en-US"/>
              </w:rPr>
              <w:t>K</w:t>
            </w:r>
            <w:r>
              <w:rPr>
                <w:kern w:val="2"/>
                <w:vertAlign w:val="subscript"/>
                <w:lang w:val="en-US"/>
              </w:rPr>
              <w:t>offset</w:t>
            </w:r>
            <w:r>
              <w:rPr>
                <w:kern w:val="2"/>
                <w:lang w:val="en-US"/>
              </w:rPr>
              <w:t xml:space="preserve"> (k-Offset)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lang w:val="en-US" w:eastAsia="ja-JP"/>
              </w:rPr>
            </w:pPr>
            <w:r>
              <w:rPr>
                <w:rFonts w:eastAsia="?? ??" w:cs="Arial"/>
                <w:kern w:val="2"/>
                <w:lang w:val="en-US" w:eastAsia="ja-JP"/>
              </w:rPr>
              <w:t>ms</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8</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w:r>
              <w:rPr>
                <w:rFonts w:cs="Arial"/>
                <w:kern w:val="2"/>
                <w:lang w:val="en-US"/>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9260" w:type="dxa"/>
            <w:gridSpan w:val="4"/>
            <w:tcBorders>
              <w:top w:val="single" w:color="auto" w:sz="4" w:space="0"/>
              <w:left w:val="single" w:color="auto" w:sz="4" w:space="0"/>
              <w:bottom w:val="single" w:color="auto" w:sz="4" w:space="0"/>
              <w:right w:val="single" w:color="auto" w:sz="4" w:space="0"/>
            </w:tcBorders>
            <w:vAlign w:val="center"/>
          </w:tcPr>
          <w:p>
            <w:pPr>
              <w:pStyle w:val="118"/>
              <w:rPr>
                <w:lang w:val="en-US"/>
              </w:rPr>
            </w:pPr>
            <w:r>
              <w:rPr>
                <w:rFonts w:cs="Arial"/>
                <w:kern w:val="2"/>
                <w:lang w:val="en-US"/>
              </w:rPr>
              <w:t>Note 1:</w:t>
            </w:r>
            <w:r>
              <w:rPr>
                <w:snapToGrid w:val="0"/>
                <w:kern w:val="2"/>
                <w:lang w:val="en-US"/>
              </w:rPr>
              <w:tab/>
            </w:r>
            <w:r>
              <w:rPr>
                <w:i/>
                <w:lang w:val="en-US" w:eastAsia="ja-JP"/>
              </w:rPr>
              <w:t>rv</w:t>
            </w:r>
            <w:r>
              <w:rPr>
                <w:i/>
                <w:vertAlign w:val="subscript"/>
                <w:lang w:val="en-US" w:eastAsia="ja-JP"/>
              </w:rPr>
              <w:t>idx</w:t>
            </w:r>
            <w:r>
              <w:rPr>
                <w:lang w:val="en-US" w:eastAsia="ja-JP"/>
              </w:rPr>
              <w:t xml:space="preserve"> is defined in TS 36.213</w:t>
            </w:r>
            <w:r>
              <w:rPr>
                <w:kern w:val="2"/>
              </w:rPr>
              <w:t>[6]</w:t>
            </w:r>
            <w:r>
              <w:rPr>
                <w:lang w:val="en-US" w:eastAsia="ja-JP"/>
              </w:rPr>
              <w:t xml:space="preserve"> table 7.1.7.1-2</w:t>
            </w:r>
            <w:r>
              <w:rPr>
                <w:lang w:val="en-US"/>
              </w:rPr>
              <w:t>.</w:t>
            </w:r>
          </w:p>
        </w:tc>
      </w:tr>
    </w:tbl>
    <w:p>
      <w:pPr>
        <w:rPr>
          <w:rFonts w:ascii="Arial" w:hAnsi="Arial" w:cs="Arial"/>
          <w:sz w:val="24"/>
          <w:szCs w:val="24"/>
        </w:rPr>
      </w:pPr>
    </w:p>
    <w:p>
      <w:pPr>
        <w:pStyle w:val="7"/>
        <w:rPr>
          <w:rFonts w:cs="Arial"/>
          <w:szCs w:val="22"/>
        </w:rPr>
      </w:pPr>
      <w:bookmarkStart w:id="968" w:name="_Toc32513"/>
      <w:r>
        <w:rPr>
          <w:snapToGrid w:val="0"/>
          <w:lang w:val="en-US"/>
        </w:rPr>
        <w:t>8.2.1.1.1</w:t>
      </w:r>
      <w:r>
        <w:rPr>
          <w:snapToGrid w:val="0"/>
          <w:lang w:val="en-US"/>
        </w:rPr>
        <w:tab/>
      </w:r>
      <w:r>
        <w:rPr>
          <w:snapToGrid w:val="0"/>
          <w:lang w:val="en-US"/>
        </w:rPr>
        <w:t>PDSCH in standalone mode under NTN fading conditions</w:t>
      </w:r>
      <w:bookmarkEnd w:id="968"/>
    </w:p>
    <w:p>
      <w:pPr>
        <w:pStyle w:val="112"/>
      </w:pPr>
      <w:r>
        <w:t>Editor’s Note: This clause is incomplete. The following aspects are either missing or not yet determined:</w:t>
      </w:r>
    </w:p>
    <w:p>
      <w:pPr>
        <w:pStyle w:val="112"/>
      </w:pPr>
      <w:r>
        <w:t>- Addition to applicability spec is pending</w:t>
      </w:r>
    </w:p>
    <w:p>
      <w:pPr>
        <w:pStyle w:val="112"/>
        <w:rPr>
          <w:rFonts w:eastAsiaTheme="minorEastAsia"/>
        </w:rPr>
      </w:pPr>
      <w:r>
        <w:t>- Initial condition and call setup procedure to support satellite access are TBD</w:t>
      </w:r>
    </w:p>
    <w:p>
      <w:pPr>
        <w:pStyle w:val="112"/>
      </w:pPr>
      <w:r>
        <w:t>- MU/TT is TBD</w:t>
      </w:r>
    </w:p>
    <w:p>
      <w:pPr>
        <w:pStyle w:val="112"/>
      </w:pPr>
      <w:r>
        <w:rPr>
          <w:rFonts w:hint="eastAsia"/>
        </w:rPr>
        <w:t>-</w:t>
      </w:r>
      <w:r>
        <w:t xml:space="preserve"> [] still existed in 8.2.1.1.1.5</w:t>
      </w:r>
    </w:p>
    <w:p>
      <w:pPr>
        <w:pStyle w:val="112"/>
      </w:pPr>
      <w:r>
        <w:rPr>
          <w:rFonts w:hint="eastAsia"/>
        </w:rPr>
        <w:t>The</w:t>
      </w:r>
      <w:r>
        <w:t xml:space="preserve"> Bandwidth of test3 is a typo, corrected it in this CR and asked RAN4 to fix it in 36.102.</w:t>
      </w:r>
    </w:p>
    <w:p>
      <w:pPr>
        <w:pStyle w:val="9"/>
      </w:pPr>
      <w:r>
        <w:t>8.2.1.1.1.1</w:t>
      </w:r>
      <w:r>
        <w:tab/>
      </w:r>
      <w: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pPr>
      <w:r>
        <w:rPr>
          <w:snapToGrid w:val="0"/>
          <w:kern w:val="2"/>
        </w:rPr>
        <w:t>8.2.1.1.1.2</w:t>
      </w:r>
      <w:r>
        <w:tab/>
      </w:r>
      <w:r>
        <w:t>Test applicability</w:t>
      </w:r>
    </w:p>
    <w:p>
      <w:bookmarkStart w:id="969" w:name="_Hlk134213790"/>
      <w:r>
        <w:t xml:space="preserve">This test applies to all types of E-UTRA FDD UE release 17 and forward of UE category M1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bookmarkEnd w:id="969"/>
    <w:p>
      <w:pPr>
        <w:pStyle w:val="9"/>
        <w:rPr>
          <w:snapToGrid w:val="0"/>
          <w:kern w:val="2"/>
        </w:rPr>
      </w:pPr>
      <w:r>
        <w:rPr>
          <w:snapToGrid w:val="0"/>
          <w:kern w:val="2"/>
        </w:rPr>
        <w:t>8.2.1.1.1.3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pPr>
        <w:rPr>
          <w:lang w:val="en-US"/>
        </w:rPr>
      </w:pPr>
      <w:r>
        <w:rPr>
          <w:lang w:val="en-US"/>
        </w:rPr>
        <w:t>The requirements are specified in Table 8.2.1.1.1.3-2, with the addition of the parameters in Table 8.2.1.1.1.3-1, and the downlink physical channel setup according to Annex C.3.2. The purpose is to verify the performance of single antenna port configuration.</w:t>
      </w:r>
    </w:p>
    <w:p>
      <w:pPr>
        <w:keepNext/>
        <w:keepLines/>
        <w:spacing w:before="60"/>
        <w:jc w:val="center"/>
        <w:rPr>
          <w:rFonts w:ascii="Arial" w:hAnsi="Arial"/>
          <w:b/>
          <w:lang w:eastAsia="en-GB"/>
        </w:rPr>
      </w:pPr>
      <w:r>
        <w:rPr>
          <w:rFonts w:ascii="Arial" w:hAnsi="Arial"/>
          <w:b/>
          <w:lang w:eastAsia="en-GB"/>
        </w:rPr>
        <w:t>Table 8.2.1</w:t>
      </w:r>
      <w:r>
        <w:rPr>
          <w:rFonts w:hint="eastAsia" w:ascii="Arial" w:hAnsi="Arial"/>
          <w:b/>
        </w:rPr>
        <w:t>.1.</w:t>
      </w:r>
      <w:r>
        <w:rPr>
          <w:rFonts w:ascii="Arial" w:hAnsi="Arial"/>
          <w:b/>
        </w:rPr>
        <w:t>1.3</w:t>
      </w:r>
      <w:r>
        <w:rPr>
          <w:rFonts w:ascii="Arial" w:hAnsi="Arial"/>
          <w:b/>
          <w:lang w:eastAsia="en-GB"/>
        </w:rPr>
        <w:t>-1: Test Parameters for single antenna port (FRC)</w:t>
      </w:r>
    </w:p>
    <w:tbl>
      <w:tblPr>
        <w:tblStyle w:val="89"/>
        <w:tblW w:w="41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4"/>
        <w:gridCol w:w="937"/>
        <w:gridCol w:w="1174"/>
        <w:gridCol w:w="1169"/>
        <w:gridCol w:w="1169"/>
        <w:gridCol w:w="11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508" w:type="dxa"/>
            <w:gridSpan w:val="2"/>
            <w:tcBorders>
              <w:top w:val="single" w:color="auto" w:sz="4" w:space="0"/>
              <w:left w:val="single" w:color="auto" w:sz="4" w:space="0"/>
              <w:right w:val="single" w:color="auto" w:sz="4" w:space="0"/>
            </w:tcBorders>
          </w:tcPr>
          <w:p>
            <w:pPr>
              <w:pStyle w:val="104"/>
              <w:rPr>
                <w:rFonts w:eastAsia="?? ??"/>
                <w:lang w:val="en-US"/>
              </w:rPr>
            </w:pPr>
            <w:r>
              <w:rPr>
                <w:rFonts w:eastAsia="?? ??"/>
                <w:lang w:val="en-US"/>
              </w:rPr>
              <w:t>Parameter</w:t>
            </w:r>
          </w:p>
        </w:tc>
        <w:tc>
          <w:tcPr>
            <w:tcW w:w="1147"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Unit</w:t>
            </w:r>
          </w:p>
        </w:tc>
        <w:tc>
          <w:tcPr>
            <w:tcW w:w="1142"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Test 1</w:t>
            </w:r>
          </w:p>
        </w:tc>
        <w:tc>
          <w:tcPr>
            <w:tcW w:w="1142"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 xml:space="preserve">Test </w:t>
            </w:r>
            <w:r>
              <w:rPr>
                <w:lang w:val="en-US"/>
              </w:rPr>
              <w:t>2</w:t>
            </w:r>
          </w:p>
        </w:tc>
        <w:tc>
          <w:tcPr>
            <w:tcW w:w="1142" w:type="dxa"/>
            <w:tcBorders>
              <w:top w:val="single" w:color="auto" w:sz="4" w:space="0"/>
              <w:left w:val="single" w:color="auto" w:sz="4" w:space="0"/>
              <w:bottom w:val="single" w:color="auto" w:sz="4" w:space="0"/>
              <w:right w:val="single" w:color="auto" w:sz="4" w:space="0"/>
            </w:tcBorders>
          </w:tcPr>
          <w:p>
            <w:pPr>
              <w:pStyle w:val="104"/>
              <w:rPr>
                <w:rFonts w:eastAsia="?? ??"/>
                <w:lang w:val="en-US"/>
              </w:rPr>
            </w:pPr>
            <w:r>
              <w:rPr>
                <w:rFonts w:eastAsia="?? ??"/>
                <w:lang w:val="en-US"/>
              </w:rPr>
              <w:t>Test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restart"/>
            <w:tcBorders>
              <w:top w:val="single" w:color="auto" w:sz="4" w:space="0"/>
              <w:left w:val="single" w:color="auto" w:sz="4" w:space="0"/>
              <w:right w:val="single" w:color="auto" w:sz="4" w:space="0"/>
            </w:tcBorders>
            <w:vAlign w:val="center"/>
          </w:tcPr>
          <w:p>
            <w:pPr>
              <w:pStyle w:val="105"/>
              <w:rPr>
                <w:rFonts w:cs="Arial"/>
                <w:kern w:val="2"/>
                <w:lang w:val="en-US"/>
              </w:rPr>
            </w:pPr>
            <w:r>
              <w:rPr>
                <w:rFonts w:cs="Arial"/>
                <w:kern w:val="2"/>
                <w:lang w:val="en-US"/>
              </w:rPr>
              <w:t>Downlink power allocation</w:t>
            </w: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sSub>
                  <m:sSubPr>
                    <m:ctrlPr>
                      <w:rPr>
                        <w:rFonts w:ascii="Cambria Math" w:hAnsi="Cambria Math" w:eastAsia="?? ??" w:cs="Arial"/>
                        <w:i/>
                        <w:kern w:val="2"/>
                        <w:lang w:val="en-US"/>
                      </w:rPr>
                    </m:ctrlPr>
                  </m:sSubPr>
                  <m:e>
                    <m:r>
                      <m:rPr/>
                      <w:rPr>
                        <w:rFonts w:ascii="Cambria Math" w:hAnsi="Cambria Math" w:eastAsia="?? ??" w:cs="Arial"/>
                        <w:kern w:val="2"/>
                        <w:lang w:val="en-US"/>
                      </w:rPr>
                      <m:t>ρ</m:t>
                    </m:r>
                    <m:ctrlPr>
                      <w:rPr>
                        <w:rFonts w:ascii="Cambria Math" w:hAnsi="Cambria Math" w:eastAsia="?? ??" w:cs="Arial"/>
                        <w:i/>
                        <w:kern w:val="2"/>
                        <w:lang w:val="en-US"/>
                      </w:rPr>
                    </m:ctrlPr>
                  </m:e>
                  <m:sub>
                    <m:r>
                      <m:rPr/>
                      <w:rPr>
                        <w:rFonts w:ascii="Cambria Math" w:hAnsi="Cambria Math" w:eastAsia="?? ??" w:cs="Arial"/>
                        <w:kern w:val="2"/>
                        <w:lang w:val="en-US"/>
                      </w:rPr>
                      <m:t>A</m:t>
                    </m:r>
                    <m:ctrlPr>
                      <w:rPr>
                        <w:rFonts w:ascii="Cambria Math" w:hAnsi="Cambria Math" w:eastAsia="?? ??" w:cs="Arial"/>
                        <w:i/>
                        <w:kern w:val="2"/>
                        <w:lang w:val="en-US"/>
                      </w:rPr>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continue"/>
            <w:tcBorders>
              <w:left w:val="single" w:color="auto" w:sz="4" w:space="0"/>
              <w:right w:val="single" w:color="auto" w:sz="4" w:space="0"/>
            </w:tcBorders>
            <w:vAlign w:val="center"/>
          </w:tcPr>
          <w:p>
            <w:pPr>
              <w:pStyle w:val="105"/>
              <w:rPr>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sSub>
                  <m:sSubPr>
                    <m:ctrlPr>
                      <w:rPr>
                        <w:rFonts w:ascii="Cambria Math" w:hAnsi="Cambria Math" w:eastAsia="?? ??" w:cs="Arial"/>
                        <w:i/>
                        <w:kern w:val="2"/>
                        <w:lang w:val="en-US"/>
                      </w:rPr>
                    </m:ctrlPr>
                  </m:sSubPr>
                  <m:e>
                    <m:r>
                      <m:rPr/>
                      <w:rPr>
                        <w:rFonts w:ascii="Cambria Math" w:hAnsi="Cambria Math" w:eastAsia="?? ??" w:cs="Arial"/>
                        <w:kern w:val="2"/>
                        <w:lang w:val="en-US"/>
                      </w:rPr>
                      <m:t>ρ</m:t>
                    </m:r>
                    <m:ctrlPr>
                      <w:rPr>
                        <w:rFonts w:ascii="Cambria Math" w:hAnsi="Cambria Math" w:eastAsia="?? ??" w:cs="Arial"/>
                        <w:i/>
                        <w:kern w:val="2"/>
                        <w:lang w:val="en-US"/>
                      </w:rPr>
                    </m:ctrlPr>
                  </m:e>
                  <m:sub>
                    <m:r>
                      <m:rPr/>
                      <w:rPr>
                        <w:rFonts w:ascii="Cambria Math" w:hAnsi="Cambria Math" w:eastAsia="?? ??" w:cs="Arial"/>
                        <w:kern w:val="2"/>
                        <w:lang w:val="en-US"/>
                      </w:rPr>
                      <m:t>B</m:t>
                    </m:r>
                    <m:ctrlPr>
                      <w:rPr>
                        <w:rFonts w:ascii="Cambria Math" w:hAnsi="Cambria Math" w:eastAsia="?? ??" w:cs="Arial"/>
                        <w:i/>
                        <w:kern w:val="2"/>
                        <w:lang w:val="en-US"/>
                      </w:rPr>
                    </m:ctrlPr>
                  </m:sub>
                </m:sSub>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 (Note 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 (Note 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continue"/>
            <w:tcBorders>
              <w:left w:val="single" w:color="auto" w:sz="4" w:space="0"/>
              <w:right w:val="single" w:color="auto" w:sz="4" w:space="0"/>
            </w:tcBorders>
            <w:vAlign w:val="center"/>
          </w:tcPr>
          <w:p>
            <w:pPr>
              <w:pStyle w:val="105"/>
              <w:rPr>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r>
                  <m:rPr/>
                  <w:rPr>
                    <w:rFonts w:ascii="Cambria Math" w:hAnsi="Cambria Math" w:eastAsia="?? ??" w:cs="Arial"/>
                    <w:kern w:val="2"/>
                    <w:lang w:val="en-US"/>
                  </w:rPr>
                  <m:t>σ</m:t>
                </m:r>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2593" w:type="dxa"/>
            <w:vMerge w:val="continue"/>
            <w:tcBorders>
              <w:left w:val="single" w:color="auto" w:sz="4" w:space="0"/>
              <w:right w:val="single" w:color="auto" w:sz="4" w:space="0"/>
            </w:tcBorders>
            <w:vAlign w:val="center"/>
          </w:tcPr>
          <w:p>
            <w:pPr>
              <w:pStyle w:val="105"/>
              <w:rPr>
                <w:rFonts w:cs="Arial"/>
                <w:kern w:val="2"/>
                <w:lang w:val="en-US"/>
              </w:rPr>
            </w:pPr>
          </w:p>
        </w:tc>
        <w:tc>
          <w:tcPr>
            <w:tcW w:w="915"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lang w:val="en-US"/>
              </w:rPr>
            </w:pPr>
            <m:oMathPara>
              <m:oMath>
                <m:r>
                  <m:rPr/>
                  <w:rPr>
                    <w:rFonts w:ascii="Cambria Math" w:hAnsi="Cambria Math" w:eastAsia="?? ??" w:cs="Arial"/>
                    <w:kern w:val="2"/>
                    <w:lang w:val="en-US"/>
                  </w:rPr>
                  <m:t>δ</m:t>
                </m:r>
              </m:oMath>
            </m:oMathPara>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oc</m:t>
                  </m:r>
                  <m:ctrlPr>
                    <w:rPr>
                      <w:rFonts w:ascii="Cambria Math" w:hAnsi="Cambria Math"/>
                      <w:i/>
                      <w:lang w:val="en-US"/>
                    </w:rPr>
                  </m:ctrlPr>
                </m:sub>
              </m:sSub>
            </m:oMath>
            <w:r>
              <w:rPr>
                <w:lang w:val="en-US"/>
              </w:rPr>
              <w:t xml:space="preserve"> at antenna port</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dBm/15kHz</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-98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-98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position w:val="-12"/>
                <w:lang w:val="en-US"/>
              </w:rPr>
            </w:pPr>
            <w:r>
              <w:rPr>
                <w:lang w:val="en-US"/>
              </w:rPr>
              <w:t>Coverage enhancement mode</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CE Mode 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CE Mode 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rPr>
            </w:pPr>
            <w:r>
              <w:rPr>
                <w:lang w:val="en-US"/>
              </w:rPr>
              <w:t>PDSCH transmission mode</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rPr>
            </w:pPr>
            <w:r>
              <w:rPr>
                <w:rFonts w:cs="Arial"/>
                <w:lang w:val="en-US"/>
              </w:rPr>
              <w:t>OFDM starting symbol (startSymbolBR)</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rPr>
            </w:pPr>
            <w:r>
              <w:rPr>
                <w:rFonts w:cs="Arial"/>
                <w:lang w:val="en-US"/>
              </w:rPr>
              <w:t>Maximum number of repetitions</w:t>
            </w:r>
          </w:p>
          <w:p>
            <w:pPr>
              <w:pStyle w:val="103"/>
              <w:rPr>
                <w:rFonts w:cs="Arial"/>
                <w:lang w:val="en-US"/>
              </w:rPr>
            </w:pPr>
            <w:r>
              <w:rPr>
                <w:rFonts w:cs="Arial"/>
                <w:lang w:val="en-US" w:eastAsia="ja-JP"/>
              </w:rPr>
              <w:t>(</w:t>
            </w:r>
            <w:r>
              <w:rPr>
                <w:rFonts w:cs="Arial"/>
                <w:lang w:val="en-US"/>
              </w:rPr>
              <w:t>for PDSCH (</w:t>
            </w:r>
            <w:r>
              <w:rPr>
                <w:i/>
                <w:lang w:val="en-US"/>
              </w:rPr>
              <w:t>pdsch-maxNumRepetitionCEmodeA/ pdsch-maxNumRepetitionCEmodeB</w:t>
            </w:r>
            <w:r>
              <w:rPr>
                <w:rFonts w:cs="Arial"/>
                <w:lang w:val="en-US"/>
              </w:rPr>
              <w:t>)</w:t>
            </w:r>
            <w:r>
              <w:rPr>
                <w:rFonts w:cs="Arial"/>
                <w:lang w:val="en-US" w:eastAsia="ja-JP"/>
              </w:rPr>
              <w:t>)</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Not configured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Not configured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rPr>
            </w:pPr>
            <w:r>
              <w:rPr>
                <w:rFonts w:cs="Arial"/>
                <w:lang w:val="en-US"/>
              </w:rPr>
              <w:t>PDSCH repetition number</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rPr>
              <w:t>Frequency hopping</w:t>
            </w:r>
          </w:p>
          <w:p>
            <w:pPr>
              <w:pStyle w:val="103"/>
              <w:rPr>
                <w:rFonts w:cs="Arial"/>
                <w:lang w:val="en-US" w:eastAsia="ja-JP"/>
              </w:rPr>
            </w:pPr>
            <w:r>
              <w:rPr>
                <w:rFonts w:cs="Arial"/>
                <w:lang w:val="en-US" w:eastAsia="ja-JP"/>
              </w:rPr>
              <w:t>(mpdcch-pdsch-HoppingConfig)</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Disabled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Disabled</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Disabled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rPr>
              <w:t>Frequency hopping offset</w:t>
            </w:r>
          </w:p>
          <w:p>
            <w:pPr>
              <w:pStyle w:val="103"/>
              <w:rPr>
                <w:rFonts w:cs="Arial"/>
                <w:lang w:val="en-US" w:eastAsia="ja-JP"/>
              </w:rPr>
            </w:pPr>
            <w:r>
              <w:rPr>
                <w:rFonts w:cs="Arial"/>
                <w:lang w:val="en-US" w:eastAsia="ja-JP"/>
              </w:rPr>
              <w:t>(mpdcch-pdsch-HoppingOffset)</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Frequency hopping interval</w:t>
            </w:r>
          </w:p>
          <w:p>
            <w:pPr>
              <w:pStyle w:val="103"/>
              <w:rPr>
                <w:rFonts w:cs="Arial"/>
                <w:lang w:val="en-US" w:eastAsia="ja-JP"/>
              </w:rPr>
            </w:pPr>
            <w:r>
              <w:rPr>
                <w:rFonts w:cs="Arial"/>
                <w:lang w:val="en-US" w:eastAsia="ja-JP"/>
              </w:rPr>
              <w:t>(interval-FDD)</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ms</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MPDCCH transmission duration</w:t>
            </w:r>
          </w:p>
          <w:p>
            <w:pPr>
              <w:pStyle w:val="103"/>
              <w:rPr>
                <w:rFonts w:cs="Arial"/>
                <w:lang w:val="en-US" w:eastAsia="ja-JP"/>
              </w:rPr>
            </w:pPr>
            <w:r>
              <w:rPr>
                <w:rFonts w:cs="Arial"/>
                <w:lang w:val="en-US" w:eastAsia="ja-JP"/>
              </w:rPr>
              <w:t>(m</w:t>
            </w:r>
            <w:r>
              <w:rPr>
                <w:rFonts w:cs="Arial"/>
                <w:lang w:val="en-US"/>
              </w:rPr>
              <w:t>PDCCH</w:t>
            </w:r>
            <w:r>
              <w:rPr>
                <w:rFonts w:cs="Arial"/>
                <w:lang w:val="en-US" w:eastAsia="ja-JP"/>
              </w:rPr>
              <w:t>-NumRepetition)</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ms</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rPr>
              <w:t>MPDCCH repetition number</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Number of narrowbands for frequency hopping</w:t>
            </w:r>
          </w:p>
          <w:p>
            <w:pPr>
              <w:pStyle w:val="103"/>
              <w:rPr>
                <w:rFonts w:cs="Arial"/>
                <w:lang w:val="en-US" w:eastAsia="ja-JP"/>
              </w:rPr>
            </w:pPr>
            <w:r>
              <w:rPr>
                <w:rFonts w:cs="Arial"/>
                <w:lang w:val="en-US" w:eastAsia="ja-JP"/>
              </w:rPr>
              <w:t>(mpdcch-pdsch-HoppingNB)</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eastAsia="ja-JP"/>
              </w:rPr>
            </w:pPr>
            <w:r>
              <w:rPr>
                <w:lang w:val="en-US" w:eastAsia="ja-JP"/>
              </w:rPr>
              <w:t>Starting subframe configuration for MPDCCH</w:t>
            </w:r>
          </w:p>
          <w:p>
            <w:pPr>
              <w:pStyle w:val="103"/>
              <w:rPr>
                <w:lang w:val="en-US" w:eastAsia="ja-JP"/>
              </w:rPr>
            </w:pPr>
            <w:r>
              <w:rPr>
                <w:lang w:val="en-US" w:eastAsia="ja-JP"/>
              </w:rPr>
              <w:t>(mpdcch_startSF_UESS)</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1</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[4]</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rFonts w:cs="Arial"/>
                <w:lang w:val="en-US" w:eastAsia="ja-JP"/>
              </w:rPr>
            </w:pPr>
            <w:r>
              <w:rPr>
                <w:rFonts w:cs="Arial"/>
                <w:lang w:val="en-US" w:eastAsia="ja-JP"/>
              </w:rPr>
              <w:t>Narrowband for MPDCCH</w:t>
            </w:r>
          </w:p>
          <w:p>
            <w:pPr>
              <w:pStyle w:val="103"/>
              <w:rPr>
                <w:rFonts w:cs="Arial"/>
                <w:lang w:val="en-US" w:eastAsia="ja-JP"/>
              </w:rPr>
            </w:pPr>
            <w:r>
              <w:rPr>
                <w:rFonts w:cs="Arial"/>
                <w:lang w:val="en-US" w:eastAsia="ja-JP"/>
              </w:rPr>
              <w:t>(mpdcch_Narrowband)</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3508" w:type="dxa"/>
            <w:gridSpan w:val="2"/>
            <w:tcBorders>
              <w:top w:val="single" w:color="auto" w:sz="4" w:space="0"/>
              <w:left w:val="single" w:color="auto" w:sz="4" w:space="0"/>
              <w:bottom w:val="single" w:color="auto" w:sz="4" w:space="0"/>
              <w:right w:val="single" w:color="auto" w:sz="4" w:space="0"/>
            </w:tcBorders>
            <w:vAlign w:val="center"/>
          </w:tcPr>
          <w:p>
            <w:pPr>
              <w:pStyle w:val="103"/>
              <w:rPr>
                <w:lang w:val="en-US" w:eastAsia="ja-JP"/>
              </w:rPr>
            </w:pPr>
            <w:r>
              <w:rPr>
                <w:lang w:val="en-US" w:eastAsia="ja-JP"/>
              </w:rPr>
              <w:t>MPDCCH aggregation level</w:t>
            </w:r>
          </w:p>
        </w:tc>
        <w:tc>
          <w:tcPr>
            <w:tcW w:w="1147" w:type="dxa"/>
            <w:tcBorders>
              <w:top w:val="single" w:color="auto" w:sz="4" w:space="0"/>
              <w:left w:val="single" w:color="auto" w:sz="4" w:space="0"/>
              <w:bottom w:val="single" w:color="auto" w:sz="4" w:space="0"/>
              <w:right w:val="single" w:color="auto" w:sz="4" w:space="0"/>
            </w:tcBorders>
            <w:vAlign w:val="center"/>
          </w:tcPr>
          <w:p>
            <w:pPr>
              <w:pStyle w:val="105"/>
              <w:rPr>
                <w:lang w:val="en-US"/>
              </w:rPr>
            </w:pP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8</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24</w:t>
            </w:r>
          </w:p>
        </w:tc>
        <w:tc>
          <w:tcPr>
            <w:tcW w:w="1142" w:type="dxa"/>
            <w:tcBorders>
              <w:top w:val="single" w:color="auto" w:sz="4" w:space="0"/>
              <w:left w:val="single" w:color="auto" w:sz="4" w:space="0"/>
              <w:bottom w:val="single" w:color="auto" w:sz="4" w:space="0"/>
              <w:right w:val="single" w:color="auto" w:sz="4" w:space="0"/>
            </w:tcBorders>
            <w:vAlign w:val="center"/>
          </w:tcPr>
          <w:p>
            <w:pPr>
              <w:pStyle w:val="105"/>
              <w:rPr>
                <w:lang w:val="en-US"/>
              </w:rPr>
            </w:pPr>
            <w:r>
              <w:rPr>
                <w:lang w:val="en-US"/>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8081" w:type="dxa"/>
            <w:gridSpan w:val="6"/>
            <w:tcBorders>
              <w:top w:val="single" w:color="auto" w:sz="4" w:space="0"/>
              <w:left w:val="single" w:color="auto" w:sz="4" w:space="0"/>
              <w:bottom w:val="single" w:color="auto" w:sz="4" w:space="0"/>
              <w:right w:val="single" w:color="auto" w:sz="4" w:space="0"/>
            </w:tcBorders>
            <w:vAlign w:val="center"/>
          </w:tcPr>
          <w:p>
            <w:pPr>
              <w:pStyle w:val="118"/>
              <w:rPr>
                <w:lang w:val="en-US"/>
              </w:rPr>
            </w:pPr>
            <w:r>
              <w:rPr>
                <w:lang w:val="en-US"/>
              </w:rPr>
              <w:t>Note 1:</w:t>
            </w:r>
            <w:r>
              <w:rPr>
                <w:lang w:val="en-US"/>
              </w:rPr>
              <w:tab/>
            </w:r>
            <m:oMath>
              <m:sSub>
                <m:sSubPr>
                  <m:ctrlPr>
                    <w:rPr>
                      <w:rFonts w:ascii="Cambria Math" w:hAnsi="Cambria Math"/>
                      <w:i/>
                      <w:lang w:val="en-US"/>
                    </w:rPr>
                  </m:ctrlPr>
                </m:sSubPr>
                <m:e>
                  <m:r>
                    <m:rPr/>
                    <w:rPr>
                      <w:rFonts w:ascii="Cambria Math" w:hAnsi="Cambria Math"/>
                      <w:lang w:val="en-US"/>
                    </w:rPr>
                    <m:t>P</m:t>
                  </m:r>
                  <m:ctrlPr>
                    <w:rPr>
                      <w:rFonts w:ascii="Cambria Math" w:hAnsi="Cambria Math"/>
                      <w:i/>
                      <w:lang w:val="en-US"/>
                    </w:rPr>
                  </m:ctrlPr>
                </m:e>
                <m:sub>
                  <m:r>
                    <m:rPr/>
                    <w:rPr>
                      <w:rFonts w:ascii="Cambria Math" w:hAnsi="Cambria Math"/>
                      <w:lang w:val="en-US"/>
                    </w:rPr>
                    <m:t>B</m:t>
                  </m:r>
                  <m:ctrlPr>
                    <w:rPr>
                      <w:rFonts w:ascii="Cambria Math" w:hAnsi="Cambria Math"/>
                      <w:i/>
                      <w:lang w:val="en-US"/>
                    </w:rPr>
                  </m:ctrlPr>
                </m:sub>
              </m:sSub>
              <m:r>
                <m:rPr/>
                <w:rPr>
                  <w:rFonts w:ascii="Cambria Math" w:hAnsi="Cambria Math"/>
                  <w:lang w:val="en-US"/>
                </w:rPr>
                <m:t>=1</m:t>
              </m:r>
            </m:oMath>
            <w:r>
              <w:rPr>
                <w:lang w:val="en-US"/>
              </w:rPr>
              <w:t>.</w:t>
            </w:r>
          </w:p>
          <w:p>
            <w:pPr>
              <w:pStyle w:val="118"/>
              <w:rPr>
                <w:lang w:val="en-US"/>
              </w:rPr>
            </w:pPr>
            <w:r>
              <w:rPr>
                <w:lang w:val="en-US"/>
              </w:rPr>
              <w:t>Note 2:</w:t>
            </w:r>
            <w:r>
              <w:rPr>
                <w:lang w:val="en-US"/>
              </w:rPr>
              <w:tab/>
            </w:r>
            <w:r>
              <w:rPr>
                <w:lang w:val="en-US"/>
              </w:rPr>
              <w:t>For each test,</w:t>
            </w:r>
            <w:r>
              <w:rPr>
                <w:rFonts w:eastAsia="Malgun Gothic"/>
                <w:lang w:val="en-US"/>
              </w:rPr>
              <w:t xml:space="preserve"> </w:t>
            </w:r>
            <w:r>
              <w:rPr>
                <w:lang w:val="en-US"/>
              </w:rPr>
              <w:t>DC subcarrier puncturing shall be considered.</w:t>
            </w:r>
          </w:p>
          <w:p>
            <w:pPr>
              <w:pStyle w:val="118"/>
              <w:rPr>
                <w:rFonts w:eastAsia="?? ??"/>
                <w:lang w:val="en-US" w:eastAsia="ja-JP"/>
              </w:rPr>
            </w:pPr>
            <w:r>
              <w:rPr>
                <w:lang w:val="en-US"/>
              </w:rPr>
              <w:t>Note 3:</w:t>
            </w:r>
            <w:r>
              <w:rPr>
                <w:lang w:val="en-US"/>
              </w:rPr>
              <w:tab/>
            </w:r>
            <w:r>
              <w:rPr>
                <w:lang w:val="en-US"/>
              </w:rPr>
              <w:t>If not otherwise stated, the values in this table refer to parameters in TS 36.211 [3] or/and TS 36.213 as appropriate.</w:t>
            </w:r>
          </w:p>
        </w:tc>
      </w:tr>
    </w:tbl>
    <w:p/>
    <w:p>
      <w:pPr>
        <w:keepNext/>
        <w:keepLines/>
        <w:spacing w:before="60"/>
        <w:jc w:val="center"/>
        <w:rPr>
          <w:rFonts w:ascii="Arial" w:hAnsi="Arial"/>
          <w:b/>
          <w:lang w:eastAsia="en-GB"/>
        </w:rPr>
      </w:pPr>
      <w:r>
        <w:rPr>
          <w:rFonts w:ascii="Arial" w:hAnsi="Arial"/>
          <w:b/>
          <w:lang w:eastAsia="en-GB"/>
        </w:rPr>
        <w:t>Table 8.2.</w:t>
      </w:r>
      <w:r>
        <w:rPr>
          <w:rFonts w:hint="eastAsia" w:ascii="Arial" w:hAnsi="Arial"/>
          <w:b/>
        </w:rPr>
        <w:t>1</w:t>
      </w:r>
      <w:r>
        <w:rPr>
          <w:rFonts w:ascii="Arial" w:hAnsi="Arial"/>
          <w:b/>
          <w:lang w:eastAsia="en-GB"/>
        </w:rPr>
        <w:t>.1</w:t>
      </w:r>
      <w:r>
        <w:rPr>
          <w:rFonts w:hint="eastAsia" w:ascii="Arial" w:hAnsi="Arial"/>
          <w:b/>
        </w:rPr>
        <w:t>.</w:t>
      </w:r>
      <w:r>
        <w:rPr>
          <w:rFonts w:ascii="Arial" w:hAnsi="Arial"/>
          <w:b/>
        </w:rPr>
        <w:t>1.3</w:t>
      </w:r>
      <w:r>
        <w:rPr>
          <w:rFonts w:ascii="Arial" w:hAnsi="Arial"/>
          <w:b/>
          <w:lang w:eastAsia="en-GB"/>
        </w:rPr>
        <w:t>-2: Minimum performance for single antenna port (FRC)</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Test number</w:t>
            </w:r>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 xml:space="preserve">Bandwidth and MCS </w:t>
            </w:r>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Channel</w:t>
            </w:r>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OCNG Pattern</w:t>
            </w:r>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Propagation Condition</w:t>
            </w:r>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Correlation Matrix and Antenna Configuration</w:t>
            </w:r>
          </w:p>
        </w:tc>
        <w:tc>
          <w:tcPr>
            <w:tcW w:w="1053" w:type="pct"/>
            <w:gridSpan w:val="2"/>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value</w:t>
            </w:r>
          </w:p>
        </w:tc>
        <w:tc>
          <w:tcPr>
            <w:tcW w:w="469" w:type="pct"/>
            <w:vMerge w:val="restart"/>
            <w:tcBorders>
              <w:top w:val="single" w:color="auto" w:sz="4" w:space="0"/>
              <w:left w:val="single" w:color="auto" w:sz="4" w:space="0"/>
              <w:right w:val="single" w:color="auto" w:sz="4" w:space="0"/>
            </w:tcBorders>
          </w:tcPr>
          <w:p>
            <w:pPr>
              <w:pStyle w:val="104"/>
              <w:rPr>
                <w:rFonts w:cs="Arial"/>
                <w:kern w:val="2"/>
                <w:lang w:val="en-US"/>
              </w:rPr>
            </w:pPr>
            <w:r>
              <w:rPr>
                <w:rFonts w:cs="Arial"/>
                <w:kern w:val="2"/>
                <w:lang w:val="en-US"/>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Fraction of Maximum</w:t>
            </w:r>
          </w:p>
          <w:p>
            <w:pPr>
              <w:pStyle w:val="104"/>
              <w:rPr>
                <w:rFonts w:cs="Arial"/>
                <w:kern w:val="2"/>
                <w:lang w:val="en-US"/>
              </w:rPr>
            </w:pPr>
            <w:r>
              <w:rPr>
                <w:rFonts w:cs="Arial"/>
                <w:kern w:val="2"/>
                <w:lang w:val="en-US"/>
              </w:rPr>
              <w:t>Throughput (%)</w:t>
            </w:r>
          </w:p>
        </w:tc>
        <w:tc>
          <w:tcPr>
            <w:tcW w:w="416"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SNR (dB)</w:t>
            </w:r>
          </w:p>
        </w:tc>
        <w:tc>
          <w:tcPr>
            <w:tcW w:w="469" w:type="pct"/>
            <w:vMerge w:val="continue"/>
            <w:tcBorders>
              <w:left w:val="single" w:color="auto" w:sz="4" w:space="0"/>
              <w:bottom w:val="single" w:color="auto" w:sz="4" w:space="0"/>
              <w:right w:val="single" w:color="auto" w:sz="4" w:space="0"/>
            </w:tcBorders>
          </w:tcPr>
          <w:p>
            <w:pPr>
              <w:pStyle w:val="104"/>
              <w:rPr>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eastAsia="ja-JP"/>
              </w:rPr>
            </w:pPr>
            <w:r>
              <w:rPr>
                <w:rFonts w:cs="Arial"/>
                <w:kern w:val="2"/>
                <w:lang w:val="en-US"/>
              </w:rPr>
              <w:t>1.4MHz 16QAM 1/2</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R.1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NTN-TDLC5-30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[10.4]</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2</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1/3</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R.2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NTN-TDLA100-200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[-4.4]</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3</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w:t>
            </w:r>
            <w:r>
              <w:rPr>
                <w:rFonts w:cs="Arial"/>
                <w:kern w:val="2"/>
                <w:lang w:val="en-US" w:eastAsia="ja-JP"/>
              </w:rPr>
              <w:t>10</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R.3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NTN-TDLA100-10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[-12.6]</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lang w:val="en-US" w:eastAsia="ja-JP"/>
              </w:rPr>
              <w:t>M1</w:t>
            </w:r>
          </w:p>
        </w:tc>
      </w:tr>
    </w:tbl>
    <w:p>
      <w:pPr>
        <w:rPr>
          <w:lang w:val="en-US"/>
        </w:rPr>
      </w:pPr>
    </w:p>
    <w:p>
      <w:pPr>
        <w:rPr>
          <w:lang w:eastAsia="zh-TW"/>
        </w:rPr>
      </w:pPr>
      <w:r>
        <w:t>The normative reference for this requirement is TS 36.102[11] clause 8.2.1.1.1.1</w:t>
      </w:r>
      <w:r>
        <w:rPr>
          <w:lang w:eastAsia="zh-TW"/>
        </w:rPr>
        <w:t>.</w:t>
      </w:r>
    </w:p>
    <w:p>
      <w:pPr>
        <w:pStyle w:val="9"/>
        <w:rPr>
          <w:snapToGrid w:val="0"/>
          <w:kern w:val="2"/>
        </w:rPr>
      </w:pPr>
      <w:r>
        <w:rPr>
          <w:snapToGrid w:val="0"/>
          <w:kern w:val="2"/>
        </w:rPr>
        <w:t>8.2.1.1.1.4</w:t>
      </w:r>
      <w:r>
        <w:rPr>
          <w:snapToGrid w:val="0"/>
          <w:kern w:val="2"/>
        </w:rPr>
        <w:tab/>
      </w:r>
      <w:r>
        <w:rPr>
          <w:snapToGrid w:val="0"/>
          <w:kern w:val="2"/>
        </w:rPr>
        <w:t>Test description</w:t>
      </w:r>
    </w:p>
    <w:p>
      <w:pPr>
        <w:pStyle w:val="9"/>
      </w:pPr>
      <w:r>
        <w:t>8.2.1.1.1.4.1</w:t>
      </w:r>
      <w:r>
        <w:tab/>
      </w:r>
      <w:r>
        <w:t>Initial conditions</w:t>
      </w:r>
    </w:p>
    <w:p>
      <w:r>
        <w:t>Initial conditions are a set of test configurations the UE needs to be tested in and the steps for the SS to take with the UE to reach the correct measurement state.</w:t>
      </w:r>
    </w:p>
    <w:p>
      <w:r>
        <w:t>Configurations of PDSCH and MPDCCH before measurement are specified in Annex C.2.</w:t>
      </w:r>
    </w:p>
    <w:p>
      <w:r>
        <w:t>Test Environment: Normal, as defined in TS 36.508 [7] clause 4.1.</w:t>
      </w:r>
    </w:p>
    <w:p>
      <w:pPr>
        <w:rPr>
          <w:lang w:eastAsia="zh-TW"/>
        </w:rPr>
      </w:pPr>
      <w:r>
        <w:t>Frequencies to be tested: Mid Range, as defined in TS 36.508 [7] clause 4.3.1.1.</w:t>
      </w:r>
    </w:p>
    <w:p>
      <w:r>
        <w:rPr>
          <w:lang w:eastAsia="zh-TW"/>
        </w:rPr>
        <w:t xml:space="preserve">Channel </w:t>
      </w:r>
      <w:r>
        <w:t xml:space="preserve">Bandwidths to be tested: </w:t>
      </w:r>
      <w:r>
        <w:rPr>
          <w:lang w:eastAsia="zh-TW"/>
        </w:rPr>
        <w:t>A</w:t>
      </w:r>
      <w:r>
        <w:t>s</w:t>
      </w:r>
      <w:r>
        <w:rPr>
          <w:lang w:eastAsia="zh-TW"/>
        </w:rPr>
        <w:t xml:space="preserve"> specified in </w:t>
      </w:r>
      <w:r>
        <w:t xml:space="preserve">Table </w:t>
      </w:r>
      <w:r>
        <w:rPr>
          <w:rFonts w:eastAsiaTheme="minorEastAsia"/>
        </w:rPr>
        <w:t>8.2.1.1.1.3-2</w:t>
      </w:r>
      <w:r>
        <w:t xml:space="preserve"> as defined in TS 36.508 [7] clause 4.3.1.</w:t>
      </w:r>
      <w:r>
        <w:rPr>
          <w:lang w:eastAsia="zh-TW"/>
        </w:rPr>
        <w:t>1</w:t>
      </w:r>
      <w:r>
        <w:t>.</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Connect the SS, the faders and AWGN noise sources to the UE antenna connectors as shown in TS 36.508[7] Annex A, Figure A.9 using only main UE Tx/Rx antenna.</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The parameter settings for the cell are set up according to Tables 8.2.1.1-1, 8.2.1.1-2 and 8.2.1.1.1.3-1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Downlink signals are initially set up according to Annex C.0, C.1 and Annex C.3.2 and uplink signals according to Annex H.1 and H.3.2.</w:t>
      </w:r>
    </w:p>
    <w:p>
      <w:pPr>
        <w:pStyle w:val="111"/>
        <w:overflowPunct w:val="0"/>
        <w:autoSpaceDE w:val="0"/>
        <w:autoSpaceDN w:val="0"/>
        <w:adjustRightInd w:val="0"/>
        <w:contextualSpacing w:val="0"/>
        <w:textAlignment w:val="baseline"/>
        <w:rPr>
          <w:rFonts w:eastAsia="Malgun Gothic"/>
        </w:rPr>
      </w:pPr>
      <w:r>
        <w:rPr>
          <w:rFonts w:eastAsia="Malgun Gothic"/>
        </w:rPr>
        <w:t>4.</w:t>
      </w:r>
      <w:r>
        <w:rPr>
          <w:rFonts w:eastAsia="Malgun Gothic"/>
        </w:rPr>
        <w:tab/>
      </w:r>
      <w:r>
        <w:rPr>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Fonts w:eastAsia="Malgun Gothic"/>
        </w:rPr>
      </w:pPr>
      <w:r>
        <w:rPr>
          <w:rFonts w:eastAsia="Malgun Gothic"/>
        </w:rPr>
        <w:t>5.</w:t>
      </w:r>
      <w:r>
        <w:rPr>
          <w:rFonts w:eastAsia="Malgun Gothic"/>
        </w:rPr>
        <w:tab/>
      </w:r>
      <w:r>
        <w:rPr>
          <w:rFonts w:eastAsia="Malgun Gothic"/>
        </w:rPr>
        <w:t>Ensure the UE is in State 3A-RF-CE according to TS 36.508[7] clause 5.2A.2AA. Message contents are defined in clause 8.2.1.1.1.4.3.</w:t>
      </w:r>
    </w:p>
    <w:p>
      <w:pPr>
        <w:pStyle w:val="9"/>
      </w:pPr>
      <w:r>
        <w:rPr>
          <w:snapToGrid w:val="0"/>
          <w:kern w:val="2"/>
        </w:rPr>
        <w:t>8.2.1.1.1.</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Fonts w:eastAsia="Malgun Gothic"/>
        </w:rPr>
      </w:pPr>
      <w:r>
        <w:rPr>
          <w:rFonts w:eastAsia="Malgun Gothic"/>
        </w:rPr>
        <w:t>1.</w:t>
      </w:r>
      <w:r>
        <w:rPr>
          <w:rFonts w:eastAsia="Malgun Gothic"/>
        </w:rPr>
        <w:tab/>
      </w:r>
      <w:r>
        <w:rPr>
          <w:rFonts w:eastAsia="Malgun Gothic"/>
        </w:rPr>
        <w:t>SS transmits PDSCH via MPDCCH DCI with narrowband index nRB = 0 for C_RNTI to transmit the DL RMC according to Tables 8.2.1.1.1.3-1 and 8.2.1.1.1.3-2.</w:t>
      </w:r>
    </w:p>
    <w:p>
      <w:pPr>
        <w:pStyle w:val="111"/>
        <w:overflowPunct w:val="0"/>
        <w:autoSpaceDE w:val="0"/>
        <w:autoSpaceDN w:val="0"/>
        <w:adjustRightInd w:val="0"/>
        <w:contextualSpacing w:val="0"/>
        <w:textAlignment w:val="baseline"/>
        <w:rPr>
          <w:rFonts w:eastAsia="Malgun Gothic"/>
        </w:rPr>
      </w:pPr>
      <w:r>
        <w:rPr>
          <w:rFonts w:eastAsia="Malgun Gothic"/>
        </w:rPr>
        <w:t>2.</w:t>
      </w:r>
      <w:r>
        <w:rPr>
          <w:rFonts w:eastAsia="Malgun Gothic"/>
        </w:rPr>
        <w:tab/>
      </w:r>
      <w:r>
        <w:rPr>
          <w:rFonts w:eastAsia="Malgun Gothic"/>
        </w:rPr>
        <w:t>Set the parameters of the bandwidth, MCS, reference channel, the propagation condition, the correlation matrix, antenna configuration and the SNR according to Table 8.2.1.1.1.5-1 as appropriate.</w:t>
      </w:r>
    </w:p>
    <w:p>
      <w:pPr>
        <w:pStyle w:val="111"/>
        <w:overflowPunct w:val="0"/>
        <w:autoSpaceDE w:val="0"/>
        <w:autoSpaceDN w:val="0"/>
        <w:adjustRightInd w:val="0"/>
        <w:contextualSpacing w:val="0"/>
        <w:textAlignment w:val="baseline"/>
        <w:rPr>
          <w:rFonts w:eastAsia="Malgun Gothic"/>
        </w:rPr>
      </w:pPr>
      <w:r>
        <w:rPr>
          <w:rFonts w:eastAsia="Malgun Gothic"/>
        </w:rPr>
        <w:t>3.</w:t>
      </w:r>
      <w:r>
        <w:rPr>
          <w:rFonts w:eastAsia="Malgun Gothic"/>
        </w:rPr>
        <w:tab/>
      </w:r>
      <w:r>
        <w:rPr>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4.</w:t>
      </w:r>
      <w:r>
        <w:rPr>
          <w:rStyle w:val="91"/>
          <w:rFonts w:eastAsia="Malgun Gothic"/>
        </w:rPr>
        <w:tab/>
      </w:r>
      <w:r>
        <w:rPr>
          <w:rStyle w:val="91"/>
          <w:rFonts w:eastAsia="Malgun Gothic"/>
        </w:rPr>
        <w:t>Repeat steps from 1 to 3 for each test interval in Tables 8.2.1.1.1.5-1 as appropriate.</w:t>
      </w:r>
    </w:p>
    <w:p>
      <w:pPr>
        <w:pStyle w:val="9"/>
      </w:pPr>
      <w:r>
        <w:rPr>
          <w:snapToGrid w:val="0"/>
          <w:kern w:val="2"/>
        </w:rPr>
        <w:t>8.2.1.1.1.</w:t>
      </w:r>
      <w:r>
        <w:rPr>
          <w:snapToGrid w:val="0"/>
          <w:kern w:val="2"/>
          <w:lang w:eastAsia="zh-TW"/>
        </w:rPr>
        <w:t>4.</w:t>
      </w:r>
      <w:r>
        <w:rPr>
          <w:lang w:eastAsia="zh-TW"/>
        </w:rPr>
        <w:t>3</w:t>
      </w:r>
      <w:r>
        <w:tab/>
      </w:r>
      <w:r>
        <w:t>Message contents</w:t>
      </w:r>
    </w:p>
    <w:p>
      <w:r>
        <w:t xml:space="preserve">Message contents are according to TS 36.508[7] clause 4.6 </w:t>
      </w:r>
      <w:r>
        <w:rPr>
          <w:rFonts w:hint="eastAsia"/>
        </w:rPr>
        <w:t>and</w:t>
      </w:r>
      <w:r>
        <w:t xml:space="preserve"> clause 4.14 with condition CEModeA with the following exception.</w:t>
      </w:r>
    </w:p>
    <w:p>
      <w:pPr>
        <w:pStyle w:val="113"/>
      </w:pPr>
      <w:r>
        <w:t xml:space="preserve">Table 8.2.1.1.1.4.3-1: EPDCCH-Config-r11-DEFAULT configuration </w:t>
      </w: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4535"/>
        <w:gridCol w:w="2267"/>
        <w:gridCol w:w="1700"/>
        <w:gridCol w:w="10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c>
          <w:tcPr>
            <w:tcW w:w="9597" w:type="dxa"/>
            <w:gridSpan w:val="4"/>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bookmarkStart w:id="970" w:name="_Hlk134288275"/>
            <w:r>
              <w:rPr>
                <w:rFonts w:ascii="Arial" w:hAnsi="Arial"/>
                <w:sz w:val="18"/>
              </w:rPr>
              <w:t>Derivation Path: 36.508 Table 4.6.3-2B</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pStyle w:val="104"/>
              <w:keepNext w:val="0"/>
              <w:keepLines w:val="0"/>
            </w:pPr>
            <w:r>
              <w:t>Information Element</w:t>
            </w:r>
          </w:p>
        </w:tc>
        <w:tc>
          <w:tcPr>
            <w:tcW w:w="2267" w:type="dxa"/>
            <w:tcBorders>
              <w:top w:val="single" w:color="000000" w:sz="4" w:space="0"/>
              <w:left w:val="single" w:color="000000" w:sz="4" w:space="0"/>
              <w:bottom w:val="single" w:color="000000" w:sz="4" w:space="0"/>
              <w:right w:val="single" w:color="000000" w:sz="4" w:space="0"/>
            </w:tcBorders>
          </w:tcPr>
          <w:p>
            <w:pPr>
              <w:pStyle w:val="104"/>
              <w:keepNext w:val="0"/>
              <w:keepLines w:val="0"/>
            </w:pPr>
            <w:r>
              <w:t>Value/remark</w:t>
            </w:r>
          </w:p>
        </w:tc>
        <w:tc>
          <w:tcPr>
            <w:tcW w:w="1700" w:type="dxa"/>
            <w:tcBorders>
              <w:top w:val="single" w:color="000000" w:sz="4" w:space="0"/>
              <w:left w:val="single" w:color="000000" w:sz="4" w:space="0"/>
              <w:bottom w:val="single" w:color="000000" w:sz="4" w:space="0"/>
              <w:right w:val="single" w:color="000000" w:sz="4" w:space="0"/>
            </w:tcBorders>
          </w:tcPr>
          <w:p>
            <w:pPr>
              <w:pStyle w:val="104"/>
              <w:keepNext w:val="0"/>
              <w:keepLines w:val="0"/>
            </w:pPr>
            <w:r>
              <w:t>Comment</w:t>
            </w:r>
          </w:p>
        </w:tc>
        <w:tc>
          <w:tcPr>
            <w:tcW w:w="1095" w:type="dxa"/>
            <w:tcBorders>
              <w:top w:val="single" w:color="000000" w:sz="4" w:space="0"/>
              <w:left w:val="single" w:color="000000" w:sz="4" w:space="0"/>
              <w:bottom w:val="single" w:color="000000" w:sz="4" w:space="0"/>
              <w:right w:val="single" w:color="000000" w:sz="4" w:space="0"/>
            </w:tcBorders>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setConfigToAddModList-r11 SEQUENCE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1 entry</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setConfigId-r11[1]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0</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transmissionType-r11[1]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distributed</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resourceBlockAssignment-r11[1] SEQUENCE{</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numberPRB-Pairs-r11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n2</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trHeight w:val="189" w:hRule="atLeast"/>
        </w:trPr>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resourceBlockAssignment-r11</w:t>
            </w:r>
          </w:p>
        </w:tc>
        <w:tc>
          <w:tcPr>
            <w:tcW w:w="2267" w:type="dxa"/>
            <w:tcBorders>
              <w:top w:val="single" w:color="000000" w:sz="4" w:space="0"/>
              <w:left w:val="single" w:color="000000" w:sz="4" w:space="0"/>
              <w:right w:val="single" w:color="000000" w:sz="4" w:space="0"/>
            </w:tcBorders>
          </w:tcPr>
          <w:p>
            <w:pPr>
              <w:spacing w:after="0"/>
              <w:rPr>
                <w:rFonts w:ascii="Arial" w:hAnsi="Arial"/>
                <w:sz w:val="18"/>
              </w:rPr>
            </w:pPr>
            <w:r>
              <w:rPr>
                <w:rFonts w:ascii="Arial" w:hAnsi="Arial"/>
                <w:sz w:val="18"/>
              </w:rPr>
              <w:t>1110</w:t>
            </w:r>
          </w:p>
        </w:tc>
        <w:tc>
          <w:tcPr>
            <w:tcW w:w="1700" w:type="dxa"/>
            <w:tcBorders>
              <w:top w:val="single" w:color="000000" w:sz="4" w:space="0"/>
              <w:left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dmrs-ScramblingSequenceInt-r11[1]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0</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pucch-ResourceStartOffset-r11[1]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0</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re-MappingQCL-ConfigListId-r11[1]</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Not present</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numberPRB-Pairs-v1310 CHOICE[1]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Not present</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mpdcch-config-r13 CHOICE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r>
              <w:t>mpdcch-StartSF-UESS-r13{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t xml:space="preserve">              fdd-r13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V1 for test1; v4 for test2; v2dot5 for test3</w:t>
            </w: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hint="eastAsia" w:ascii="Arial" w:hAnsi="Arial"/>
                <w:sz w:val="18"/>
              </w:rPr>
              <w:t>F</w:t>
            </w:r>
            <w:r>
              <w:rPr>
                <w:rFonts w:ascii="Arial" w:hAnsi="Arial"/>
                <w:sz w:val="18"/>
              </w:rPr>
              <w:t>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r>
              <w:t>mpdcch-NumRepetition-r13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r1 for test1; r8 for test2; r64 for test3</w:t>
            </w:r>
          </w:p>
        </w:tc>
        <w:tc>
          <w:tcPr>
            <w:tcW w:w="1700" w:type="dxa"/>
            <w:tcBorders>
              <w:top w:val="single" w:color="000000" w:sz="4" w:space="0"/>
              <w:left w:val="single" w:color="000000" w:sz="4" w:space="0"/>
              <w:bottom w:val="single" w:color="000000" w:sz="4" w:space="0"/>
              <w:right w:val="single" w:color="000000" w:sz="4" w:space="0"/>
            </w:tcBorders>
          </w:tcPr>
          <w:p>
            <w:pPr>
              <w:spacing w:after="0"/>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mpdcch-Narrowband-r13</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1</w:t>
            </w: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t>Narrowband index 0</w:t>
            </w: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r>
              <w:rPr>
                <w:rFonts w:ascii="Arial" w:hAnsi="Arial"/>
                <w:sz w:val="18"/>
              </w:rPr>
              <w:t xml:space="preserve">      }</w:t>
            </w:r>
          </w:p>
        </w:tc>
        <w:tc>
          <w:tcPr>
            <w:tcW w:w="2267"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700"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c>
          <w:tcPr>
            <w:tcW w:w="1095" w:type="dxa"/>
            <w:tcBorders>
              <w:top w:val="single" w:color="000000" w:sz="4" w:space="0"/>
              <w:left w:val="single" w:color="000000" w:sz="4" w:space="0"/>
              <w:bottom w:val="single" w:color="000000" w:sz="4" w:space="0"/>
              <w:right w:val="single" w:color="000000" w:sz="4" w:space="0"/>
            </w:tcBorders>
          </w:tcPr>
          <w:p>
            <w:pPr>
              <w:spacing w:after="0"/>
              <w:rPr>
                <w:rFonts w:ascii="Arial" w:hAnsi="Arial"/>
                <w:sz w:val="18"/>
              </w:rPr>
            </w:pPr>
          </w:p>
        </w:tc>
      </w:tr>
      <w:bookmarkEnd w:id="970"/>
    </w:tbl>
    <w:p>
      <w:pPr>
        <w:pStyle w:val="9"/>
        <w:rPr>
          <w:snapToGrid w:val="0"/>
          <w:kern w:val="2"/>
        </w:rPr>
      </w:pPr>
      <w:r>
        <w:rPr>
          <w:snapToGrid w:val="0"/>
          <w:kern w:val="2"/>
        </w:rPr>
        <w:t>8.2.1.1.1.5</w:t>
      </w:r>
      <w:r>
        <w:rPr>
          <w:snapToGrid w:val="0"/>
          <w:kern w:val="2"/>
        </w:rPr>
        <w:tab/>
      </w:r>
      <w:r>
        <w:rPr>
          <w:snapToGrid w:val="0"/>
          <w:kern w:val="2"/>
        </w:rPr>
        <w:t>Test requirement</w:t>
      </w:r>
    </w:p>
    <w:p>
      <w:r>
        <w:t>Table 8.2.1.1.1</w:t>
      </w:r>
      <w:r>
        <w:rPr>
          <w:lang w:eastAsia="zh-TW"/>
        </w:rPr>
        <w:t>.3</w:t>
      </w:r>
      <w:r>
        <w:t>-1 defines the primary level settings.</w:t>
      </w:r>
    </w:p>
    <w:p>
      <w:pPr>
        <w:rPr>
          <w:lang w:eastAsia="zh-TW"/>
        </w:rPr>
      </w:pPr>
      <w:r>
        <w:t>The fraction of maximum throughput percentage for the downlink reference measurement channels specified in TS 36.102[11] Annex A clause A.1.2.1</w:t>
      </w:r>
      <w:r>
        <w:tab/>
      </w:r>
      <w:r>
        <w:t>for each throughput test shall meet or exceed the specified value in Table 8.2.1.1.1.</w:t>
      </w:r>
      <w:r>
        <w:rPr>
          <w:lang w:eastAsia="zh-TW"/>
        </w:rPr>
        <w:t>5</w:t>
      </w:r>
      <w:r>
        <w:t>-</w:t>
      </w:r>
      <w:r>
        <w:rPr>
          <w:lang w:eastAsia="zh-TW"/>
        </w:rPr>
        <w:t>1</w:t>
      </w:r>
      <w:r>
        <w:t xml:space="preserve"> for the specified SNR including test tolerances for all throughput tests.</w:t>
      </w:r>
    </w:p>
    <w:p>
      <w:pPr>
        <w:pStyle w:val="113"/>
      </w:pPr>
      <w:r>
        <w:t>Table 8.2.1.1.1.</w:t>
      </w:r>
      <w:r>
        <w:rPr>
          <w:lang w:eastAsia="zh-TW"/>
        </w:rPr>
        <w:t>5</w:t>
      </w:r>
      <w:r>
        <w:t>-</w:t>
      </w:r>
      <w:r>
        <w:rPr>
          <w:lang w:eastAsia="zh-TW"/>
        </w:rPr>
        <w:t>1</w:t>
      </w:r>
      <w:r>
        <w:t>: Test requirements under standalone with 1 NRS ports</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8"/>
        <w:gridCol w:w="1164"/>
        <w:gridCol w:w="1113"/>
        <w:gridCol w:w="957"/>
        <w:gridCol w:w="1298"/>
        <w:gridCol w:w="1429"/>
        <w:gridCol w:w="1256"/>
        <w:gridCol w:w="820"/>
        <w:gridCol w:w="9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Test number</w:t>
            </w:r>
          </w:p>
        </w:tc>
        <w:tc>
          <w:tcPr>
            <w:tcW w:w="590"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 xml:space="preserve">Bandwidth and MCS </w:t>
            </w:r>
          </w:p>
        </w:tc>
        <w:tc>
          <w:tcPr>
            <w:tcW w:w="564"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Channel</w:t>
            </w:r>
          </w:p>
        </w:tc>
        <w:tc>
          <w:tcPr>
            <w:tcW w:w="48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OCNG Pattern</w:t>
            </w:r>
          </w:p>
        </w:tc>
        <w:tc>
          <w:tcPr>
            <w:tcW w:w="658"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Propagation Condition</w:t>
            </w:r>
          </w:p>
        </w:tc>
        <w:tc>
          <w:tcPr>
            <w:tcW w:w="725" w:type="pct"/>
            <w:vMerge w:val="restar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Correlation Matrix and Antenna Configuration</w:t>
            </w:r>
          </w:p>
        </w:tc>
        <w:tc>
          <w:tcPr>
            <w:tcW w:w="1053" w:type="pct"/>
            <w:gridSpan w:val="2"/>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Reference value</w:t>
            </w:r>
          </w:p>
        </w:tc>
        <w:tc>
          <w:tcPr>
            <w:tcW w:w="469" w:type="pct"/>
            <w:vMerge w:val="restart"/>
            <w:tcBorders>
              <w:top w:val="single" w:color="auto" w:sz="4" w:space="0"/>
              <w:left w:val="single" w:color="auto" w:sz="4" w:space="0"/>
              <w:right w:val="single" w:color="auto" w:sz="4" w:space="0"/>
            </w:tcBorders>
          </w:tcPr>
          <w:p>
            <w:pPr>
              <w:pStyle w:val="104"/>
              <w:rPr>
                <w:rFonts w:cs="Arial"/>
                <w:kern w:val="2"/>
                <w:lang w:val="en-US"/>
              </w:rPr>
            </w:pPr>
            <w:r>
              <w:rPr>
                <w:rFonts w:cs="Arial"/>
                <w:kern w:val="2"/>
                <w:lang w:val="en-US"/>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7" w:hRule="atLeast"/>
          <w:jc w:val="center"/>
        </w:trPr>
        <w:tc>
          <w:tcPr>
            <w:tcW w:w="45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9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564"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48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5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72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lang w:val="en-US"/>
              </w:rPr>
            </w:pPr>
          </w:p>
        </w:tc>
        <w:tc>
          <w:tcPr>
            <w:tcW w:w="637"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Fraction of Maximum</w:t>
            </w:r>
          </w:p>
          <w:p>
            <w:pPr>
              <w:pStyle w:val="104"/>
              <w:rPr>
                <w:rFonts w:cs="Arial"/>
                <w:kern w:val="2"/>
                <w:lang w:val="en-US"/>
              </w:rPr>
            </w:pPr>
            <w:r>
              <w:rPr>
                <w:rFonts w:cs="Arial"/>
                <w:kern w:val="2"/>
                <w:lang w:val="en-US"/>
              </w:rPr>
              <w:t>Throughput (%)</w:t>
            </w:r>
          </w:p>
        </w:tc>
        <w:tc>
          <w:tcPr>
            <w:tcW w:w="416" w:type="pct"/>
            <w:tcBorders>
              <w:top w:val="single" w:color="auto" w:sz="4" w:space="0"/>
              <w:left w:val="single" w:color="auto" w:sz="4" w:space="0"/>
              <w:bottom w:val="single" w:color="auto" w:sz="4" w:space="0"/>
              <w:right w:val="single" w:color="auto" w:sz="4" w:space="0"/>
            </w:tcBorders>
          </w:tcPr>
          <w:p>
            <w:pPr>
              <w:pStyle w:val="104"/>
              <w:rPr>
                <w:rFonts w:cs="Arial"/>
                <w:kern w:val="2"/>
                <w:lang w:val="en-US"/>
              </w:rPr>
            </w:pPr>
            <w:r>
              <w:rPr>
                <w:rFonts w:cs="Arial"/>
                <w:kern w:val="2"/>
                <w:lang w:val="en-US"/>
              </w:rPr>
              <w:t>SNR (dB)</w:t>
            </w:r>
          </w:p>
        </w:tc>
        <w:tc>
          <w:tcPr>
            <w:tcW w:w="469" w:type="pct"/>
            <w:vMerge w:val="continue"/>
            <w:tcBorders>
              <w:left w:val="single" w:color="auto" w:sz="4" w:space="0"/>
              <w:bottom w:val="single" w:color="auto" w:sz="4" w:space="0"/>
              <w:right w:val="single" w:color="auto" w:sz="4" w:space="0"/>
            </w:tcBorders>
          </w:tcPr>
          <w:p>
            <w:pPr>
              <w:pStyle w:val="104"/>
              <w:rPr>
                <w:rFonts w:cs="Arial"/>
                <w:kern w:val="2"/>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eastAsia="ja-JP"/>
              </w:rPr>
            </w:pPr>
            <w:r>
              <w:rPr>
                <w:rFonts w:cs="Arial"/>
                <w:kern w:val="2"/>
                <w:lang w:val="en-US"/>
              </w:rPr>
              <w:t>1.4MHz 16QAM 1/2</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R.1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NTN-TDLC5-30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[10.4]+TT</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2</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1/3</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R.2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NTN-TDLA100-200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[-4.4]+TT</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45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3</w:t>
            </w:r>
          </w:p>
        </w:tc>
        <w:tc>
          <w:tcPr>
            <w:tcW w:w="590"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1.4MHz QPSK 1/</w:t>
            </w:r>
            <w:r>
              <w:rPr>
                <w:rFonts w:cs="Arial"/>
                <w:kern w:val="2"/>
                <w:lang w:val="en-US" w:eastAsia="ja-JP"/>
              </w:rPr>
              <w:t>10</w:t>
            </w:r>
          </w:p>
        </w:tc>
        <w:tc>
          <w:tcPr>
            <w:tcW w:w="564"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R.3 FDD</w:t>
            </w:r>
          </w:p>
        </w:tc>
        <w:tc>
          <w:tcPr>
            <w:tcW w:w="48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OP.1 FDD</w:t>
            </w:r>
          </w:p>
        </w:tc>
        <w:tc>
          <w:tcPr>
            <w:tcW w:w="658"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NTN-TDLA100-10</w:t>
            </w:r>
          </w:p>
        </w:tc>
        <w:tc>
          <w:tcPr>
            <w:tcW w:w="725"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1x1</w:t>
            </w:r>
          </w:p>
        </w:tc>
        <w:tc>
          <w:tcPr>
            <w:tcW w:w="637"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70</w:t>
            </w:r>
          </w:p>
        </w:tc>
        <w:tc>
          <w:tcPr>
            <w:tcW w:w="416"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kern w:val="2"/>
                <w:lang w:val="en-US"/>
              </w:rPr>
              <w:t>[-12.6]+TT</w:t>
            </w:r>
          </w:p>
        </w:tc>
        <w:tc>
          <w:tcPr>
            <w:tcW w:w="469" w:type="pct"/>
            <w:tcBorders>
              <w:top w:val="single" w:color="auto" w:sz="4" w:space="0"/>
              <w:left w:val="single" w:color="auto" w:sz="4" w:space="0"/>
              <w:bottom w:val="single" w:color="auto" w:sz="4" w:space="0"/>
              <w:right w:val="single" w:color="auto" w:sz="4" w:space="0"/>
            </w:tcBorders>
          </w:tcPr>
          <w:p>
            <w:pPr>
              <w:pStyle w:val="105"/>
              <w:rPr>
                <w:rFonts w:cs="Arial"/>
                <w:kern w:val="2"/>
                <w:lang w:val="en-US"/>
              </w:rPr>
            </w:pPr>
            <w:r>
              <w:rPr>
                <w:rFonts w:cs="Arial"/>
                <w:lang w:val="en-US" w:eastAsia="ja-JP"/>
              </w:rPr>
              <w:t>M1</w:t>
            </w:r>
          </w:p>
        </w:tc>
      </w:tr>
    </w:tbl>
    <w:p/>
    <w:p>
      <w:pPr>
        <w:pStyle w:val="4"/>
      </w:pPr>
      <w:bookmarkStart w:id="971" w:name="_Toc4910"/>
      <w:r>
        <w:t>8.3</w:t>
      </w:r>
      <w:r>
        <w:tab/>
      </w:r>
      <w:r>
        <w:t>Demodulation for IOT NTN UE category</w:t>
      </w:r>
      <w:r>
        <w:rPr>
          <w:rFonts w:eastAsiaTheme="minorEastAsia"/>
        </w:rPr>
        <w:t xml:space="preserve"> NB1 and NB2</w:t>
      </w:r>
      <w:bookmarkEnd w:id="971"/>
    </w:p>
    <w:p>
      <w:pPr>
        <w:pStyle w:val="5"/>
        <w:rPr>
          <w:rFonts w:cs="Arial"/>
          <w:szCs w:val="28"/>
        </w:rPr>
      </w:pPr>
      <w:bookmarkStart w:id="972" w:name="_Toc15160"/>
      <w:r>
        <w:rPr>
          <w:rFonts w:cs="Arial"/>
          <w:szCs w:val="28"/>
        </w:rPr>
        <w:t>8.3.1</w:t>
      </w:r>
      <w:r>
        <w:rPr>
          <w:rFonts w:cs="Arial"/>
          <w:szCs w:val="28"/>
        </w:rPr>
        <w:tab/>
      </w:r>
      <w:r>
        <w:rPr>
          <w:rFonts w:cs="Arial"/>
          <w:szCs w:val="28"/>
        </w:rPr>
        <w:t>Half-duplex FDD</w:t>
      </w:r>
      <w:bookmarkEnd w:id="972"/>
    </w:p>
    <w:p>
      <w:pPr>
        <w:pStyle w:val="6"/>
      </w:pPr>
      <w:bookmarkStart w:id="973" w:name="_Toc9820"/>
      <w:r>
        <w:t>8.3.1.1</w:t>
      </w:r>
      <w:r>
        <w:tab/>
      </w:r>
      <w:r>
        <w:t>NPDSCH</w:t>
      </w:r>
      <w:bookmarkEnd w:id="973"/>
    </w:p>
    <w:p>
      <w:pPr>
        <w:rPr>
          <w:lang w:eastAsia="en-GB"/>
        </w:rPr>
      </w:pPr>
      <w:r>
        <w:rPr>
          <w:lang w:eastAsia="en-GB"/>
        </w:rPr>
        <w:t xml:space="preserve">The parameters specified in Table 8.3.1.1-1 and Table 8.3.1.1-2 are valid for all </w:t>
      </w:r>
      <w:r>
        <w:t>half-duplex FDD</w:t>
      </w:r>
      <w:r>
        <w:rPr>
          <w:lang w:eastAsia="en-GB"/>
        </w:rPr>
        <w:t xml:space="preserve"> tests unless otherwise stated. </w:t>
      </w:r>
    </w:p>
    <w:p>
      <w:pPr>
        <w:keepNext/>
        <w:keepLines/>
        <w:spacing w:before="60"/>
        <w:jc w:val="center"/>
        <w:rPr>
          <w:rFonts w:ascii="Arial" w:hAnsi="Arial"/>
          <w:b/>
        </w:rPr>
      </w:pPr>
      <w:r>
        <w:rPr>
          <w:rFonts w:ascii="Arial" w:hAnsi="Arial"/>
          <w:b/>
          <w:lang w:eastAsia="en-GB"/>
        </w:rPr>
        <w:t>Table 8.3.1.1-1: Common Test Parameters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29"/>
        <w:gridCol w:w="1430"/>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43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hint="eastAsia" w:ascii="Arial" w:hAnsi="Arial" w:cs="Arial"/>
                <w:b/>
                <w:kern w:val="2"/>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cs="Arial"/>
                <w:kern w:val="2"/>
                <w:sz w:val="18"/>
                <w:lang w:eastAsia="ja-JP"/>
              </w:rPr>
              <w:t>Number of HARQ processes per component carrier</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kern w:val="2"/>
                <w:sz w:val="18"/>
                <w:lang w:eastAsia="ja-JP"/>
              </w:rPr>
            </w:pPr>
            <w:r>
              <w:rPr>
                <w:rFonts w:ascii="Arial" w:hAnsi="Arial" w:eastAsia="?? ??"/>
                <w:sz w:val="18"/>
              </w:rPr>
              <w:t>Processes</w:t>
            </w: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0"/>
                <w:sz w:val="18"/>
                <w:lang w:eastAsia="ja-JP"/>
              </w:rPr>
            </w:pPr>
            <w:r>
              <w:rPr>
                <w:rFonts w:ascii="Arial" w:hAnsi="Arial" w:cs="Arial"/>
                <w:kern w:val="2"/>
                <w:sz w:val="18"/>
                <w:lang w:eastAsia="ja-JP"/>
              </w:rPr>
              <w:t>Maximum number of HARQ transmission</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Cyclic Prefix</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rPr>
              <w:t>eutraControlRegionSize</w:t>
            </w:r>
            <w:r>
              <w:rPr>
                <w:rFonts w:hint="eastAsia" w:ascii="Arial" w:hAnsi="Arial" w:cs="Arial"/>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sz w:val="18"/>
                <w:lang w:eastAsia="ja-JP"/>
              </w:rPr>
              <w:t>downlinkBitmap</w:t>
            </w:r>
            <w:r>
              <w:rPr>
                <w:rFonts w:hint="eastAsia" w:ascii="Arial" w:hAnsi="Arial"/>
                <w:sz w:val="18"/>
              </w:rPr>
              <w:t xml:space="preserve">-r13 and </w:t>
            </w:r>
            <w:r>
              <w:rPr>
                <w:rFonts w:ascii="Arial" w:hAnsi="Arial"/>
                <w:sz w:val="18"/>
                <w:lang w:eastAsia="ja-JP"/>
              </w:rPr>
              <w:t>dl-Gap</w:t>
            </w:r>
            <w:r>
              <w:rPr>
                <w:rFonts w:hint="eastAsia" w:ascii="Arial" w:hAnsi="Arial"/>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lang w:eastAsia="ja-JP"/>
              </w:rPr>
              <w:t>dl-GapNonAnchor</w:t>
            </w:r>
            <w:r>
              <w:rPr>
                <w:rFonts w:hint="eastAsia" w:ascii="Arial" w:hAnsi="Arial" w:cs="Arial"/>
                <w:kern w:val="2"/>
                <w:sz w:val="18"/>
              </w:rPr>
              <w:t>-r13 and</w:t>
            </w:r>
          </w:p>
          <w:p>
            <w:pPr>
              <w:keepNext/>
              <w:keepLines/>
              <w:spacing w:after="0"/>
              <w:jc w:val="center"/>
              <w:rPr>
                <w:rFonts w:ascii="Arial" w:hAnsi="Arial" w:cs="Arial"/>
                <w:kern w:val="2"/>
                <w:sz w:val="18"/>
                <w:lang w:eastAsia="ja-JP"/>
              </w:rPr>
            </w:pPr>
            <w:r>
              <w:rPr>
                <w:rFonts w:ascii="Arial" w:hAnsi="Arial" w:cs="Arial"/>
                <w:kern w:val="2"/>
                <w:sz w:val="18"/>
                <w:lang w:eastAsia="ja-JP"/>
              </w:rPr>
              <w:t>downlinkBitmapNonAnchor</w:t>
            </w:r>
            <w:r>
              <w:rPr>
                <w:rFonts w:hint="eastAsia" w:ascii="Arial" w:hAnsi="Arial" w:cs="Arial"/>
                <w:kern w:val="2"/>
                <w:sz w:val="18"/>
              </w:rPr>
              <w:t>-r13</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Tahoma"/>
                <w:sz w:val="18"/>
                <w:szCs w:val="16"/>
              </w:rPr>
            </w:pPr>
            <w:r>
              <w:rPr>
                <w:rFonts w:hint="eastAsia" w:ascii="Arial" w:hAnsi="Arial" w:cs="Tahoma"/>
                <w:sz w:val="18"/>
                <w:szCs w:val="16"/>
              </w:rPr>
              <w:t>Unused REs or RB</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OCNG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429"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Tahoma"/>
                <w:sz w:val="18"/>
                <w:szCs w:val="16"/>
              </w:rPr>
            </w:pPr>
            <w:r>
              <w:rPr>
                <w:rFonts w:hint="eastAsia" w:ascii="Arial" w:hAnsi="Arial" w:cs="Tahoma"/>
                <w:sz w:val="18"/>
                <w:szCs w:val="16"/>
              </w:rPr>
              <w:t>OCNG pattern</w:t>
            </w:r>
          </w:p>
          <w:p>
            <w:pPr>
              <w:keepNext/>
              <w:keepLines/>
              <w:spacing w:after="0"/>
              <w:jc w:val="center"/>
              <w:rPr>
                <w:rFonts w:ascii="Arial" w:hAnsi="Arial" w:cs="Tahoma"/>
                <w:sz w:val="18"/>
                <w:szCs w:val="16"/>
              </w:rPr>
            </w:pPr>
            <w:r>
              <w:rPr>
                <w:rFonts w:hint="eastAsia" w:ascii="Arial" w:hAnsi="Arial" w:cs="Tahoma"/>
                <w:sz w:val="18"/>
                <w:szCs w:val="16"/>
              </w:rPr>
              <w:t>(Note 1)</w:t>
            </w:r>
          </w:p>
        </w:tc>
        <w:tc>
          <w:tcPr>
            <w:tcW w:w="143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NB.OP.1</w:t>
            </w:r>
          </w:p>
        </w:tc>
      </w:tr>
    </w:tbl>
    <w:p/>
    <w:p>
      <w:pPr>
        <w:keepNext/>
        <w:keepLines/>
        <w:spacing w:before="60"/>
        <w:jc w:val="center"/>
        <w:rPr>
          <w:rFonts w:ascii="Arial" w:hAnsi="Arial"/>
          <w:b/>
        </w:rPr>
      </w:pPr>
      <w:r>
        <w:rPr>
          <w:rFonts w:ascii="Arial" w:hAnsi="Arial"/>
          <w:b/>
          <w:lang w:eastAsia="en-GB"/>
        </w:rPr>
        <w:t>Table 8.3.1.1-2: Test Parameters</w:t>
      </w:r>
      <w:r>
        <w:rPr>
          <w:rFonts w:hint="eastAsia" w:ascii="Arial" w:hAnsi="Arial"/>
          <w:b/>
        </w:rPr>
        <w:t xml:space="preserve"> of related NPDCCH and NPUSCH format 2 </w:t>
      </w:r>
      <w:r>
        <w:rPr>
          <w:rFonts w:ascii="Arial" w:hAnsi="Arial"/>
          <w:b/>
        </w:rPr>
        <w:t>configurations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hint="eastAsia" w:ascii="Arial" w:hAnsi="Arial" w:cs="Arial"/>
                <w:b/>
                <w:kern w:val="2"/>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hint="eastAsia" w:ascii="Arial" w:hAnsi="Arial" w:cs="Arial"/>
                <w:kern w:val="2"/>
                <w:sz w:val="18"/>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DCI format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rPr>
              <w:t>scheduling delay field</w:t>
            </w:r>
            <w:r>
              <w:rPr>
                <w:rFonts w:hint="eastAsia" w:ascii="Arial" w:hAnsi="Arial" w:cs="Arial"/>
                <w:sz w:val="18"/>
              </w:rPr>
              <w:t xml:space="preserve"> (</w:t>
            </w:r>
            <w:r>
              <w:rPr>
                <w:rFonts w:ascii="Arial" w:hAnsi="Arial" w:cs="Arial"/>
                <w:b/>
                <w:position w:val="-14"/>
                <w:sz w:val="18"/>
              </w:rPr>
              <w:object>
                <v:shape id="_x0000_i1079" o:spt="75" type="#_x0000_t75" style="height:21.25pt;width:28.9pt;" o:ole="t" filled="f" o:preferrelative="t" stroked="f" coordsize="21600,21600">
                  <v:path/>
                  <v:fill on="f" focussize="0,0"/>
                  <v:stroke on="f" joinstyle="miter"/>
                  <v:imagedata r:id="rId106" o:title=""/>
                  <o:lock v:ext="edit" aspectratio="t"/>
                  <w10:wrap type="none"/>
                  <w10:anchorlock/>
                </v:shape>
                <o:OLEObject Type="Embed" ProgID="Equation.3" ShapeID="_x0000_i1079" DrawAspect="Content" ObjectID="_1468075779" r:id="rId105">
                  <o:LockedField>false</o:LockedField>
                </o:OLEObject>
              </w:objec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p>
            <w:pPr>
              <w:keepNext/>
              <w:keepLines/>
              <w:spacing w:after="0"/>
              <w:jc w:val="center"/>
              <w:rPr>
                <w:rFonts w:ascii="Arial" w:hAnsi="Arial" w:cs="Arial"/>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b/>
                <w:position w:val="-14"/>
                <w:sz w:val="18"/>
              </w:rPr>
              <w:object>
                <v:shape id="_x0000_i1080" o:spt="75" type="#_x0000_t75" style="height:21.25pt;width:21.25pt;" o:ole="t" filled="f" o:preferrelative="t" stroked="f" coordsize="21600,21600">
                  <v:path/>
                  <v:fill on="f" focussize="0,0"/>
                  <v:stroke on="f" joinstyle="miter"/>
                  <v:imagedata r:id="rId108" o:title=""/>
                  <o:lock v:ext="edit" aspectratio="t"/>
                  <w10:wrap type="none"/>
                  <w10:anchorlock/>
                </v:shape>
                <o:OLEObject Type="Embed" ProgID="Equation.DSMT4" ShapeID="_x0000_i1080" DrawAspect="Content" ObjectID="_1468075780" r:id="rId107">
                  <o:LockedField>false</o:LockedField>
                </o:OLEObject>
              </w:object>
            </w:r>
            <w:r>
              <w:rPr>
                <w:rFonts w:hint="eastAsia" w:ascii="Arial" w:hAnsi="Arial" w:cs="Arial"/>
                <w:b/>
                <w:sz w:val="18"/>
              </w:rPr>
              <w:t>(</w:t>
            </w:r>
            <w:r>
              <w:rPr>
                <w:rFonts w:ascii="Arial" w:hAnsi="Arial" w:cs="Arial"/>
                <w:i/>
                <w:sz w:val="18"/>
              </w:rPr>
              <w:t>ack-NACK-NumRepetitions</w:t>
            </w:r>
            <w:r>
              <w:rPr>
                <w:rFonts w:hint="eastAsia" w:ascii="Arial" w:hAnsi="Arial" w:cs="Arial"/>
                <w:i/>
                <w:sz w:val="18"/>
              </w:rPr>
              <w:t>-r13</w: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i/>
                <w:sz w:val="18"/>
              </w:rPr>
            </w:pPr>
            <w:r>
              <w:rPr>
                <w:rFonts w:ascii="Arial" w:hAnsi="Arial" w:cs="Arial"/>
                <w:sz w:val="18"/>
              </w:rP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hint="eastAsia" w:ascii="Arial" w:hAnsi="Arial" w:cs="Arial"/>
                <w:sz w:val="18"/>
              </w:rPr>
              <w:t>Reference channel for NPDCCH</w:t>
            </w:r>
          </w:p>
          <w:p>
            <w:pPr>
              <w:keepNext/>
              <w:keepLines/>
              <w:spacing w:after="0"/>
              <w:jc w:val="center"/>
              <w:rPr>
                <w:rFonts w:ascii="Arial" w:hAnsi="Arial" w:cs="Arial"/>
                <w:sz w:val="18"/>
                <w:lang w:eastAsia="zh-TW"/>
              </w:rPr>
            </w:pPr>
            <w:r>
              <w:rPr>
                <w:rFonts w:hint="eastAsia" w:ascii="Arial" w:hAnsi="Arial" w:cs="Arial"/>
                <w:sz w:val="18"/>
                <w:lang w:eastAsia="zh-TW"/>
              </w:rPr>
              <w:t>(</w:t>
            </w:r>
            <w:r>
              <w:rPr>
                <w:rFonts w:ascii="Arial" w:hAnsi="Arial" w:cs="Arial"/>
                <w:sz w:val="18"/>
                <w:lang w:eastAsia="zh-TW"/>
              </w:rPr>
              <w:t>Note 1)</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R.NB.3</w:t>
            </w:r>
            <w:r>
              <w:rPr>
                <w:rFonts w:hint="eastAsia" w:ascii="Arial" w:hAnsi="Arial" w:cs="Arial"/>
                <w:kern w:val="2"/>
                <w:sz w:val="18"/>
              </w:rPr>
              <w:t xml:space="preserve"> </w:t>
            </w:r>
            <w:r>
              <w:rPr>
                <w:rFonts w:ascii="Arial" w:hAnsi="Arial" w:cs="Arial"/>
                <w:kern w:val="2"/>
                <w:sz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b/>
                <w:position w:val="-14"/>
                <w:sz w:val="18"/>
                <w:lang w:eastAsia="en-GB"/>
              </w:rPr>
              <w:object>
                <v:shape id="_x0000_i1081" o:spt="75" type="#_x0000_t75" style="height:13.65pt;width:21.25pt;" o:ole="t" filled="f" o:preferrelative="t" stroked="f" coordsize="21600,21600">
                  <v:path/>
                  <v:fill on="f" focussize="0,0"/>
                  <v:stroke on="f" joinstyle="miter"/>
                  <v:imagedata r:id="rId110" o:title=""/>
                  <o:lock v:ext="edit" aspectratio="t"/>
                  <w10:wrap type="none"/>
                  <w10:anchorlock/>
                </v:shape>
                <o:OLEObject Type="Embed" ProgID="Equation.3" ShapeID="_x0000_i1081" DrawAspect="Content" ObjectID="_1468075781" r:id="rId109">
                  <o:LockedField>false</o:LockedField>
                </o:OLEObject>
              </w:object>
            </w:r>
            <w:r>
              <w:rPr>
                <w:rFonts w:hint="eastAsia" w:ascii="Arial" w:hAnsi="Arial"/>
                <w:sz w:val="18"/>
              </w:rPr>
              <w:t>(</w:t>
            </w:r>
            <w:r>
              <w:rPr>
                <w:rFonts w:ascii="Arial" w:hAnsi="Arial" w:cs="Arial"/>
                <w:i/>
                <w:sz w:val="18"/>
              </w:rPr>
              <w:t>npdcch-Offset-USS-r13</w:t>
            </w:r>
            <w:r>
              <w:rPr>
                <w:rFonts w:hint="eastAsia" w:ascii="Arial" w:hAnsi="Arial" w:cs="Arial"/>
                <w:sz w:val="18"/>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sz w:val="18"/>
                <w:lang w:eastAsia="zh-TW"/>
              </w:rPr>
            </w:pPr>
            <w:r>
              <w:rPr>
                <w:rFonts w:hint="eastAsia" w:ascii="Arial" w:hAnsi="Arial"/>
                <w:bCs/>
                <w:sz w:val="18"/>
                <w:lang w:eastAsia="zh-TW"/>
              </w:rPr>
              <w:t>K</w:t>
            </w:r>
            <w:r>
              <w:rPr>
                <w:rFonts w:ascii="Arial" w:hAnsi="Arial"/>
                <w:bCs/>
                <w:sz w:val="18"/>
                <w:lang w:eastAsia="zh-TW"/>
              </w:rPr>
              <w:t>_offset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TW"/>
              </w:rPr>
            </w:pPr>
            <w:r>
              <w:rPr>
                <w:rFonts w:ascii="Arial" w:hAnsi="Arial" w:cs="Arial"/>
                <w:kern w:val="2"/>
                <w:sz w:val="18"/>
                <w:lang w:eastAsia="zh-TW"/>
              </w:rPr>
              <w:t>ms</w:t>
            </w: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TW"/>
              </w:rPr>
            </w:pPr>
            <w:r>
              <w:rPr>
                <w:rFonts w:ascii="Arial" w:hAnsi="Arial" w:cs="Arial"/>
                <w:kern w:val="2"/>
                <w:sz w:val="18"/>
                <w:lang w:eastAsia="zh-TW"/>
              </w:rPr>
              <w:t>8</w:t>
            </w:r>
          </w:p>
        </w:tc>
      </w:tr>
    </w:tbl>
    <w:p>
      <w:pPr>
        <w:rPr>
          <w:rFonts w:ascii="Arial" w:hAnsi="Arial" w:cs="Arial"/>
          <w:sz w:val="24"/>
          <w:szCs w:val="24"/>
        </w:rPr>
      </w:pPr>
    </w:p>
    <w:p>
      <w:pPr>
        <w:pStyle w:val="7"/>
        <w:rPr>
          <w:rFonts w:cs="Arial"/>
          <w:szCs w:val="22"/>
        </w:rPr>
      </w:pPr>
      <w:bookmarkStart w:id="974" w:name="_Toc18524"/>
      <w:r>
        <w:rPr>
          <w:snapToGrid w:val="0"/>
          <w:lang w:val="en-US"/>
        </w:rPr>
        <w:t>8.3.1.1.1</w:t>
      </w:r>
      <w:r>
        <w:rPr>
          <w:snapToGrid w:val="0"/>
          <w:lang w:val="en-US"/>
        </w:rPr>
        <w:tab/>
      </w:r>
      <w:r>
        <w:rPr>
          <w:snapToGrid w:val="0"/>
          <w:lang w:val="en-US"/>
        </w:rPr>
        <w:t>Demodulation of NPDSCH (Cell-Specific Reference Symbols) in standalone mode for category NB1 and NB2 under NTN fading conditions</w:t>
      </w:r>
      <w:bookmarkEnd w:id="974"/>
    </w:p>
    <w:p>
      <w:pPr>
        <w:pStyle w:val="112"/>
      </w:pPr>
      <w:r>
        <w:t>Editor’s Note: This clause is incomplete. The following aspects are either missing or not yet determined:</w:t>
      </w:r>
    </w:p>
    <w:p>
      <w:pPr>
        <w:pStyle w:val="112"/>
      </w:pPr>
      <w:r>
        <w:t>- Addition to applicability spec is pending</w:t>
      </w:r>
    </w:p>
    <w:p>
      <w:pPr>
        <w:pStyle w:val="112"/>
        <w:rPr>
          <w:rFonts w:eastAsiaTheme="minorEastAsia"/>
        </w:rPr>
      </w:pPr>
      <w:r>
        <w:t>- Initial condition and call setup procedure to support satellite access are TBD</w:t>
      </w:r>
    </w:p>
    <w:p>
      <w:pPr>
        <w:pStyle w:val="112"/>
      </w:pPr>
      <w:r>
        <w:t>- MU/TT is TBD</w:t>
      </w:r>
    </w:p>
    <w:p>
      <w:pPr>
        <w:pStyle w:val="112"/>
      </w:pPr>
      <w:r>
        <w:rPr>
          <w:rFonts w:hint="eastAsia"/>
        </w:rPr>
        <w:t>-</w:t>
      </w:r>
      <w:r>
        <w:t xml:space="preserve"> [] still existed in 8.3.1.1.1.5</w:t>
      </w:r>
    </w:p>
    <w:p>
      <w:pPr>
        <w:pStyle w:val="9"/>
        <w:rPr>
          <w:snapToGrid w:val="0"/>
          <w:kern w:val="2"/>
        </w:rPr>
      </w:pPr>
      <w:r>
        <w:rPr>
          <w:snapToGrid w:val="0"/>
          <w:kern w:val="2"/>
        </w:rPr>
        <w:t>8.3.1.1.1.1</w:t>
      </w:r>
      <w:r>
        <w:rPr>
          <w:snapToGrid w:val="0"/>
          <w:kern w:val="2"/>
        </w:rPr>
        <w:tab/>
      </w:r>
      <w:r>
        <w:rPr>
          <w:snapToGrid w:val="0"/>
          <w:kern w:val="2"/>
        </w:rP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pPr>
      <w:r>
        <w:rPr>
          <w:snapToGrid w:val="0"/>
          <w:kern w:val="2"/>
        </w:rPr>
        <w:t>8.3.1.1.1.2</w:t>
      </w:r>
      <w:r>
        <w:rPr>
          <w:snapToGrid w:val="0"/>
          <w:kern w:val="2"/>
        </w:rPr>
        <w:tab/>
      </w:r>
      <w:r>
        <w:rPr>
          <w:snapToGrid w:val="0"/>
          <w:kern w:val="2"/>
        </w:rPr>
        <w:t>Test applicability</w:t>
      </w:r>
    </w:p>
    <w:p>
      <w:r>
        <w:t xml:space="preserve">This test applies to all types of NB-IoT FDD UE release 17 and forward of category NB1 </w:t>
      </w:r>
      <w:r>
        <w:rPr>
          <w:rFonts w:hint="eastAsia"/>
        </w:rPr>
        <w:t>and</w:t>
      </w:r>
      <w:r>
        <w:t xml:space="preserve">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pPr>
        <w:rPr>
          <w:lang w:eastAsia="en-GB"/>
        </w:rPr>
      </w:pPr>
      <w:r>
        <w:rPr>
          <w:lang w:eastAsia="en-GB"/>
        </w:rPr>
        <w:t>The requirements are specified in Table 8.3.1.</w:t>
      </w:r>
      <w:r>
        <w:rPr>
          <w:rFonts w:hint="eastAsia"/>
        </w:rPr>
        <w:t>1.</w:t>
      </w:r>
      <w:r>
        <w:t>1.3</w:t>
      </w:r>
      <w:r>
        <w:rPr>
          <w:lang w:eastAsia="en-GB"/>
        </w:rPr>
        <w:t>-2, with the addition of the parameters in Table 8.3.1.</w:t>
      </w:r>
      <w:r>
        <w:rPr>
          <w:rFonts w:hint="eastAsia"/>
        </w:rPr>
        <w:t>1.</w:t>
      </w:r>
      <w:r>
        <w:t>1.3</w:t>
      </w:r>
      <w:r>
        <w:rPr>
          <w:lang w:eastAsia="en-GB"/>
        </w:rPr>
        <w:t>-1 and the downlink physical channel setup according to Annex C.3.2. The purpose of these tests is to verify the performance.</w:t>
      </w:r>
    </w:p>
    <w:p>
      <w:pPr>
        <w:keepNext/>
        <w:keepLines/>
        <w:spacing w:before="60"/>
        <w:jc w:val="center"/>
        <w:rPr>
          <w:rFonts w:ascii="Arial" w:hAnsi="Arial"/>
          <w:b/>
        </w:rPr>
      </w:pPr>
      <w:r>
        <w:rPr>
          <w:rFonts w:ascii="Arial" w:hAnsi="Arial"/>
          <w:b/>
          <w:lang w:eastAsia="en-GB"/>
        </w:rPr>
        <w:t>Table 8.3.1</w:t>
      </w:r>
      <w:r>
        <w:rPr>
          <w:rFonts w:hint="eastAsia" w:ascii="Arial" w:hAnsi="Arial"/>
          <w:b/>
        </w:rPr>
        <w:t>.1.</w:t>
      </w:r>
      <w:r>
        <w:rPr>
          <w:rFonts w:ascii="Arial" w:hAnsi="Arial"/>
          <w:b/>
        </w:rPr>
        <w:t>1.3</w:t>
      </w:r>
      <w:r>
        <w:rPr>
          <w:rFonts w:ascii="Arial" w:hAnsi="Arial"/>
          <w:b/>
          <w:lang w:eastAsia="en-GB"/>
        </w:rPr>
        <w:t xml:space="preserve">-1: Test Parameters for </w:t>
      </w:r>
      <w:r>
        <w:rPr>
          <w:rFonts w:hint="eastAsia" w:ascii="Arial" w:hAnsi="Arial"/>
          <w:b/>
        </w:rPr>
        <w:t>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Test 1</w:t>
            </w:r>
            <w:r>
              <w:rPr>
                <w:rFonts w:hint="eastAsia" w:ascii="Arial" w:hAnsi="Arial" w:cs="Arial"/>
                <w:b/>
                <w:kern w:val="2"/>
                <w:sz w:val="18"/>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keepNext/>
              <w:keepLines/>
              <w:spacing w:after="0"/>
              <w:jc w:val="center"/>
              <w:rPr>
                <w:rFonts w:ascii="Arial" w:hAnsi="Arial" w:cs="Arial"/>
                <w:kern w:val="2"/>
                <w:position w:val="-12"/>
                <w:sz w:val="18"/>
              </w:rPr>
            </w:pPr>
            <w:r>
              <w:rPr>
                <w:rFonts w:ascii="Arial" w:hAnsi="Arial" w:cs="Arial"/>
                <w:kern w:val="2"/>
                <w:position w:val="-12"/>
                <w:sz w:val="18"/>
                <w:lang w:eastAsia="ja-JP"/>
              </w:rPr>
              <w:drawing>
                <wp:inline distT="0" distB="0" distL="0" distR="0">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Pr>
                <w:rFonts w:ascii="Arial" w:hAnsi="Arial" w:cs="Arial"/>
                <w:kern w:val="2"/>
                <w:sz w:val="18"/>
                <w:lang w:eastAsia="ja-JP"/>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position w:val="-10"/>
                <w:sz w:val="18"/>
                <w:lang w:eastAsia="ja-JP"/>
              </w:rPr>
              <w:drawing>
                <wp:inline distT="0" distB="0" distL="0" distR="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dBm/15kHz</w:t>
            </w:r>
          </w:p>
        </w:tc>
        <w:tc>
          <w:tcPr>
            <w:tcW w:w="1858" w:type="dxa"/>
            <w:tcBorders>
              <w:top w:val="single" w:color="auto" w:sz="4" w:space="0"/>
              <w:left w:val="single" w:color="auto" w:sz="4" w:space="0"/>
              <w:right w:val="single" w:color="auto" w:sz="4" w:space="0"/>
            </w:tcBorders>
            <w:vAlign w:val="center"/>
          </w:tcPr>
          <w:p>
            <w:pPr>
              <w:keepNext/>
              <w:keepLines/>
              <w:spacing w:after="0"/>
              <w:jc w:val="center"/>
              <w:rPr>
                <w:rFonts w:ascii="Arial" w:hAnsi="Arial" w:cs="v5.0.0"/>
                <w:kern w:val="2"/>
                <w:sz w:val="18"/>
              </w:rPr>
            </w:pPr>
            <w:r>
              <w:rPr>
                <w:rFonts w:ascii="Arial" w:hAnsi="Arial" w:eastAsia="?? ??" w:cs="v5.0.0"/>
                <w:kern w:val="2"/>
                <w:sz w:val="18"/>
                <w:lang w:eastAsia="ja-JP"/>
              </w:rPr>
              <w:t>-9</w:t>
            </w:r>
            <w:r>
              <w:rPr>
                <w:rFonts w:hint="eastAsia" w:ascii="Arial" w:hAnsi="Arial" w:cs="v5.0.0"/>
                <w:kern w:val="2"/>
                <w:sz w:val="18"/>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lang w:eastAsia="ja-JP"/>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rPr>
            </w:pPr>
            <w:r>
              <w:rPr>
                <w:rFonts w:ascii="Arial" w:hAnsi="Arial" w:cs="Arial"/>
                <w:position w:val="-10"/>
                <w:sz w:val="18"/>
                <w:lang w:eastAsia="ja-JP"/>
              </w:rPr>
              <w:drawing>
                <wp:inline distT="0" distB="0" distL="0" distR="0">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eastAsia="?? ??" w:cs="Arial"/>
                <w:kern w:val="2"/>
                <w:sz w:val="18"/>
                <w:lang w:eastAsia="ja-JP"/>
              </w:rPr>
              <w:t>dBm/15kHz</w:t>
            </w:r>
          </w:p>
        </w:tc>
        <w:tc>
          <w:tcPr>
            <w:tcW w:w="1858"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v5.0.0"/>
                <w:kern w:val="2"/>
                <w:sz w:val="18"/>
                <w:lang w:eastAsia="ja-JP"/>
              </w:rPr>
            </w:pPr>
            <w:r>
              <w:rPr>
                <w:rFonts w:ascii="Arial" w:hAnsi="Arial" w:eastAsia="?? ??" w:cs="v5.0.0"/>
                <w:kern w:val="2"/>
                <w:sz w:val="18"/>
                <w:lang w:eastAsia="ja-JP"/>
              </w:rPr>
              <w:t>-9</w:t>
            </w:r>
            <w:r>
              <w:rPr>
                <w:rFonts w:hint="eastAsia" w:ascii="Arial" w:hAnsi="Arial" w:cs="v5.0.0"/>
                <w:kern w:val="2"/>
                <w:sz w:val="18"/>
              </w:rPr>
              <w:t>9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i/>
                <w:sz w:val="18"/>
                <w:lang w:eastAsia="en-GB"/>
              </w:rPr>
            </w:pPr>
            <w:r>
              <w:rPr>
                <w:rFonts w:hint="eastAsia" w:ascii="Arial" w:hAnsi="Arial" w:cs="Arial"/>
                <w:kern w:val="2"/>
                <w:sz w:val="18"/>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hint="eastAsia"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 xml:space="preserve">32 for Test 1; </w:t>
            </w:r>
            <w:r>
              <w:rPr>
                <w:rFonts w:ascii="Arial" w:hAnsi="Arial" w:cs="Arial"/>
                <w:kern w:val="2"/>
                <w:sz w:val="18"/>
              </w:rPr>
              <w:t>128</w:t>
            </w:r>
            <w:r>
              <w:rPr>
                <w:rFonts w:hint="eastAsia" w:ascii="Arial" w:hAnsi="Arial" w:cs="Arial"/>
                <w:kern w:val="2"/>
                <w:sz w:val="18"/>
              </w:rPr>
              <w:t xml:space="preserve">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position w:val="-12"/>
                <w:sz w:val="18"/>
                <w:lang w:eastAsia="ja-JP"/>
              </w:rPr>
              <w:object>
                <v:shape id="_x0000_i1082" o:spt="75" type="#_x0000_t75" style="height:21.25pt;width:21.25pt;" o:ole="t" filled="f" o:preferrelative="t" stroked="f" coordsize="21600,21600">
                  <v:path/>
                  <v:fill on="f" focussize="0,0"/>
                  <v:stroke on="f" joinstyle="miter"/>
                  <v:imagedata r:id="rId115" o:title=""/>
                  <o:lock v:ext="edit" aspectratio="t"/>
                  <w10:wrap type="none"/>
                  <w10:anchorlock/>
                </v:shape>
                <o:OLEObject Type="Embed" ProgID="Equation.DSMT4" ShapeID="_x0000_i1082" DrawAspect="Content" ObjectID="_1468075782" r:id="rId114">
                  <o:LockedField>false</o:LockedField>
                </o:OLEObject>
              </w:object>
            </w:r>
            <w:r>
              <w:rPr>
                <w:rFonts w:ascii="Arial" w:hAnsi="Arial"/>
                <w:b/>
                <w:sz w:val="18"/>
                <w:lang w:eastAsia="ja-JP"/>
              </w:rPr>
              <w:t xml:space="preserve"> </w:t>
            </w:r>
            <w:r>
              <w:rPr>
                <w:rFonts w:hint="eastAsia" w:ascii="Arial" w:hAnsi="Arial"/>
                <w:sz w:val="18"/>
              </w:rPr>
              <w:t>(</w:t>
            </w:r>
            <w:r>
              <w:rPr>
                <w:rFonts w:ascii="Arial" w:hAnsi="Arial"/>
                <w:i/>
                <w:sz w:val="18"/>
                <w:lang w:eastAsia="ja-JP"/>
              </w:rPr>
              <w:t>n</w:t>
            </w:r>
            <w:r>
              <w:rPr>
                <w:rFonts w:ascii="Arial" w:hAnsi="Arial"/>
                <w:i/>
                <w:sz w:val="18"/>
                <w:lang w:val="sv-SE" w:eastAsia="ja-JP"/>
              </w:rPr>
              <w:t>pdcch-NumRepetitions-r13</w:t>
            </w:r>
            <w:r>
              <w:rPr>
                <w:rFonts w:hint="eastAsia" w:ascii="Arial" w:hAnsi="Arial"/>
                <w:sz w:val="18"/>
                <w:lang w:val="sv-SE"/>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 xml:space="preserve">64 for Test 1; </w:t>
            </w:r>
            <w:r>
              <w:rPr>
                <w:rFonts w:ascii="Arial" w:hAnsi="Arial" w:cs="Arial"/>
                <w:kern w:val="2"/>
                <w:sz w:val="18"/>
              </w:rPr>
              <w:t>256</w:t>
            </w:r>
            <w:r>
              <w:rPr>
                <w:rFonts w:hint="eastAsia" w:ascii="Arial" w:hAnsi="Arial" w:cs="Arial"/>
                <w:kern w:val="2"/>
                <w:sz w:val="18"/>
              </w:rPr>
              <w:t xml:space="preserve">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ja-JP"/>
              </w:rPr>
            </w:pPr>
            <w:r>
              <w:rPr>
                <w:rFonts w:ascii="Arial" w:hAnsi="Arial"/>
                <w:position w:val="-6"/>
                <w:sz w:val="18"/>
                <w:lang w:eastAsia="en-GB"/>
              </w:rPr>
              <w:object>
                <v:shape id="_x0000_i1083" o:spt="75" type="#_x0000_t75" style="height:13.65pt;width:13.1pt;" o:ole="t" filled="f" o:preferrelative="t" stroked="f" coordsize="21600,21600">
                  <v:path/>
                  <v:fill on="f" focussize="0,0"/>
                  <v:stroke on="f" joinstyle="miter"/>
                  <v:imagedata r:id="rId117" o:title=""/>
                  <o:lock v:ext="edit" aspectratio="t"/>
                  <w10:wrap type="none"/>
                  <w10:anchorlock/>
                </v:shape>
                <o:OLEObject Type="Embed" ProgID="Equation.3" ShapeID="_x0000_i1083" DrawAspect="Content" ObjectID="_1468075783" r:id="rId116">
                  <o:LockedField>false</o:LockedField>
                </o:OLEObject>
              </w:object>
            </w:r>
            <w:r>
              <w:rPr>
                <w:rFonts w:hint="eastAsia" w:ascii="Arial" w:hAnsi="Arial"/>
                <w:sz w:val="18"/>
              </w:rPr>
              <w:t>(</w:t>
            </w:r>
            <w:r>
              <w:rPr>
                <w:rFonts w:ascii="Arial" w:hAnsi="Arial" w:cs="Arial"/>
                <w:i/>
                <w:sz w:val="18"/>
              </w:rPr>
              <w:t>nPDCCH-startSF-USS</w:t>
            </w:r>
            <w:r>
              <w:rPr>
                <w:rFonts w:hint="eastAsia" w:ascii="Arial" w:hAnsi="Arial" w:cs="Arial"/>
                <w:i/>
                <w:sz w:val="18"/>
              </w:rPr>
              <w:t>-r13</w:t>
            </w:r>
            <w:r>
              <w:rPr>
                <w:rFonts w:hint="eastAsia" w:ascii="Arial" w:hAnsi="Arial"/>
                <w:sz w:val="18"/>
                <w:lang w:val="sv-SE"/>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cs="Arial"/>
                <w:kern w:val="2"/>
                <w:sz w:val="18"/>
              </w:rPr>
            </w:pPr>
            <w:r>
              <w:rPr>
                <w:rFonts w:hint="eastAsia" w:ascii="Arial" w:hAnsi="Arial" w:cs="Arial"/>
                <w:kern w:val="2"/>
                <w:sz w:val="18"/>
              </w:rPr>
              <w:t>Note 1:</w:t>
            </w:r>
            <w:r>
              <w:rPr>
                <w:rFonts w:ascii="Arial" w:hAnsi="Arial" w:cs="Arial"/>
                <w:kern w:val="2"/>
                <w:sz w:val="18"/>
              </w:rPr>
              <w:tab/>
            </w:r>
            <w:r>
              <w:rPr>
                <w:rFonts w:hint="eastAsia" w:ascii="Arial" w:hAnsi="Arial" w:cs="Arial"/>
                <w:sz w:val="18"/>
              </w:rPr>
              <w:t xml:space="preserve">This noise is applied </w:t>
            </w:r>
            <w:r>
              <w:rPr>
                <w:rFonts w:ascii="Arial" w:hAnsi="Arial" w:cs="Arial"/>
                <w:sz w:val="18"/>
              </w:rPr>
              <w:t>to all subframes from the end of the NPDCCH</w:t>
            </w:r>
            <w:r>
              <w:rPr>
                <w:rFonts w:hint="eastAsia" w:ascii="Arial" w:hAnsi="Arial" w:cs="Arial"/>
                <w:sz w:val="18"/>
              </w:rPr>
              <w:t xml:space="preserve"> </w:t>
            </w:r>
            <w:r>
              <w:rPr>
                <w:rFonts w:ascii="Arial" w:hAnsi="Arial" w:cs="Arial"/>
                <w:sz w:val="18"/>
              </w:rPr>
              <w:t>to the end of the following</w:t>
            </w:r>
            <w:r>
              <w:rPr>
                <w:rFonts w:hint="eastAsia" w:ascii="Arial" w:hAnsi="Arial" w:cs="Arial"/>
                <w:sz w:val="18"/>
              </w:rPr>
              <w:t xml:space="preserve"> NPDSCH </w:t>
            </w:r>
            <w:r>
              <w:rPr>
                <w:rFonts w:ascii="Arial" w:hAnsi="Arial" w:cs="Arial"/>
                <w:sz w:val="18"/>
              </w:rPr>
              <w:t>transmission</w:t>
            </w:r>
            <w:r>
              <w:rPr>
                <w:rFonts w:ascii="Arial" w:hAnsi="Arial" w:cs="Arial"/>
                <w:kern w:val="2"/>
                <w:sz w:val="18"/>
              </w:rPr>
              <w:t>.</w:t>
            </w:r>
          </w:p>
          <w:p>
            <w:pPr>
              <w:keepNext/>
              <w:keepLines/>
              <w:spacing w:after="0"/>
              <w:ind w:left="851" w:hanging="851"/>
              <w:rPr>
                <w:rFonts w:ascii="Arial" w:hAnsi="Arial" w:cs="Arial"/>
                <w:kern w:val="2"/>
                <w:sz w:val="18"/>
              </w:rPr>
            </w:pPr>
            <w:r>
              <w:rPr>
                <w:rFonts w:hint="eastAsia" w:ascii="Arial" w:hAnsi="Arial"/>
                <w:sz w:val="18"/>
                <w:lang w:eastAsia="ja-JP"/>
              </w:rPr>
              <w:t xml:space="preserve">Note </w:t>
            </w:r>
            <w:r>
              <w:rPr>
                <w:rFonts w:ascii="Arial" w:hAnsi="Arial"/>
                <w:sz w:val="18"/>
                <w:lang w:eastAsia="ja-JP"/>
              </w:rPr>
              <w:t>2</w:t>
            </w:r>
            <w:r>
              <w:rPr>
                <w:rFonts w:hint="eastAsia" w:ascii="Arial" w:hAnsi="Arial"/>
                <w:sz w:val="18"/>
                <w:lang w:eastAsia="ja-JP"/>
              </w:rPr>
              <w:t>:</w:t>
            </w:r>
            <w:r>
              <w:rPr>
                <w:rFonts w:ascii="Arial" w:hAnsi="Arial" w:cs="Arial"/>
                <w:kern w:val="2"/>
                <w:sz w:val="18"/>
              </w:rPr>
              <w:tab/>
            </w:r>
            <w:r>
              <w:rPr>
                <w:rFonts w:hint="eastAsia" w:ascii="Arial" w:hAnsi="Arial"/>
                <w:sz w:val="18"/>
                <w:lang w:eastAsia="ja-JP"/>
              </w:rPr>
              <w:t xml:space="preserve">This noise is applied </w:t>
            </w:r>
            <w:r>
              <w:rPr>
                <w:rFonts w:ascii="Arial" w:hAnsi="Arial"/>
                <w:sz w:val="18"/>
                <w:lang w:eastAsia="ja-JP"/>
              </w:rPr>
              <w:t>to all subframes from the end of the NPDSCH to the end of the following</w:t>
            </w:r>
            <w:r>
              <w:rPr>
                <w:rFonts w:hint="eastAsia" w:ascii="Arial" w:hAnsi="Arial"/>
                <w:sz w:val="18"/>
                <w:lang w:eastAsia="ja-JP"/>
              </w:rPr>
              <w:t xml:space="preserve"> NPDCCH </w:t>
            </w:r>
            <w:r>
              <w:rPr>
                <w:rFonts w:ascii="Arial" w:hAnsi="Arial"/>
                <w:sz w:val="18"/>
                <w:lang w:eastAsia="ja-JP"/>
              </w:rPr>
              <w:t>transmission</w:t>
            </w:r>
            <w:r>
              <w:rPr>
                <w:rFonts w:hint="eastAsia" w:ascii="Arial" w:hAnsi="Arial"/>
                <w:sz w:val="18"/>
                <w:lang w:eastAsia="ja-JP"/>
              </w:rPr>
              <w:t>.</w:t>
            </w:r>
          </w:p>
        </w:tc>
      </w:tr>
    </w:tbl>
    <w:p/>
    <w:p>
      <w:pPr>
        <w:keepNext/>
        <w:keepLines/>
        <w:spacing w:before="60"/>
        <w:jc w:val="center"/>
        <w:rPr>
          <w:rFonts w:ascii="Arial" w:hAnsi="Arial"/>
          <w:b/>
        </w:rPr>
      </w:pPr>
      <w:r>
        <w:rPr>
          <w:rFonts w:ascii="Arial" w:hAnsi="Arial"/>
          <w:b/>
          <w:lang w:eastAsia="en-GB"/>
        </w:rPr>
        <w:t>Table 8.3.</w:t>
      </w:r>
      <w:r>
        <w:rPr>
          <w:rFonts w:hint="eastAsia" w:ascii="Arial" w:hAnsi="Arial"/>
          <w:b/>
        </w:rPr>
        <w:t>1</w:t>
      </w:r>
      <w:r>
        <w:rPr>
          <w:rFonts w:ascii="Arial" w:hAnsi="Arial"/>
          <w:b/>
          <w:lang w:eastAsia="en-GB"/>
        </w:rPr>
        <w:t>.1</w:t>
      </w:r>
      <w:r>
        <w:rPr>
          <w:rFonts w:hint="eastAsia" w:ascii="Arial" w:hAnsi="Arial"/>
          <w:b/>
        </w:rPr>
        <w:t>.</w:t>
      </w:r>
      <w:r>
        <w:rPr>
          <w:rFonts w:ascii="Arial" w:hAnsi="Arial"/>
          <w:b/>
        </w:rPr>
        <w:t>1.3</w:t>
      </w:r>
      <w:r>
        <w:rPr>
          <w:rFonts w:ascii="Arial" w:hAnsi="Arial"/>
          <w:b/>
          <w:lang w:eastAsia="en-GB"/>
        </w:rPr>
        <w:t xml:space="preserve">-2: Minimum performance </w:t>
      </w:r>
      <w:r>
        <w:rPr>
          <w:rFonts w:hint="eastAsia" w:ascii="Arial" w:hAnsi="Arial"/>
          <w:b/>
        </w:rPr>
        <w:t>for NPDSCH under Standalone with 1 NRS port</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4"/>
        <w:gridCol w:w="978"/>
        <w:gridCol w:w="706"/>
        <w:gridCol w:w="938"/>
        <w:gridCol w:w="945"/>
        <w:gridCol w:w="1087"/>
        <w:gridCol w:w="780"/>
        <w:gridCol w:w="1194"/>
        <w:gridCol w:w="1053"/>
        <w:gridCol w:w="548"/>
        <w:gridCol w:w="8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bookmarkStart w:id="975" w:name="_Hlk134259197"/>
            <w:r>
              <w:rPr>
                <w:rFonts w:ascii="Arial" w:hAnsi="Arial" w:cs="Arial"/>
                <w:b/>
                <w:kern w:val="2"/>
                <w:sz w:val="18"/>
                <w:lang w:eastAsia="ja-JP"/>
              </w:rPr>
              <w:t>Test number</w:t>
            </w:r>
          </w:p>
        </w:tc>
        <w:tc>
          <w:tcPr>
            <w:tcW w:w="49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357"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Carr</w:t>
            </w:r>
            <w:r>
              <w:rPr>
                <w:rFonts w:ascii="Arial" w:hAnsi="Arial" w:cs="Arial"/>
                <w:b/>
                <w:kern w:val="2"/>
                <w:sz w:val="18"/>
              </w:rPr>
              <w:t>i</w:t>
            </w:r>
            <w:r>
              <w:rPr>
                <w:rFonts w:hint="eastAsia" w:ascii="Arial" w:hAnsi="Arial" w:cs="Arial"/>
                <w:b/>
                <w:kern w:val="2"/>
                <w:sz w:val="18"/>
              </w:rPr>
              <w:t>er Type</w:t>
            </w:r>
          </w:p>
        </w:tc>
        <w:tc>
          <w:tcPr>
            <w:tcW w:w="4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Channel</w:t>
            </w:r>
          </w:p>
        </w:tc>
        <w:tc>
          <w:tcPr>
            <w:tcW w:w="477"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Repetition number</w:t>
            </w:r>
          </w:p>
        </w:tc>
        <w:tc>
          <w:tcPr>
            <w:tcW w:w="54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Propagation condition</w:t>
            </w:r>
          </w:p>
        </w:tc>
        <w:tc>
          <w:tcPr>
            <w:tcW w:w="395"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Number of NRS ports</w:t>
            </w:r>
          </w:p>
        </w:tc>
        <w:tc>
          <w:tcPr>
            <w:tcW w:w="54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sz w:val="18"/>
                <w:lang w:eastAsia="en-GB"/>
              </w:rPr>
              <w:t>Antenna Configuration</w:t>
            </w:r>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value</w:t>
            </w:r>
          </w:p>
        </w:tc>
        <w:tc>
          <w:tcPr>
            <w:tcW w:w="436"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lang w:eastAsia="ja-JP"/>
              </w:rPr>
            </w:pPr>
            <w:r>
              <w:rPr>
                <w:rFonts w:hint="eastAsia"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9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57"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7"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4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95"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4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Fraction of Maximum</w:t>
            </w:r>
          </w:p>
          <w:p>
            <w:pPr>
              <w:keepNext/>
              <w:keepLines/>
              <w:spacing w:after="0"/>
              <w:jc w:val="center"/>
              <w:rPr>
                <w:rFonts w:ascii="Arial" w:hAnsi="Arial" w:cs="Arial"/>
                <w:b/>
                <w:kern w:val="2"/>
                <w:sz w:val="18"/>
                <w:lang w:eastAsia="ja-JP"/>
              </w:rPr>
            </w:pPr>
            <w:r>
              <w:rPr>
                <w:rFonts w:ascii="Arial" w:hAnsi="Arial" w:cs="Arial"/>
                <w:b/>
                <w:kern w:val="2"/>
                <w:sz w:val="18"/>
                <w:lang w:eastAsia="ja-JP"/>
              </w:rPr>
              <w:t>Throughput (%)</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SNR (dB)</w:t>
            </w:r>
          </w:p>
        </w:tc>
        <w:tc>
          <w:tcPr>
            <w:tcW w:w="436"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Anchor</w:t>
            </w:r>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R.NB.1</w:t>
            </w:r>
            <w:r>
              <w:rPr>
                <w:rFonts w:ascii="Arial" w:hAnsi="Arial" w:cs="Arial"/>
                <w:kern w:val="2"/>
                <w:sz w:val="18"/>
                <w:lang w:eastAsia="ja-JP"/>
              </w:rPr>
              <w:t xml:space="preserve"> FDD</w:t>
            </w:r>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32</w:t>
            </w:r>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NTN-TDLC5-200</w:t>
            </w:r>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[-4.8]</w:t>
            </w:r>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w:t>
            </w:r>
            <w:r>
              <w:rPr>
                <w:rFonts w:hint="eastAsia" w:ascii="Arial" w:hAnsi="Arial" w:cs="Arial"/>
                <w:kern w:val="2"/>
                <w:sz w:val="18"/>
              </w:rPr>
              <w:t>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w:t>
            </w:r>
          </w:p>
        </w:tc>
        <w:tc>
          <w:tcPr>
            <w:tcW w:w="49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Non-anchor</w:t>
            </w:r>
          </w:p>
        </w:tc>
        <w:tc>
          <w:tcPr>
            <w:tcW w:w="4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R.NB.2</w:t>
            </w:r>
            <w:r>
              <w:rPr>
                <w:rFonts w:ascii="Arial" w:hAnsi="Arial" w:cs="Arial"/>
                <w:kern w:val="2"/>
                <w:sz w:val="18"/>
                <w:lang w:eastAsia="ja-JP"/>
              </w:rPr>
              <w:t xml:space="preserve"> FDD</w:t>
            </w:r>
          </w:p>
        </w:tc>
        <w:tc>
          <w:tcPr>
            <w:tcW w:w="47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128</w:t>
            </w:r>
          </w:p>
        </w:tc>
        <w:tc>
          <w:tcPr>
            <w:tcW w:w="54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NTN-TDLA100-10</w:t>
            </w:r>
          </w:p>
        </w:tc>
        <w:tc>
          <w:tcPr>
            <w:tcW w:w="39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54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8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0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[-10.8]</w:t>
            </w:r>
          </w:p>
        </w:tc>
        <w:tc>
          <w:tcPr>
            <w:tcW w:w="43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NB1, NB2</w:t>
            </w:r>
          </w:p>
        </w:tc>
      </w:tr>
      <w:bookmarkEnd w:id="975"/>
    </w:tbl>
    <w:p>
      <w:pPr>
        <w:rPr>
          <w:lang w:val="en-US"/>
        </w:rPr>
      </w:pPr>
    </w:p>
    <w:p>
      <w:pPr>
        <w:rPr>
          <w:lang w:eastAsia="zh-TW"/>
        </w:rPr>
      </w:pPr>
      <w:r>
        <w:t>The normative reference for this requirement is TS 36.102[11] clause 8.3.1.1.1.1</w:t>
      </w:r>
      <w:r>
        <w:rPr>
          <w:lang w:eastAsia="zh-TW"/>
        </w:rPr>
        <w:t>.</w:t>
      </w:r>
    </w:p>
    <w:p>
      <w:pPr>
        <w:pStyle w:val="9"/>
        <w:rPr>
          <w:snapToGrid w:val="0"/>
          <w:kern w:val="2"/>
        </w:rPr>
      </w:pPr>
      <w:r>
        <w:rPr>
          <w:snapToGrid w:val="0"/>
          <w:kern w:val="2"/>
        </w:rPr>
        <w:t>8.3.1.1.1.4</w:t>
      </w:r>
      <w:r>
        <w:rPr>
          <w:snapToGrid w:val="0"/>
          <w:kern w:val="2"/>
        </w:rPr>
        <w:tab/>
      </w:r>
      <w:r>
        <w:rPr>
          <w:snapToGrid w:val="0"/>
          <w:kern w:val="2"/>
        </w:rPr>
        <w:t>Test description</w:t>
      </w:r>
    </w:p>
    <w:p>
      <w:pPr>
        <w:pStyle w:val="9"/>
        <w:rPr>
          <w:snapToGrid w:val="0"/>
          <w:kern w:val="2"/>
        </w:rPr>
      </w:pPr>
      <w:r>
        <w:rPr>
          <w:snapToGrid w:val="0"/>
          <w:kern w:val="2"/>
        </w:rPr>
        <w:t>8.3.1.1.1.4.1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8.3.1.1.1.3-2.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1.</w:t>
      </w:r>
      <w:r>
        <w:rPr>
          <w:rStyle w:val="91"/>
          <w:rFonts w:eastAsia="Malgun Gothic"/>
        </w:rPr>
        <w:tab/>
      </w:r>
      <w:r>
        <w:rPr>
          <w:rStyle w:val="91"/>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2.</w:t>
      </w:r>
      <w:r>
        <w:rPr>
          <w:rStyle w:val="91"/>
          <w:rFonts w:eastAsia="Malgun Gothic"/>
        </w:rPr>
        <w:tab/>
      </w:r>
      <w:r>
        <w:rPr>
          <w:rStyle w:val="91"/>
          <w:rFonts w:eastAsia="Malgun Gothic"/>
        </w:rPr>
        <w:t>The parameter settings for the cell are set up according to Tables 8.3.1.1-1 and 8.3.1.1.1.3-1 as appropriate.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3.</w:t>
      </w:r>
      <w:r>
        <w:rPr>
          <w:rStyle w:val="91"/>
          <w:rFonts w:eastAsia="Malgun Gothic"/>
        </w:rPr>
        <w:tab/>
      </w:r>
      <w:r>
        <w:rPr>
          <w:rStyle w:val="91"/>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4.</w:t>
      </w:r>
      <w:r>
        <w:rPr>
          <w:rStyle w:val="91"/>
          <w:rFonts w:eastAsia="Malgun Gothic"/>
        </w:rPr>
        <w:tab/>
      </w:r>
      <w:r>
        <w:rPr>
          <w:rStyle w:val="91"/>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5.</w:t>
      </w:r>
      <w:r>
        <w:rPr>
          <w:rStyle w:val="91"/>
          <w:rFonts w:eastAsia="Malgun Gothic"/>
        </w:rPr>
        <w:tab/>
      </w:r>
      <w:r>
        <w:rPr>
          <w:rStyle w:val="91"/>
          <w:rFonts w:eastAsia="Malgun Gothic"/>
        </w:rPr>
        <w:t>Ensure the UE is in State 2A-NB with CP CIoT Optimisation according to TS 36.508 [7] clause 8.1.5. Message contents are defined in clause 8.3.1.1.1.4.2.</w:t>
      </w:r>
    </w:p>
    <w:p>
      <w:pPr>
        <w:pStyle w:val="9"/>
      </w:pPr>
      <w:r>
        <w:rPr>
          <w:snapToGrid w:val="0"/>
          <w:kern w:val="2"/>
        </w:rPr>
        <w:t>8.3.1.1.1.</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1.</w:t>
      </w:r>
      <w:r>
        <w:rPr>
          <w:rStyle w:val="91"/>
          <w:rFonts w:eastAsia="Malgun Gothic"/>
        </w:rPr>
        <w:tab/>
      </w:r>
      <w:r>
        <w:rPr>
          <w:rStyle w:val="91"/>
          <w:rFonts w:eastAsia="Malgun Gothic"/>
        </w:rPr>
        <w:t>SS transmits NPDSCH via NPDCCH DCI format N1 for C_RNTI to transmit the DL RMC according to Tables 8.3.1.1.1.3-1 and 8.3.1.1.1.3-2.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2.</w:t>
      </w:r>
      <w:r>
        <w:rPr>
          <w:rStyle w:val="91"/>
          <w:rFonts w:eastAsia="Malgun Gothic"/>
        </w:rPr>
        <w:tab/>
      </w:r>
      <w:r>
        <w:rPr>
          <w:rStyle w:val="91"/>
          <w:rFonts w:eastAsia="Malgun Gothic"/>
        </w:rPr>
        <w:t>Set the parameters of the bandwidth, MCS, reference channel, the propagation condition, the correlation matrix, antenna configuration and the SNR according to Table 8.3.1.1.1.5-1 as appropriate.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3.</w:t>
      </w:r>
      <w:r>
        <w:rPr>
          <w:rStyle w:val="91"/>
          <w:rFonts w:eastAsia="Malgun Gothic"/>
        </w:rPr>
        <w:tab/>
      </w:r>
      <w:r>
        <w:rPr>
          <w:rStyle w:val="91"/>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4.</w:t>
      </w:r>
      <w:r>
        <w:rPr>
          <w:rStyle w:val="91"/>
          <w:rFonts w:eastAsia="Malgun Gothic"/>
        </w:rPr>
        <w:tab/>
      </w:r>
      <w:r>
        <w:rPr>
          <w:rStyle w:val="91"/>
          <w:rFonts w:eastAsia="Malgun Gothic"/>
        </w:rPr>
        <w:t>Repeat steps from 1 to 3 for each test interval in Tables 8.3.1.1.1.5-1 as appropriate.</w:t>
      </w:r>
    </w:p>
    <w:p>
      <w:pPr>
        <w:pStyle w:val="9"/>
      </w:pPr>
      <w:r>
        <w:rPr>
          <w:snapToGrid w:val="0"/>
          <w:kern w:val="2"/>
        </w:rPr>
        <w:t>8.3.1.1.1.</w:t>
      </w:r>
      <w:r>
        <w:rPr>
          <w:snapToGrid w:val="0"/>
          <w:kern w:val="2"/>
          <w:lang w:eastAsia="zh-TW"/>
        </w:rPr>
        <w:t>4.</w:t>
      </w:r>
      <w:r>
        <w:rPr>
          <w:lang w:eastAsia="zh-TW"/>
        </w:rPr>
        <w:t>3</w:t>
      </w:r>
      <w:r>
        <w:tab/>
      </w:r>
      <w:r>
        <w:t>Message contents</w:t>
      </w:r>
    </w:p>
    <w:p>
      <w:r>
        <w:t>Message contents are according to TS 36.508 [7] subclause 8.1.5B and 8.1.6 with the following exceptions:</w:t>
      </w:r>
    </w:p>
    <w:p>
      <w:pPr>
        <w:pStyle w:val="113"/>
      </w:pPr>
      <w:r>
        <w:t xml:space="preserve">Table 8.3.1.1.1.4.3-1: Configure Non-anchor carrier in subtest 2 </w:t>
      </w:r>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shd w:val="clear" w:color="auto" w:fill="auto"/>
          </w:tcPr>
          <w:p>
            <w:pPr>
              <w:pStyle w:val="103"/>
              <w:keepNext w:val="0"/>
              <w:keepLines w:val="0"/>
            </w:pPr>
            <w:r>
              <w:t>PhysicalConfigDedicated-NB-DEFAULT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carrierConfigDedicated-NB-r13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r>
              <w:t>Non-anchor carrier</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dl-CarrierConfig-r13::=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dl-CarrierFreq-r13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downlinkBitmapNonAnchor-r13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dl-GapNonAnchor-r13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ul-CarrierConfig-r13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ul-CarrierFreq-r13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npdcch-ConfigDedicated-r13</w:t>
            </w:r>
          </w:p>
        </w:tc>
        <w:tc>
          <w:tcPr>
            <w:tcW w:w="2267" w:type="dxa"/>
            <w:shd w:val="clear" w:color="auto" w:fill="auto"/>
          </w:tcPr>
          <w:p>
            <w:pPr>
              <w:pStyle w:val="103"/>
              <w:keepNext w:val="0"/>
              <w:keepLines w:val="0"/>
            </w:pPr>
            <w:r>
              <w:t>NPDCCH-ConfigDedicated-NB-DEFAULT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npusch-ConfigDedicated-r13</w:t>
            </w:r>
          </w:p>
        </w:tc>
        <w:tc>
          <w:tcPr>
            <w:tcW w:w="2267" w:type="dxa"/>
            <w:tcBorders>
              <w:bottom w:val="single" w:color="000000" w:sz="4" w:space="0"/>
            </w:tcBorders>
            <w:shd w:val="clear" w:color="auto" w:fill="auto"/>
          </w:tcPr>
          <w:p>
            <w:pPr>
              <w:pStyle w:val="103"/>
              <w:keepNext w:val="0"/>
              <w:keepLines w:val="0"/>
            </w:pPr>
            <w:r>
              <w:t>NPUSCH-ConfigDedicated-NB-DEFAULT</w:t>
            </w:r>
          </w:p>
        </w:tc>
        <w:tc>
          <w:tcPr>
            <w:tcW w:w="1811" w:type="dxa"/>
            <w:tcBorders>
              <w:bottom w:val="single" w:color="000000" w:sz="4" w:space="0"/>
            </w:tcBorders>
            <w:shd w:val="clear" w:color="auto" w:fill="auto"/>
          </w:tcPr>
          <w:p>
            <w:pPr>
              <w:pStyle w:val="103"/>
              <w:keepNext w:val="0"/>
              <w:keepLines w:val="0"/>
            </w:pPr>
            <w:r>
              <w:t>See subclause 8.1.6.3 in 36.508</w:t>
            </w:r>
          </w:p>
        </w:tc>
        <w:tc>
          <w:tcPr>
            <w:tcW w:w="1134" w:type="dxa"/>
            <w:tcBorders>
              <w:bottom w:val="single" w:color="000000"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uplinkPowerControlDedicated-r13</w:t>
            </w:r>
          </w:p>
        </w:tc>
        <w:tc>
          <w:tcPr>
            <w:tcW w:w="2267" w:type="dxa"/>
            <w:shd w:val="clear" w:color="auto" w:fill="auto"/>
          </w:tcPr>
          <w:p>
            <w:pPr>
              <w:pStyle w:val="103"/>
              <w:keepNext w:val="0"/>
              <w:keepLines w:val="0"/>
            </w:pPr>
            <w:r>
              <w:t>UplinkPowerControlDedicated-NB-DEFAULT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18"/>
              <w:keepNext w:val="0"/>
              <w:keepLines w:val="0"/>
            </w:pPr>
            <w:r>
              <w:t>Note 1: The frequency of Non-anchor carrier is located at 200KHz higher from the centre of the anchor carrier.</w:t>
            </w:r>
          </w:p>
        </w:tc>
      </w:tr>
    </w:tbl>
    <w:p/>
    <w:p>
      <w:pPr>
        <w:pStyle w:val="113"/>
      </w:pPr>
      <w:r>
        <w:t>Table 8.3.1.1.1.4.3-2: NPDCCH-ConfigDedicated-NB-DEFAULT</w:t>
      </w:r>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r64 for Test 1; r256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V1.5</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bottom w:val="single" w:color="auto" w:sz="4" w:space="0"/>
            </w:tcBorders>
            <w:shd w:val="clear" w:color="auto" w:fill="auto"/>
          </w:tcPr>
          <w:p>
            <w:pPr>
              <w:pStyle w:val="103"/>
              <w:keepNext w:val="0"/>
              <w:keepLines w:val="0"/>
            </w:pPr>
            <w:r>
              <w:t xml:space="preserve">  npdcch-Offset-USS-r13</w:t>
            </w:r>
          </w:p>
        </w:tc>
        <w:tc>
          <w:tcPr>
            <w:tcW w:w="2267" w:type="dxa"/>
            <w:tcBorders>
              <w:bottom w:val="single" w:color="auto" w:sz="4" w:space="0"/>
            </w:tcBorders>
            <w:shd w:val="clear" w:color="auto" w:fill="auto"/>
          </w:tcPr>
          <w:p>
            <w:pPr>
              <w:pStyle w:val="103"/>
              <w:keepNext w:val="0"/>
              <w:keepLines w:val="0"/>
            </w:pPr>
            <w:r>
              <w:t>zero</w:t>
            </w:r>
          </w:p>
        </w:tc>
        <w:tc>
          <w:tcPr>
            <w:tcW w:w="1811" w:type="dxa"/>
            <w:tcBorders>
              <w:bottom w:val="single" w:color="auto" w:sz="4" w:space="0"/>
            </w:tcBorders>
            <w:shd w:val="clear" w:color="auto" w:fill="auto"/>
          </w:tcPr>
          <w:p>
            <w:pPr>
              <w:pStyle w:val="103"/>
              <w:keepNext w:val="0"/>
              <w:keepLines w:val="0"/>
            </w:pPr>
          </w:p>
        </w:tc>
        <w:tc>
          <w:tcPr>
            <w:tcW w:w="1134" w:type="dxa"/>
            <w:tcBorders>
              <w:bottom w:val="single" w:color="auto"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113"/>
      </w:pPr>
      <w:r>
        <w:t>Table 8.3.1.1.1.4.3-3: NPUSCH-ConfigDedicated-NB-DEFAULT</w:t>
      </w:r>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keepNext w:val="0"/>
              <w:keepLines w:val="0"/>
            </w:pPr>
            <w:r>
              <w:t xml:space="preserve">Derivation Path: 36.508 Table 8.1.6.3-7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shd w:val="clear" w:color="auto" w:fill="auto"/>
          </w:tcPr>
          <w:p>
            <w:pPr>
              <w:pStyle w:val="103"/>
              <w:keepNext w:val="0"/>
              <w:keepLines w:val="0"/>
            </w:pPr>
            <w:r>
              <w:t>NPUSCH-ConfigDedicated-NB-DEFAULT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ack-NACK-NumRepetitions-r13</w:t>
            </w:r>
          </w:p>
        </w:tc>
        <w:tc>
          <w:tcPr>
            <w:tcW w:w="2267" w:type="dxa"/>
            <w:shd w:val="clear" w:color="auto" w:fill="auto"/>
          </w:tcPr>
          <w:p>
            <w:pPr>
              <w:pStyle w:val="103"/>
              <w:keepNext w:val="0"/>
              <w:keepLines w:val="0"/>
            </w:pPr>
            <w:r>
              <w:t>R1</w:t>
            </w:r>
          </w:p>
        </w:tc>
        <w:tc>
          <w:tcPr>
            <w:tcW w:w="1811" w:type="dxa"/>
            <w:shd w:val="clear" w:color="auto" w:fill="auto"/>
          </w:tcPr>
          <w:p>
            <w:pPr>
              <w:pStyle w:val="103"/>
              <w:keepNext w:val="0"/>
              <w:keepLines w:val="0"/>
            </w:pPr>
            <w:r>
              <w:t>Default</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w:t>
            </w:r>
            <w:r>
              <w:rPr>
                <w:rFonts w:cs="Arial"/>
                <w:szCs w:val="16"/>
              </w:rPr>
              <w:t>npusch-AllSymbols-r13</w:t>
            </w:r>
          </w:p>
        </w:tc>
        <w:tc>
          <w:tcPr>
            <w:tcW w:w="2267" w:type="dxa"/>
            <w:shd w:val="clear" w:color="auto" w:fill="auto"/>
          </w:tcPr>
          <w:p>
            <w:pPr>
              <w:pStyle w:val="103"/>
              <w:keepNext w:val="0"/>
              <w:keepLines w:val="0"/>
            </w:pPr>
            <w:r>
              <w:t>TRUE</w:t>
            </w:r>
          </w:p>
        </w:tc>
        <w:tc>
          <w:tcPr>
            <w:tcW w:w="1811" w:type="dxa"/>
            <w:shd w:val="clear" w:color="auto" w:fill="auto"/>
          </w:tcPr>
          <w:p>
            <w:pPr>
              <w:pStyle w:val="103"/>
              <w:keepNext w:val="0"/>
              <w:keepLines w:val="0"/>
            </w:pPr>
            <w:r>
              <w:t>Default</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auto" w:sz="4" w:space="0"/>
            </w:tcBorders>
            <w:shd w:val="clear" w:color="auto" w:fill="auto"/>
          </w:tcPr>
          <w:p>
            <w:pPr>
              <w:pStyle w:val="103"/>
              <w:keepNext w:val="0"/>
              <w:keepLines w:val="0"/>
            </w:pPr>
            <w:r>
              <w:t xml:space="preserve">  groupHoppingDisabled-r13</w:t>
            </w:r>
            <w:r>
              <w:tab/>
            </w:r>
          </w:p>
        </w:tc>
        <w:tc>
          <w:tcPr>
            <w:tcW w:w="2267" w:type="dxa"/>
            <w:tcBorders>
              <w:bottom w:val="single" w:color="auto" w:sz="4" w:space="0"/>
            </w:tcBorders>
            <w:shd w:val="clear" w:color="auto" w:fill="auto"/>
          </w:tcPr>
          <w:p>
            <w:pPr>
              <w:pStyle w:val="103"/>
              <w:keepNext w:val="0"/>
              <w:keepLines w:val="0"/>
            </w:pPr>
            <w:r>
              <w:t>Not present</w:t>
            </w:r>
          </w:p>
        </w:tc>
        <w:tc>
          <w:tcPr>
            <w:tcW w:w="1811" w:type="dxa"/>
            <w:tcBorders>
              <w:bottom w:val="single" w:color="auto" w:sz="4" w:space="0"/>
            </w:tcBorders>
            <w:shd w:val="clear" w:color="auto" w:fill="auto"/>
          </w:tcPr>
          <w:p>
            <w:pPr>
              <w:pStyle w:val="103"/>
              <w:keepNext w:val="0"/>
              <w:keepLines w:val="0"/>
            </w:pPr>
            <w:r>
              <w:t>Default</w:t>
            </w:r>
          </w:p>
        </w:tc>
        <w:tc>
          <w:tcPr>
            <w:tcW w:w="1134" w:type="dxa"/>
            <w:tcBorders>
              <w:bottom w:val="single" w:color="auto"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8.3.1.1.1.5</w:t>
      </w:r>
      <w:r>
        <w:rPr>
          <w:snapToGrid w:val="0"/>
          <w:kern w:val="2"/>
        </w:rPr>
        <w:tab/>
      </w:r>
      <w:r>
        <w:rPr>
          <w:snapToGrid w:val="0"/>
          <w:kern w:val="2"/>
        </w:rPr>
        <w:t>Test requirement</w:t>
      </w:r>
    </w:p>
    <w:p>
      <w:r>
        <w:t>Table 8.3.1.1.1</w:t>
      </w:r>
      <w:r>
        <w:rPr>
          <w:lang w:eastAsia="zh-TW"/>
        </w:rPr>
        <w:t>.3</w:t>
      </w:r>
      <w:r>
        <w:t>-1 defines the primary level settings.</w:t>
      </w:r>
    </w:p>
    <w:p>
      <w:pPr>
        <w:rPr>
          <w:lang w:eastAsia="zh-TW"/>
        </w:rPr>
      </w:pPr>
      <w:r>
        <w:t xml:space="preserve">The fraction of maximum throughput percentage for the downlink reference measurement channels specified in </w:t>
      </w:r>
      <w:r>
        <w:rPr>
          <w:rFonts w:hint="eastAsia"/>
        </w:rPr>
        <w:t>TS</w:t>
      </w:r>
      <w:r>
        <w:t xml:space="preserve"> 36.102[11] Annex A clause A.1.1.1</w:t>
      </w:r>
      <w:r>
        <w:tab/>
      </w:r>
      <w:r>
        <w:t>for each throughput test shall meet or exceed the specified value in Table 8.3.1.1.1.</w:t>
      </w:r>
      <w:r>
        <w:rPr>
          <w:lang w:eastAsia="zh-TW"/>
        </w:rPr>
        <w:t>5</w:t>
      </w:r>
      <w:r>
        <w:t>-</w:t>
      </w:r>
      <w:r>
        <w:rPr>
          <w:lang w:eastAsia="zh-TW"/>
        </w:rPr>
        <w:t>1</w:t>
      </w:r>
      <w:r>
        <w:t xml:space="preserve"> for the specified SNR including test tolerances for all throughput tests.</w:t>
      </w:r>
    </w:p>
    <w:p>
      <w:pPr>
        <w:pStyle w:val="113"/>
      </w:pPr>
      <w:r>
        <w:t>Table 8.3.1.1.1.</w:t>
      </w:r>
      <w:r>
        <w:rPr>
          <w:lang w:eastAsia="zh-TW"/>
        </w:rPr>
        <w:t>5</w:t>
      </w:r>
      <w:r>
        <w:t>-</w:t>
      </w:r>
      <w:r>
        <w:rPr>
          <w:lang w:eastAsia="zh-TW"/>
        </w:rPr>
        <w:t>1</w:t>
      </w:r>
      <w:r>
        <w:t>: Test requirements under standalone with 1 NRS ports</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4"/>
        <w:gridCol w:w="978"/>
        <w:gridCol w:w="706"/>
        <w:gridCol w:w="938"/>
        <w:gridCol w:w="945"/>
        <w:gridCol w:w="1087"/>
        <w:gridCol w:w="780"/>
        <w:gridCol w:w="1194"/>
        <w:gridCol w:w="1053"/>
        <w:gridCol w:w="548"/>
        <w:gridCol w:w="8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Test number</w:t>
            </w:r>
          </w:p>
        </w:tc>
        <w:tc>
          <w:tcPr>
            <w:tcW w:w="4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35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Carr</w:t>
            </w:r>
            <w:r>
              <w:rPr>
                <w:rFonts w:ascii="Arial" w:hAnsi="Arial" w:cs="Arial"/>
                <w:b/>
                <w:kern w:val="2"/>
                <w:sz w:val="18"/>
              </w:rPr>
              <w:t>i</w:t>
            </w:r>
            <w:r>
              <w:rPr>
                <w:rFonts w:hint="eastAsia" w:ascii="Arial" w:hAnsi="Arial" w:cs="Arial"/>
                <w:b/>
                <w:kern w:val="2"/>
                <w:sz w:val="18"/>
              </w:rPr>
              <w:t>er Type</w:t>
            </w:r>
          </w:p>
        </w:tc>
        <w:tc>
          <w:tcPr>
            <w:tcW w:w="47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Channel</w:t>
            </w:r>
          </w:p>
        </w:tc>
        <w:tc>
          <w:tcPr>
            <w:tcW w:w="479"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Repetition number</w:t>
            </w:r>
          </w:p>
        </w:tc>
        <w:tc>
          <w:tcPr>
            <w:tcW w:w="550"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Propagation condition</w:t>
            </w:r>
          </w:p>
        </w:tc>
        <w:tc>
          <w:tcPr>
            <w:tcW w:w="396"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hint="eastAsia" w:ascii="Arial" w:hAnsi="Arial" w:cs="Arial"/>
                <w:b/>
                <w:kern w:val="2"/>
                <w:sz w:val="18"/>
              </w:rPr>
              <w:t>Number of NRS ports</w:t>
            </w:r>
          </w:p>
        </w:tc>
        <w:tc>
          <w:tcPr>
            <w:tcW w:w="60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sz w:val="18"/>
                <w:lang w:eastAsia="en-GB"/>
              </w:rPr>
              <w:t>Antenna Configuration</w:t>
            </w:r>
          </w:p>
        </w:tc>
        <w:tc>
          <w:tcPr>
            <w:tcW w:w="886"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Reference value</w:t>
            </w:r>
          </w:p>
        </w:tc>
        <w:tc>
          <w:tcPr>
            <w:tcW w:w="365"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lang w:eastAsia="ja-JP"/>
              </w:rPr>
            </w:pPr>
            <w:r>
              <w:rPr>
                <w:rFonts w:hint="eastAsia"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5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479"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50"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396"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60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Fraction of Maximum</w:t>
            </w:r>
          </w:p>
          <w:p>
            <w:pPr>
              <w:keepNext/>
              <w:keepLines/>
              <w:spacing w:after="0"/>
              <w:jc w:val="center"/>
              <w:rPr>
                <w:rFonts w:ascii="Arial" w:hAnsi="Arial" w:cs="Arial"/>
                <w:b/>
                <w:kern w:val="2"/>
                <w:sz w:val="18"/>
                <w:lang w:eastAsia="ja-JP"/>
              </w:rPr>
            </w:pPr>
            <w:r>
              <w:rPr>
                <w:rFonts w:ascii="Arial" w:hAnsi="Arial" w:cs="Arial"/>
                <w:b/>
                <w:kern w:val="2"/>
                <w:sz w:val="18"/>
                <w:lang w:eastAsia="ja-JP"/>
              </w:rPr>
              <w:t>Throughput (%)</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lang w:eastAsia="ja-JP"/>
              </w:rPr>
            </w:pPr>
            <w:r>
              <w:rPr>
                <w:rFonts w:ascii="Arial" w:hAnsi="Arial" w:cs="Arial"/>
                <w:b/>
                <w:kern w:val="2"/>
                <w:sz w:val="18"/>
                <w:lang w:eastAsia="ja-JP"/>
              </w:rPr>
              <w:t>SNR (dB)</w:t>
            </w:r>
          </w:p>
        </w:tc>
        <w:tc>
          <w:tcPr>
            <w:tcW w:w="365"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Anchor</w:t>
            </w:r>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R.NB.1</w:t>
            </w:r>
            <w:r>
              <w:rPr>
                <w:rFonts w:ascii="Arial" w:hAnsi="Arial" w:cs="Arial"/>
                <w:kern w:val="2"/>
                <w:sz w:val="18"/>
                <w:lang w:eastAsia="ja-JP"/>
              </w:rPr>
              <w:t xml:space="preserve"> FDD</w:t>
            </w:r>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32</w:t>
            </w:r>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NTN-TDLC5-200</w:t>
            </w:r>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[-4.8] +TT</w:t>
            </w:r>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w:t>
            </w:r>
            <w:r>
              <w:rPr>
                <w:rFonts w:hint="eastAsia" w:ascii="Arial" w:hAnsi="Arial" w:cs="Arial"/>
                <w:kern w:val="2"/>
                <w:sz w:val="18"/>
              </w:rPr>
              <w:t>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8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w:t>
            </w:r>
          </w:p>
        </w:tc>
        <w:tc>
          <w:tcPr>
            <w:tcW w:w="4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200</w:t>
            </w:r>
            <w:r>
              <w:rPr>
                <w:rFonts w:ascii="Arial" w:hAnsi="Arial" w:cs="Arial"/>
                <w:kern w:val="2"/>
                <w:sz w:val="18"/>
              </w:rPr>
              <w:t>kHz</w:t>
            </w:r>
          </w:p>
        </w:tc>
        <w:tc>
          <w:tcPr>
            <w:tcW w:w="35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Non-anchor</w:t>
            </w:r>
          </w:p>
        </w:tc>
        <w:tc>
          <w:tcPr>
            <w:tcW w:w="47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sz w:val="18"/>
              </w:rPr>
              <w:t>R.NB.2</w:t>
            </w:r>
            <w:r>
              <w:rPr>
                <w:rFonts w:ascii="Arial" w:hAnsi="Arial" w:cs="Arial"/>
                <w:kern w:val="2"/>
                <w:sz w:val="18"/>
                <w:lang w:eastAsia="ja-JP"/>
              </w:rPr>
              <w:t xml:space="preserve"> FDD</w:t>
            </w:r>
          </w:p>
        </w:tc>
        <w:tc>
          <w:tcPr>
            <w:tcW w:w="47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128</w:t>
            </w:r>
          </w:p>
        </w:tc>
        <w:tc>
          <w:tcPr>
            <w:tcW w:w="550"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NTN-TDLA100-10</w:t>
            </w:r>
          </w:p>
        </w:tc>
        <w:tc>
          <w:tcPr>
            <w:tcW w:w="396"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1</w:t>
            </w:r>
          </w:p>
        </w:tc>
        <w:tc>
          <w:tcPr>
            <w:tcW w:w="60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hint="eastAsia" w:ascii="Arial" w:hAnsi="Arial" w:cs="Arial"/>
                <w:kern w:val="2"/>
                <w:sz w:val="18"/>
              </w:rPr>
              <w:t>1x1</w:t>
            </w:r>
          </w:p>
        </w:tc>
        <w:tc>
          <w:tcPr>
            <w:tcW w:w="53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lang w:eastAsia="ja-JP"/>
              </w:rPr>
              <w:t>70%</w:t>
            </w:r>
          </w:p>
        </w:tc>
        <w:tc>
          <w:tcPr>
            <w:tcW w:w="35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ja-JP"/>
              </w:rPr>
            </w:pPr>
            <w:r>
              <w:rPr>
                <w:rFonts w:ascii="Arial" w:hAnsi="Arial" w:cs="Arial"/>
                <w:kern w:val="2"/>
                <w:sz w:val="18"/>
              </w:rPr>
              <w:t>[-10.8] +TT</w:t>
            </w:r>
          </w:p>
        </w:tc>
        <w:tc>
          <w:tcPr>
            <w:tcW w:w="365"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hint="eastAsia" w:ascii="Arial" w:hAnsi="Arial" w:cs="Arial"/>
                <w:kern w:val="2"/>
                <w:sz w:val="18"/>
              </w:rPr>
              <w:t>NB1, NB2</w:t>
            </w:r>
          </w:p>
        </w:tc>
      </w:tr>
    </w:tbl>
    <w:p/>
    <w:p>
      <w:pPr>
        <w:pStyle w:val="7"/>
        <w:rPr>
          <w:rFonts w:cs="Arial"/>
          <w:szCs w:val="22"/>
        </w:rPr>
      </w:pPr>
      <w:bookmarkStart w:id="976" w:name="_Toc20618"/>
      <w:r>
        <w:rPr>
          <w:snapToGrid w:val="0"/>
          <w:lang w:val="en-US"/>
        </w:rPr>
        <w:t>8.3.1.1.2</w:t>
      </w:r>
      <w:r>
        <w:rPr>
          <w:snapToGrid w:val="0"/>
          <w:lang w:val="en-US"/>
        </w:rPr>
        <w:tab/>
      </w:r>
      <w:r>
        <w:rPr>
          <w:snapToGrid w:val="0"/>
          <w:lang w:val="en-US"/>
        </w:rPr>
        <w:t>Demodulation of NPDSCH (Cell-Specific Reference Symbols) in standalone mode for category NB1 and NB2</w:t>
      </w:r>
      <w:bookmarkEnd w:id="976"/>
    </w:p>
    <w:p>
      <w:pPr>
        <w:pStyle w:val="112"/>
      </w:pPr>
      <w:r>
        <w:t>Editor’s Note: This clause is incomplete. The following aspects are either missing or not yet determined:</w:t>
      </w:r>
    </w:p>
    <w:p>
      <w:pPr>
        <w:pStyle w:val="112"/>
      </w:pPr>
      <w:r>
        <w:t>- Addition to applicability spec is pending</w:t>
      </w:r>
    </w:p>
    <w:p>
      <w:pPr>
        <w:pStyle w:val="112"/>
        <w:rPr>
          <w:rFonts w:eastAsiaTheme="minorEastAsia"/>
        </w:rPr>
      </w:pPr>
      <w:r>
        <w:t>- Initial condition and call setup procedure to support satellite access are TBD</w:t>
      </w:r>
    </w:p>
    <w:p>
      <w:pPr>
        <w:pStyle w:val="112"/>
      </w:pPr>
      <w:r>
        <w:t>- MU/TT is TBD</w:t>
      </w:r>
    </w:p>
    <w:p>
      <w:pPr>
        <w:pStyle w:val="9"/>
        <w:rPr>
          <w:snapToGrid w:val="0"/>
          <w:kern w:val="2"/>
        </w:rPr>
      </w:pPr>
      <w:r>
        <w:rPr>
          <w:snapToGrid w:val="0"/>
          <w:kern w:val="2"/>
        </w:rPr>
        <w:t>8.3.1.1.2.1</w:t>
      </w:r>
      <w:r>
        <w:rPr>
          <w:snapToGrid w:val="0"/>
          <w:kern w:val="2"/>
        </w:rPr>
        <w:tab/>
      </w:r>
      <w:r>
        <w:rPr>
          <w:snapToGrid w:val="0"/>
          <w:kern w:val="2"/>
        </w:rPr>
        <w:t>Test purpose</w:t>
      </w:r>
    </w:p>
    <w:p>
      <w:r>
        <w:t xml:space="preserve">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w:t>
      </w:r>
      <w:r>
        <w:rPr>
          <w:rFonts w:hint="eastAsia"/>
        </w:rPr>
        <w:t>one</w:t>
      </w:r>
      <w:r>
        <w:t xml:space="preserve"> antenna ports.</w:t>
      </w:r>
    </w:p>
    <w:p>
      <w:pPr>
        <w:pStyle w:val="9"/>
        <w:rPr>
          <w:snapToGrid w:val="0"/>
          <w:kern w:val="2"/>
        </w:rPr>
      </w:pPr>
      <w:r>
        <w:rPr>
          <w:snapToGrid w:val="0"/>
          <w:kern w:val="2"/>
        </w:rPr>
        <w:t>8.3.1.1.2.2</w:t>
      </w:r>
      <w:r>
        <w:rPr>
          <w:snapToGrid w:val="0"/>
          <w:kern w:val="2"/>
        </w:rPr>
        <w:tab/>
      </w:r>
      <w:r>
        <w:rPr>
          <w:snapToGrid w:val="0"/>
          <w:kern w:val="2"/>
        </w:rPr>
        <w:t>Test applicability</w:t>
      </w:r>
    </w:p>
    <w:p>
      <w:r>
        <w:t xml:space="preserve">This test applies to all types of NB-IoT FDD UE release 17 and forward of category NB1 </w:t>
      </w:r>
      <w:r>
        <w:rPr>
          <w:rFonts w:hint="eastAsia"/>
        </w:rPr>
        <w:t>and</w:t>
      </w:r>
      <w:r>
        <w:t xml:space="preserve">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8.3.1.1.2.3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pPr>
        <w:pStyle w:val="113"/>
      </w:pPr>
      <w:r>
        <w:t>Table 8.3.1.1.2.3-1: Test Parameters for 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pStyle w:val="104"/>
              <w:rPr>
                <w:rFonts w:eastAsia="?? ??"/>
                <w:kern w:val="2"/>
              </w:rPr>
            </w:pPr>
            <w:r>
              <w:rPr>
                <w:rFonts w:eastAsia="?? ??"/>
                <w:kern w:val="2"/>
              </w:rPr>
              <w:t>Unit</w:t>
            </w:r>
          </w:p>
        </w:tc>
        <w:tc>
          <w:tcPr>
            <w:tcW w:w="1858" w:type="dxa"/>
            <w:tcBorders>
              <w:top w:val="single" w:color="auto" w:sz="4" w:space="0"/>
              <w:left w:val="single" w:color="auto" w:sz="4" w:space="0"/>
              <w:bottom w:val="single" w:color="auto" w:sz="4" w:space="0"/>
              <w:right w:val="single" w:color="auto" w:sz="4" w:space="0"/>
            </w:tcBorders>
            <w:vAlign w:val="center"/>
          </w:tcPr>
          <w:p>
            <w:pPr>
              <w:pStyle w:val="104"/>
              <w:rPr>
                <w:rFonts w:eastAsia="?? ??"/>
                <w:kern w:val="2"/>
              </w:rPr>
            </w:pPr>
            <w:r>
              <w:rPr>
                <w:rFonts w:eastAsia="?? ??"/>
                <w:kern w:val="2"/>
              </w:rPr>
              <w:t>Test 1</w:t>
            </w:r>
            <w:r>
              <w:rPr>
                <w:kern w:val="2"/>
              </w:rPr>
              <w: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pStyle w:val="105"/>
              <w:rPr>
                <w:kern w:val="2"/>
                <w:position w:val="-12"/>
              </w:rPr>
            </w:pPr>
            <w:r>
              <w:rPr>
                <w:kern w:val="2"/>
                <w:position w:val="-12"/>
              </w:rPr>
              <w:drawing>
                <wp:inline distT="0" distB="0" distL="0" distR="0">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Pr>
                <w:kern w:val="2"/>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pStyle w:val="105"/>
            </w:pPr>
            <w:r>
              <w:drawing>
                <wp:inline distT="0" distB="0" distL="0" distR="0">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pStyle w:val="105"/>
              <w:rPr>
                <w:rFonts w:eastAsia="?? ??"/>
                <w:kern w:val="2"/>
              </w:rPr>
            </w:pPr>
            <w:r>
              <w:rPr>
                <w:rFonts w:eastAsia="?? ??"/>
                <w:kern w:val="2"/>
              </w:rPr>
              <w:t>dBm/15kHz</w:t>
            </w:r>
          </w:p>
        </w:tc>
        <w:tc>
          <w:tcPr>
            <w:tcW w:w="1858" w:type="dxa"/>
            <w:tcBorders>
              <w:top w:val="single" w:color="auto" w:sz="4" w:space="0"/>
              <w:left w:val="single" w:color="auto" w:sz="4" w:space="0"/>
              <w:right w:val="single" w:color="auto" w:sz="4" w:space="0"/>
            </w:tcBorders>
            <w:vAlign w:val="center"/>
          </w:tcPr>
          <w:p>
            <w:pPr>
              <w:pStyle w:val="105"/>
              <w:rPr>
                <w:rFonts w:cs="v5.0.0"/>
                <w:kern w:val="2"/>
              </w:rPr>
            </w:pPr>
            <w:r>
              <w:rPr>
                <w:rFonts w:eastAsia="?? ??" w:cs="v5.0.0"/>
                <w:kern w:val="2"/>
              </w:rPr>
              <w:t>-9</w:t>
            </w:r>
            <w:r>
              <w:rPr>
                <w:rFonts w:cs="v5.0.0"/>
                <w:kern w:val="2"/>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pStyle w:val="105"/>
            </w:pPr>
            <w:r>
              <w:drawing>
                <wp:inline distT="0" distB="0" distL="0" distR="0">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pStyle w:val="105"/>
              <w:rPr>
                <w:rFonts w:eastAsia="?? ??"/>
                <w:kern w:val="2"/>
              </w:rPr>
            </w:pPr>
            <w:r>
              <w:rPr>
                <w:rFonts w:eastAsia="?? ??"/>
                <w:kern w:val="2"/>
              </w:rPr>
              <w:t>dBm/15kHz</w:t>
            </w:r>
          </w:p>
        </w:tc>
        <w:tc>
          <w:tcPr>
            <w:tcW w:w="1858" w:type="dxa"/>
            <w:tcBorders>
              <w:left w:val="single" w:color="auto" w:sz="4" w:space="0"/>
              <w:bottom w:val="single" w:color="auto" w:sz="4" w:space="0"/>
              <w:right w:val="single" w:color="auto" w:sz="4" w:space="0"/>
            </w:tcBorders>
            <w:vAlign w:val="center"/>
          </w:tcPr>
          <w:p>
            <w:pPr>
              <w:pStyle w:val="105"/>
              <w:rPr>
                <w:rFonts w:eastAsia="?? ??" w:cs="v5.0.0"/>
                <w:kern w:val="2"/>
              </w:rPr>
            </w:pPr>
            <w:r>
              <w:rPr>
                <w:rFonts w:eastAsia="?? ??" w:cs="v5.0.0"/>
                <w:kern w:val="2"/>
              </w:rPr>
              <w:t>-9</w:t>
            </w:r>
            <w:r>
              <w:rPr>
                <w:rFonts w:cs="v5.0.0"/>
                <w:kern w:val="2"/>
              </w:rPr>
              <w:t>9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bCs/>
                <w:i/>
              </w:rPr>
            </w:pPr>
            <w:r>
              <w:rPr>
                <w:kern w:val="2"/>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rPr>
            </w:pPr>
            <w:r>
              <w:rPr>
                <w:kern w:val="2"/>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32 for Test 1; 256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kern w:val="2"/>
              </w:rPr>
            </w:pPr>
            <w:r>
              <w:rPr>
                <w:position w:val="-12"/>
              </w:rPr>
              <w:drawing>
                <wp:inline distT="0" distB="0" distL="0" distR="0">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Pr>
                <w:b/>
              </w:rPr>
              <w:t xml:space="preserve"> </w:t>
            </w:r>
            <w:r>
              <w:t>(</w:t>
            </w:r>
            <w:r>
              <w:rPr>
                <w:i/>
              </w:rPr>
              <w:t>npdcch-NumRepetitions-r13</w:t>
            </w:r>
            <w:r>
              <w:t>)</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64 for Test 1; 512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pStyle w:val="105"/>
              <w:rPr>
                <w:position w:val="-12"/>
              </w:rPr>
            </w:pPr>
            <w:r>
              <w:rPr>
                <w:position w:val="-6"/>
                <w:lang w:eastAsia="ko-KR"/>
              </w:rPr>
              <w:object>
                <v:shape id="_x0000_i1084" o:spt="75" type="#_x0000_t75" style="height:13.1pt;width:13.1pt;" o:ole="t" filled="f" o:preferrelative="t" stroked="f" coordsize="21600,21600">
                  <v:path/>
                  <v:fill on="f" focussize="0,0"/>
                  <v:stroke on="f" joinstyle="miter"/>
                  <v:imagedata r:id="rId117" o:title=""/>
                  <o:lock v:ext="edit" aspectratio="t"/>
                  <w10:wrap type="none"/>
                  <w10:anchorlock/>
                </v:shape>
                <o:OLEObject Type="Embed" ProgID="Equation.3" ShapeID="_x0000_i1084" DrawAspect="Content" ObjectID="_1468075784" r:id="rId118">
                  <o:LockedField>false</o:LockedField>
                </o:OLEObject>
              </w:object>
            </w:r>
            <w:r>
              <w:t>(</w:t>
            </w:r>
            <w:r>
              <w:rPr>
                <w:rFonts w:cs="Arial"/>
                <w:i/>
              </w:rPr>
              <w:t>nPDCCH-startSF-USS-r13</w:t>
            </w:r>
            <w:r>
              <w:rPr>
                <w:rFonts w:cs="Arial"/>
                <w:b/>
              </w:rPr>
              <w:t>)</w:t>
            </w:r>
          </w:p>
        </w:tc>
        <w:tc>
          <w:tcPr>
            <w:tcW w:w="1685"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1858"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rFonts w:cs="Arial"/>
                <w:kern w:val="2"/>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pStyle w:val="118"/>
              <w:rPr>
                <w:kern w:val="2"/>
              </w:rPr>
            </w:pPr>
            <w:r>
              <w:rPr>
                <w:kern w:val="2"/>
              </w:rPr>
              <w:t>Note 1:</w:t>
            </w:r>
            <w:r>
              <w:rPr>
                <w:kern w:val="2"/>
              </w:rPr>
              <w:tab/>
            </w:r>
            <w:r>
              <w:rPr>
                <w:rFonts w:cs="Arial"/>
              </w:rPr>
              <w:t>This noise is applied to all subframes from the end of the NPDCCH to the end of the following NPDSCH transmission</w:t>
            </w:r>
            <w:r>
              <w:rPr>
                <w:rFonts w:cs="Arial"/>
                <w:kern w:val="2"/>
              </w:rPr>
              <w:t>;</w:t>
            </w:r>
          </w:p>
          <w:p>
            <w:pPr>
              <w:pStyle w:val="118"/>
              <w:rPr>
                <w:kern w:val="2"/>
              </w:rPr>
            </w:pPr>
            <w:r>
              <w:t>Note 2:</w:t>
            </w:r>
            <w:r>
              <w:rPr>
                <w:kern w:val="2"/>
              </w:rPr>
              <w:tab/>
            </w:r>
            <w:r>
              <w:t>This noise is applied to all subframes from the end of the NPDSCH to the end of the following NPDCCH transmission.</w:t>
            </w:r>
          </w:p>
        </w:tc>
      </w:tr>
    </w:tbl>
    <w:p/>
    <w:p>
      <w:pPr>
        <w:pStyle w:val="113"/>
      </w:pPr>
      <w:r>
        <w:t>Table 8.3.1.1.2.3-2: Minimum performance under standalone</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3"/>
        <w:gridCol w:w="798"/>
        <w:gridCol w:w="927"/>
        <w:gridCol w:w="927"/>
        <w:gridCol w:w="1041"/>
        <w:gridCol w:w="1041"/>
        <w:gridCol w:w="1041"/>
        <w:gridCol w:w="1327"/>
        <w:gridCol w:w="895"/>
        <w:gridCol w:w="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Test number</w:t>
            </w:r>
          </w:p>
        </w:tc>
        <w:tc>
          <w:tcPr>
            <w:tcW w:w="405"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Bandwidth</w:t>
            </w:r>
          </w:p>
        </w:tc>
        <w:tc>
          <w:tcPr>
            <w:tcW w:w="470"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Carrier Type</w:t>
            </w:r>
          </w:p>
        </w:tc>
        <w:tc>
          <w:tcPr>
            <w:tcW w:w="470"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Reference Channel</w:t>
            </w:r>
          </w:p>
        </w:tc>
        <w:tc>
          <w:tcPr>
            <w:tcW w:w="528"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Repetition number</w:t>
            </w:r>
          </w:p>
        </w:tc>
        <w:tc>
          <w:tcPr>
            <w:tcW w:w="528" w:type="pct"/>
            <w:vMerge w:val="restart"/>
            <w:tcBorders>
              <w:top w:val="single" w:color="auto" w:sz="4" w:space="0"/>
              <w:left w:val="single" w:color="auto" w:sz="4" w:space="0"/>
              <w:right w:val="single" w:color="auto" w:sz="4" w:space="0"/>
            </w:tcBorders>
            <w:vAlign w:val="center"/>
          </w:tcPr>
          <w:p>
            <w:pPr>
              <w:pStyle w:val="104"/>
              <w:rPr>
                <w:rFonts w:cs="Arial"/>
                <w:kern w:val="2"/>
              </w:rPr>
            </w:pPr>
            <w:r>
              <w:rPr>
                <w:rFonts w:cs="Arial"/>
                <w:kern w:val="2"/>
              </w:rPr>
              <w:t>Propagation condition</w:t>
            </w:r>
          </w:p>
        </w:tc>
        <w:tc>
          <w:tcPr>
            <w:tcW w:w="528" w:type="pct"/>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Number of NRS ports</w:t>
            </w:r>
          </w:p>
        </w:tc>
        <w:tc>
          <w:tcPr>
            <w:tcW w:w="1127" w:type="pct"/>
            <w:gridSpan w:val="2"/>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Reference value</w:t>
            </w:r>
          </w:p>
        </w:tc>
        <w:tc>
          <w:tcPr>
            <w:tcW w:w="454" w:type="pct"/>
            <w:vMerge w:val="restart"/>
            <w:tcBorders>
              <w:top w:val="single" w:color="auto" w:sz="4" w:space="0"/>
              <w:left w:val="single" w:color="auto" w:sz="4" w:space="0"/>
              <w:right w:val="single" w:color="auto" w:sz="4" w:space="0"/>
            </w:tcBorders>
          </w:tcPr>
          <w:p>
            <w:pPr>
              <w:pStyle w:val="104"/>
              <w:rPr>
                <w:rFonts w:cs="Arial"/>
                <w:kern w:val="2"/>
              </w:rPr>
            </w:pPr>
            <w:r>
              <w:rPr>
                <w:rFonts w:cs="Arial"/>
                <w:kern w:val="2"/>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405"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470"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470"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left w:val="single" w:color="auto" w:sz="4" w:space="0"/>
              <w:bottom w:val="single" w:color="auto" w:sz="4" w:space="0"/>
              <w:right w:val="single" w:color="auto" w:sz="4" w:space="0"/>
            </w:tcBorders>
            <w:vAlign w:val="center"/>
          </w:tcPr>
          <w:p>
            <w:pPr>
              <w:pStyle w:val="104"/>
              <w:rPr>
                <w:rFonts w:cs="Arial"/>
                <w:kern w:val="2"/>
              </w:rPr>
            </w:pPr>
          </w:p>
        </w:tc>
        <w:tc>
          <w:tcPr>
            <w:tcW w:w="528" w:type="pct"/>
            <w:vMerge w:val="continue"/>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p>
        </w:tc>
        <w:tc>
          <w:tcPr>
            <w:tcW w:w="673" w:type="pc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Fraction of Maximum</w:t>
            </w:r>
          </w:p>
          <w:p>
            <w:pPr>
              <w:pStyle w:val="104"/>
              <w:rPr>
                <w:rFonts w:cs="Arial"/>
                <w:kern w:val="2"/>
              </w:rPr>
            </w:pPr>
            <w:r>
              <w:rPr>
                <w:rFonts w:cs="Arial"/>
                <w:kern w:val="2"/>
              </w:rPr>
              <w:t>Throughput (%)</w:t>
            </w:r>
          </w:p>
        </w:tc>
        <w:tc>
          <w:tcPr>
            <w:tcW w:w="454" w:type="pct"/>
            <w:tcBorders>
              <w:top w:val="single" w:color="auto" w:sz="4" w:space="0"/>
              <w:left w:val="single" w:color="auto" w:sz="4" w:space="0"/>
              <w:bottom w:val="single" w:color="auto" w:sz="4" w:space="0"/>
              <w:right w:val="single" w:color="auto" w:sz="4" w:space="0"/>
            </w:tcBorders>
            <w:vAlign w:val="center"/>
          </w:tcPr>
          <w:p>
            <w:pPr>
              <w:pStyle w:val="104"/>
              <w:rPr>
                <w:rFonts w:cs="Arial"/>
                <w:kern w:val="2"/>
              </w:rPr>
            </w:pPr>
            <w:r>
              <w:rPr>
                <w:rFonts w:cs="Arial"/>
                <w:kern w:val="2"/>
              </w:rPr>
              <w:t>SNR (dB)</w:t>
            </w:r>
          </w:p>
        </w:tc>
        <w:tc>
          <w:tcPr>
            <w:tcW w:w="454" w:type="pct"/>
            <w:vMerge w:val="continue"/>
            <w:tcBorders>
              <w:left w:val="single" w:color="auto" w:sz="4" w:space="0"/>
              <w:bottom w:val="single" w:color="auto" w:sz="4" w:space="0"/>
              <w:right w:val="single" w:color="auto" w:sz="4" w:space="0"/>
            </w:tcBorders>
          </w:tcPr>
          <w:p>
            <w:pPr>
              <w:pStyle w:val="104"/>
              <w:rPr>
                <w:rFonts w:cs="Arial"/>
                <w:kern w:val="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200kHz</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Anchor</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rPr>
              <w:t>R.NB.6</w:t>
            </w:r>
            <w:r>
              <w:rPr>
                <w:rFonts w:cs="Arial"/>
                <w:kern w:val="2"/>
              </w:rPr>
              <w:t xml:space="preserve"> FDD</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32</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EPA5</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70%</w:t>
            </w:r>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-3.4</w:t>
            </w:r>
          </w:p>
        </w:tc>
        <w:tc>
          <w:tcPr>
            <w:tcW w:w="454" w:type="pct"/>
            <w:tcBorders>
              <w:top w:val="single" w:color="auto" w:sz="4" w:space="0"/>
              <w:left w:val="single" w:color="auto" w:sz="4" w:space="0"/>
              <w:bottom w:val="single" w:color="auto" w:sz="4" w:space="0"/>
              <w:right w:val="single" w:color="auto" w:sz="4" w:space="0"/>
            </w:tcBorders>
          </w:tcPr>
          <w:p>
            <w:pPr>
              <w:pStyle w:val="103"/>
              <w:jc w:val="center"/>
              <w:rPr>
                <w:rFonts w:cs="Arial"/>
                <w:kern w:val="2"/>
              </w:rPr>
            </w:pPr>
            <w:r>
              <w:rPr>
                <w:rFonts w:cs="Arial"/>
                <w:kern w:val="2"/>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89"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 (Note 1)</w:t>
            </w:r>
          </w:p>
        </w:tc>
        <w:tc>
          <w:tcPr>
            <w:tcW w:w="405"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200kHz</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Non-anchor</w:t>
            </w:r>
          </w:p>
        </w:tc>
        <w:tc>
          <w:tcPr>
            <w:tcW w:w="470"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rPr>
              <w:t>R.NB.6-1</w:t>
            </w:r>
            <w:r>
              <w:rPr>
                <w:rFonts w:cs="Arial"/>
                <w:kern w:val="2"/>
              </w:rPr>
              <w:t xml:space="preserve"> FDD</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256</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ETU1</w:t>
            </w:r>
          </w:p>
        </w:tc>
        <w:tc>
          <w:tcPr>
            <w:tcW w:w="528"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w:t>
            </w:r>
          </w:p>
        </w:tc>
        <w:tc>
          <w:tcPr>
            <w:tcW w:w="673"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70%</w:t>
            </w:r>
          </w:p>
        </w:tc>
        <w:tc>
          <w:tcPr>
            <w:tcW w:w="454" w:type="pct"/>
            <w:tcBorders>
              <w:top w:val="single" w:color="auto" w:sz="4" w:space="0"/>
              <w:left w:val="single" w:color="auto" w:sz="4" w:space="0"/>
              <w:bottom w:val="single" w:color="auto" w:sz="4" w:space="0"/>
              <w:right w:val="single" w:color="auto" w:sz="4" w:space="0"/>
            </w:tcBorders>
            <w:vAlign w:val="center"/>
          </w:tcPr>
          <w:p>
            <w:pPr>
              <w:pStyle w:val="103"/>
              <w:jc w:val="center"/>
              <w:rPr>
                <w:rFonts w:cs="Arial"/>
                <w:kern w:val="2"/>
              </w:rPr>
            </w:pPr>
            <w:r>
              <w:rPr>
                <w:rFonts w:cs="Arial"/>
                <w:kern w:val="2"/>
              </w:rPr>
              <w:t>-10.2</w:t>
            </w:r>
          </w:p>
        </w:tc>
        <w:tc>
          <w:tcPr>
            <w:tcW w:w="454" w:type="pct"/>
            <w:tcBorders>
              <w:top w:val="single" w:color="auto" w:sz="4" w:space="0"/>
              <w:left w:val="single" w:color="auto" w:sz="4" w:space="0"/>
              <w:bottom w:val="single" w:color="auto" w:sz="4" w:space="0"/>
              <w:right w:val="single" w:color="auto" w:sz="4" w:space="0"/>
            </w:tcBorders>
          </w:tcPr>
          <w:p>
            <w:pPr>
              <w:pStyle w:val="103"/>
              <w:jc w:val="center"/>
              <w:rPr>
                <w:rFonts w:cs="Arial"/>
                <w:kern w:val="2"/>
              </w:rPr>
            </w:pPr>
            <w:r>
              <w:rPr>
                <w:rFonts w:cs="Arial"/>
                <w:kern w:val="2"/>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000" w:type="pct"/>
            <w:gridSpan w:val="10"/>
            <w:tcBorders>
              <w:top w:val="single" w:color="auto" w:sz="4" w:space="0"/>
              <w:left w:val="single" w:color="auto" w:sz="4" w:space="0"/>
              <w:bottom w:val="single" w:color="auto" w:sz="4" w:space="0"/>
              <w:right w:val="single" w:color="auto" w:sz="4" w:space="0"/>
            </w:tcBorders>
            <w:vAlign w:val="center"/>
          </w:tcPr>
          <w:p>
            <w:pPr>
              <w:pStyle w:val="103"/>
              <w:rPr>
                <w:rFonts w:cs="Arial"/>
                <w:kern w:val="2"/>
              </w:rPr>
            </w:pPr>
            <w:r>
              <w:rPr>
                <w:rFonts w:cs="Arial"/>
                <w:kern w:val="2"/>
              </w:rPr>
              <w:t>Note 1:</w:t>
            </w:r>
            <w:r>
              <w:rPr>
                <w:kern w:val="2"/>
              </w:rPr>
              <w:tab/>
            </w:r>
            <w:r>
              <w:rPr>
                <w:rFonts w:cs="Arial"/>
                <w:kern w:val="2"/>
              </w:rPr>
              <w:t>Applicable to UE supporting Non-Anchor mode of operation.</w:t>
            </w:r>
          </w:p>
        </w:tc>
      </w:tr>
    </w:tbl>
    <w:p/>
    <w:p>
      <w:pPr>
        <w:rPr>
          <w:lang w:eastAsia="zh-TW"/>
        </w:rPr>
      </w:pPr>
      <w:r>
        <w:t>The normative reference for this requirement is TS 36.101 [2] clause 8.12.1.1.2</w:t>
      </w:r>
      <w:r>
        <w:rPr>
          <w:lang w:eastAsia="zh-TW"/>
        </w:rPr>
        <w:t>.</w:t>
      </w:r>
    </w:p>
    <w:p>
      <w:pPr>
        <w:pStyle w:val="9"/>
        <w:rPr>
          <w:snapToGrid w:val="0"/>
          <w:kern w:val="2"/>
        </w:rPr>
      </w:pPr>
      <w:r>
        <w:rPr>
          <w:snapToGrid w:val="0"/>
          <w:kern w:val="2"/>
        </w:rPr>
        <w:t>8.3.1.1.2.4</w:t>
      </w:r>
      <w:r>
        <w:rPr>
          <w:snapToGrid w:val="0"/>
          <w:kern w:val="2"/>
        </w:rPr>
        <w:tab/>
      </w:r>
      <w:r>
        <w:rPr>
          <w:snapToGrid w:val="0"/>
          <w:kern w:val="2"/>
        </w:rPr>
        <w:t>Test description</w:t>
      </w:r>
    </w:p>
    <w:p>
      <w:pPr>
        <w:pStyle w:val="9"/>
        <w:rPr>
          <w:snapToGrid w:val="0"/>
          <w:kern w:val="2"/>
        </w:rPr>
      </w:pPr>
      <w:r>
        <w:rPr>
          <w:snapToGrid w:val="0"/>
          <w:kern w:val="2"/>
        </w:rPr>
        <w:t>8.3.1.1.2.4.1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8.3.1.1.2.3-2.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1.</w:t>
      </w:r>
      <w:r>
        <w:rPr>
          <w:rStyle w:val="91"/>
          <w:rFonts w:eastAsia="Malgun Gothic"/>
        </w:rPr>
        <w:tab/>
      </w:r>
      <w:r>
        <w:rPr>
          <w:rStyle w:val="91"/>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2.</w:t>
      </w:r>
      <w:r>
        <w:rPr>
          <w:rStyle w:val="91"/>
          <w:rFonts w:eastAsia="Malgun Gothic"/>
        </w:rPr>
        <w:tab/>
      </w:r>
      <w:r>
        <w:rPr>
          <w:rStyle w:val="91"/>
          <w:rFonts w:eastAsia="Malgun Gothic"/>
        </w:rPr>
        <w:t>The parameter settings for the cell are set up according to Tables 8.3.1.1-1 and 8.3.1.1.2.3-1 as appropriate.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3.</w:t>
      </w:r>
      <w:r>
        <w:rPr>
          <w:rStyle w:val="91"/>
          <w:rFonts w:eastAsia="Malgun Gothic"/>
        </w:rPr>
        <w:tab/>
      </w:r>
      <w:r>
        <w:rPr>
          <w:rStyle w:val="91"/>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4.</w:t>
      </w:r>
      <w:r>
        <w:rPr>
          <w:rStyle w:val="91"/>
          <w:rFonts w:eastAsia="Malgun Gothic"/>
        </w:rPr>
        <w:tab/>
      </w:r>
      <w:r>
        <w:rPr>
          <w:rStyle w:val="91"/>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5.</w:t>
      </w:r>
      <w:r>
        <w:rPr>
          <w:rStyle w:val="91"/>
          <w:rFonts w:eastAsia="Malgun Gothic"/>
        </w:rPr>
        <w:tab/>
      </w:r>
      <w:r>
        <w:rPr>
          <w:rStyle w:val="91"/>
          <w:rFonts w:eastAsia="Malgun Gothic"/>
        </w:rPr>
        <w:t>Ensure the UE is in State 2A-NB with CP CIoT Optimisation according to TS 36.508 [7] clause 8.1.5. Message contents are defined in clause 8.3.1.1.2.4.3.</w:t>
      </w:r>
    </w:p>
    <w:p>
      <w:pPr>
        <w:pStyle w:val="9"/>
      </w:pPr>
      <w:r>
        <w:rPr>
          <w:snapToGrid w:val="0"/>
          <w:kern w:val="2"/>
        </w:rPr>
        <w:t>8.3.1.1.2.</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1.</w:t>
      </w:r>
      <w:r>
        <w:rPr>
          <w:rStyle w:val="91"/>
          <w:rFonts w:eastAsia="Malgun Gothic"/>
        </w:rPr>
        <w:tab/>
      </w:r>
      <w:r>
        <w:rPr>
          <w:rStyle w:val="91"/>
          <w:rFonts w:eastAsia="Malgun Gothic"/>
        </w:rPr>
        <w:t>SS transmits NPDSCH via NPDCCH DCI format N1 for C_RNTI to transmit the DL RMC according to Tables 8.3.1.1.2.3-1 and 8.3.1.1.2.3-2.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2.</w:t>
      </w:r>
      <w:r>
        <w:rPr>
          <w:rStyle w:val="91"/>
          <w:rFonts w:eastAsia="Malgun Gothic"/>
        </w:rPr>
        <w:tab/>
      </w:r>
      <w:r>
        <w:rPr>
          <w:rStyle w:val="91"/>
          <w:rFonts w:eastAsia="Malgun Gothic"/>
        </w:rPr>
        <w:t>Set the parameters of the bandwidth, MCS, reference channel, the propagation condition, the correlation matrix, antenna configuration and the SNR according to Table 8.3.1.1.2.5-1 as appropriate.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3.</w:t>
      </w:r>
      <w:r>
        <w:rPr>
          <w:rStyle w:val="91"/>
          <w:rFonts w:eastAsia="Malgun Gothic"/>
        </w:rPr>
        <w:tab/>
      </w:r>
      <w:r>
        <w:rPr>
          <w:rStyle w:val="91"/>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4.</w:t>
      </w:r>
      <w:r>
        <w:rPr>
          <w:rStyle w:val="91"/>
          <w:rFonts w:eastAsia="Malgun Gothic"/>
        </w:rPr>
        <w:tab/>
      </w:r>
      <w:r>
        <w:rPr>
          <w:rStyle w:val="91"/>
          <w:rFonts w:eastAsia="Malgun Gothic"/>
        </w:rPr>
        <w:t>Repeat steps from 1 to 3 for each test interval in Tables 8.3.1.1.2.5-1 as appropriate.</w:t>
      </w:r>
    </w:p>
    <w:p>
      <w:pPr>
        <w:pStyle w:val="9"/>
      </w:pPr>
      <w:r>
        <w:rPr>
          <w:snapToGrid w:val="0"/>
          <w:kern w:val="2"/>
        </w:rPr>
        <w:t>8.3.1.1.2.</w:t>
      </w:r>
      <w:r>
        <w:rPr>
          <w:snapToGrid w:val="0"/>
          <w:kern w:val="2"/>
          <w:lang w:eastAsia="zh-TW"/>
        </w:rPr>
        <w:t>4.</w:t>
      </w:r>
      <w:r>
        <w:rPr>
          <w:lang w:eastAsia="zh-TW"/>
        </w:rPr>
        <w:t>3</w:t>
      </w:r>
      <w:r>
        <w:tab/>
      </w:r>
      <w:r>
        <w:t>Message contents</w:t>
      </w:r>
    </w:p>
    <w:p>
      <w:r>
        <w:t xml:space="preserve">Message contents are same as </w:t>
      </w:r>
      <w:r>
        <w:rPr>
          <w:snapToGrid w:val="0"/>
          <w:kern w:val="2"/>
        </w:rPr>
        <w:t>8.3.1.1.1.</w:t>
      </w:r>
      <w:r>
        <w:rPr>
          <w:snapToGrid w:val="0"/>
          <w:kern w:val="2"/>
          <w:lang w:eastAsia="zh-TW"/>
        </w:rPr>
        <w:t>4.</w:t>
      </w:r>
      <w:r>
        <w:rPr>
          <w:lang w:eastAsia="zh-TW"/>
        </w:rPr>
        <w:t>3</w:t>
      </w:r>
      <w:r>
        <w:t xml:space="preserve"> with the following exceptions:</w:t>
      </w:r>
    </w:p>
    <w:p>
      <w:pPr>
        <w:pStyle w:val="113"/>
      </w:pPr>
      <w:r>
        <w:t>Table 8.3.1.1.2.4.3-1: NPDCCH-ConfigDedicated-NB-DEFAULT</w:t>
      </w:r>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r64 for Test 1; r512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V1.5</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8.3.1.1.2.5</w:t>
      </w:r>
      <w:r>
        <w:rPr>
          <w:snapToGrid w:val="0"/>
          <w:kern w:val="2"/>
        </w:rPr>
        <w:tab/>
      </w:r>
      <w:r>
        <w:rPr>
          <w:snapToGrid w:val="0"/>
          <w:kern w:val="2"/>
        </w:rPr>
        <w:t>Test requirement</w:t>
      </w:r>
    </w:p>
    <w:p>
      <w:r>
        <w:t>Table 8.3.1.1.2</w:t>
      </w:r>
      <w:r>
        <w:rPr>
          <w:lang w:eastAsia="zh-TW"/>
        </w:rPr>
        <w:t>.3</w:t>
      </w:r>
      <w:r>
        <w:t>-1 defines the primary level settings.</w:t>
      </w:r>
    </w:p>
    <w:p>
      <w:pPr>
        <w:rPr>
          <w:lang w:eastAsia="zh-TW"/>
        </w:rPr>
      </w:pPr>
      <w:r>
        <w:t xml:space="preserve">The fraction of maximum throughput percentage for the downlink reference measurement channels specified in </w:t>
      </w:r>
      <w:r>
        <w:rPr>
          <w:rFonts w:hint="eastAsia"/>
        </w:rPr>
        <w:t>TS</w:t>
      </w:r>
      <w:r>
        <w:t>36.521-1 Annex A clause A.3.12.2.1 for each throughput test shall meet or exceed the specified value in Table 8.3.1.1.2.</w:t>
      </w:r>
      <w:r>
        <w:rPr>
          <w:lang w:eastAsia="zh-TW"/>
        </w:rPr>
        <w:t>5</w:t>
      </w:r>
      <w:r>
        <w:t>-</w:t>
      </w:r>
      <w:r>
        <w:rPr>
          <w:lang w:eastAsia="zh-TW"/>
        </w:rPr>
        <w:t>1</w:t>
      </w:r>
      <w:r>
        <w:t xml:space="preserve"> for the specified SNR including test tolerances for all throughput tests.</w:t>
      </w:r>
    </w:p>
    <w:p>
      <w:pPr>
        <w:pStyle w:val="113"/>
      </w:pPr>
      <w:r>
        <w:t>Table 8.3.1.1.2.</w:t>
      </w:r>
      <w:r>
        <w:rPr>
          <w:lang w:eastAsia="zh-TW"/>
        </w:rPr>
        <w:t>5</w:t>
      </w:r>
      <w:r>
        <w:t>-</w:t>
      </w:r>
      <w:r>
        <w:rPr>
          <w:lang w:eastAsia="zh-TW"/>
        </w:rPr>
        <w:t>1</w:t>
      </w:r>
      <w:r>
        <w:t>: Test requirements under standalone with 1 NRS ports</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3"/>
        <w:gridCol w:w="877"/>
        <w:gridCol w:w="1017"/>
        <w:gridCol w:w="1017"/>
        <w:gridCol w:w="1145"/>
        <w:gridCol w:w="1145"/>
        <w:gridCol w:w="1145"/>
        <w:gridCol w:w="1459"/>
        <w:gridCol w:w="9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Test number</w:t>
            </w:r>
          </w:p>
        </w:tc>
        <w:tc>
          <w:tcPr>
            <w:tcW w:w="445"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Bandwidth</w:t>
            </w:r>
          </w:p>
        </w:tc>
        <w:tc>
          <w:tcPr>
            <w:tcW w:w="516" w:type="pct"/>
            <w:vMerge w:val="restart"/>
            <w:tcBorders>
              <w:top w:val="single" w:color="auto" w:sz="4" w:space="0"/>
              <w:left w:val="single" w:color="auto" w:sz="4" w:space="0"/>
              <w:right w:val="single" w:color="auto" w:sz="4" w:space="0"/>
            </w:tcBorders>
            <w:vAlign w:val="center"/>
          </w:tcPr>
          <w:p>
            <w:pPr>
              <w:pStyle w:val="104"/>
              <w:rPr>
                <w:kern w:val="2"/>
              </w:rPr>
            </w:pPr>
            <w:r>
              <w:rPr>
                <w:kern w:val="2"/>
              </w:rPr>
              <w:t>Carrier Type</w:t>
            </w:r>
          </w:p>
        </w:tc>
        <w:tc>
          <w:tcPr>
            <w:tcW w:w="516"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Reference Channel</w:t>
            </w:r>
          </w:p>
        </w:tc>
        <w:tc>
          <w:tcPr>
            <w:tcW w:w="581" w:type="pct"/>
            <w:vMerge w:val="restart"/>
            <w:tcBorders>
              <w:top w:val="single" w:color="auto" w:sz="4" w:space="0"/>
              <w:left w:val="single" w:color="auto" w:sz="4" w:space="0"/>
              <w:right w:val="single" w:color="auto" w:sz="4" w:space="0"/>
            </w:tcBorders>
            <w:vAlign w:val="center"/>
          </w:tcPr>
          <w:p>
            <w:pPr>
              <w:pStyle w:val="104"/>
              <w:rPr>
                <w:kern w:val="2"/>
              </w:rPr>
            </w:pPr>
            <w:r>
              <w:rPr>
                <w:kern w:val="2"/>
              </w:rPr>
              <w:t>Repetition number</w:t>
            </w:r>
          </w:p>
        </w:tc>
        <w:tc>
          <w:tcPr>
            <w:tcW w:w="581" w:type="pct"/>
            <w:vMerge w:val="restart"/>
            <w:tcBorders>
              <w:top w:val="single" w:color="auto" w:sz="4" w:space="0"/>
              <w:left w:val="single" w:color="auto" w:sz="4" w:space="0"/>
              <w:right w:val="single" w:color="auto" w:sz="4" w:space="0"/>
            </w:tcBorders>
            <w:vAlign w:val="center"/>
          </w:tcPr>
          <w:p>
            <w:pPr>
              <w:pStyle w:val="104"/>
              <w:rPr>
                <w:kern w:val="2"/>
              </w:rPr>
            </w:pPr>
            <w:r>
              <w:rPr>
                <w:kern w:val="2"/>
              </w:rPr>
              <w:t>Propagation condition</w:t>
            </w:r>
          </w:p>
        </w:tc>
        <w:tc>
          <w:tcPr>
            <w:tcW w:w="581" w:type="pct"/>
            <w:vMerge w:val="restar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Number of NRS ports</w:t>
            </w:r>
          </w:p>
        </w:tc>
        <w:tc>
          <w:tcPr>
            <w:tcW w:w="1239" w:type="pct"/>
            <w:gridSpan w:val="2"/>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Reference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445"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516"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16"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left w:val="single" w:color="auto" w:sz="4" w:space="0"/>
              <w:bottom w:val="single" w:color="auto" w:sz="4" w:space="0"/>
              <w:right w:val="single" w:color="auto" w:sz="4" w:space="0"/>
            </w:tcBorders>
            <w:vAlign w:val="center"/>
          </w:tcPr>
          <w:p>
            <w:pPr>
              <w:pStyle w:val="104"/>
              <w:rPr>
                <w:kern w:val="2"/>
              </w:rPr>
            </w:pPr>
          </w:p>
        </w:tc>
        <w:tc>
          <w:tcPr>
            <w:tcW w:w="581" w:type="pct"/>
            <w:vMerge w:val="continue"/>
            <w:tcBorders>
              <w:top w:val="single" w:color="auto" w:sz="4" w:space="0"/>
              <w:left w:val="single" w:color="auto" w:sz="4" w:space="0"/>
              <w:bottom w:val="single" w:color="auto" w:sz="4" w:space="0"/>
              <w:right w:val="single" w:color="auto" w:sz="4" w:space="0"/>
            </w:tcBorders>
            <w:vAlign w:val="center"/>
          </w:tcPr>
          <w:p>
            <w:pPr>
              <w:pStyle w:val="104"/>
              <w:rPr>
                <w:kern w:val="2"/>
              </w:rPr>
            </w:pPr>
          </w:p>
        </w:tc>
        <w:tc>
          <w:tcPr>
            <w:tcW w:w="740" w:type="pc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Fraction of Maximum</w:t>
            </w:r>
          </w:p>
          <w:p>
            <w:pPr>
              <w:pStyle w:val="104"/>
              <w:rPr>
                <w:kern w:val="2"/>
              </w:rPr>
            </w:pPr>
            <w:r>
              <w:rPr>
                <w:kern w:val="2"/>
              </w:rPr>
              <w:t>Throughput (%)</w:t>
            </w:r>
          </w:p>
        </w:tc>
        <w:tc>
          <w:tcPr>
            <w:tcW w:w="499" w:type="pct"/>
            <w:tcBorders>
              <w:top w:val="single" w:color="auto" w:sz="4" w:space="0"/>
              <w:left w:val="single" w:color="auto" w:sz="4" w:space="0"/>
              <w:bottom w:val="single" w:color="auto" w:sz="4" w:space="0"/>
              <w:right w:val="single" w:color="auto" w:sz="4" w:space="0"/>
            </w:tcBorders>
            <w:vAlign w:val="center"/>
          </w:tcPr>
          <w:p>
            <w:pPr>
              <w:pStyle w:val="104"/>
              <w:rPr>
                <w:kern w:val="2"/>
              </w:rPr>
            </w:pPr>
            <w:r>
              <w:rPr>
                <w:kern w:val="2"/>
              </w:rPr>
              <w:t>SNR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200kHz</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Anchor</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t>R.NB.6</w:t>
            </w:r>
            <w:r>
              <w:rPr>
                <w:kern w:val="2"/>
              </w:rPr>
              <w:t xml:space="preserve"> FDD</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32</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EPA5</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70%</w:t>
            </w:r>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3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 (Note 1)</w:t>
            </w:r>
          </w:p>
        </w:tc>
        <w:tc>
          <w:tcPr>
            <w:tcW w:w="445"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200kHz</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Non-anchor</w:t>
            </w:r>
          </w:p>
        </w:tc>
        <w:tc>
          <w:tcPr>
            <w:tcW w:w="516" w:type="pct"/>
            <w:tcBorders>
              <w:top w:val="single" w:color="auto" w:sz="4" w:space="0"/>
              <w:left w:val="single" w:color="auto" w:sz="4" w:space="0"/>
              <w:bottom w:val="single" w:color="auto" w:sz="4" w:space="0"/>
              <w:right w:val="single" w:color="auto" w:sz="4" w:space="0"/>
            </w:tcBorders>
            <w:vAlign w:val="center"/>
          </w:tcPr>
          <w:p>
            <w:pPr>
              <w:pStyle w:val="105"/>
              <w:rPr>
                <w:kern w:val="2"/>
              </w:rPr>
            </w:pPr>
            <w:r>
              <w:t>R.NB.6-1</w:t>
            </w:r>
            <w:r>
              <w:rPr>
                <w:kern w:val="2"/>
              </w:rPr>
              <w:t xml:space="preserve"> FDD</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256</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ETU1</w:t>
            </w:r>
          </w:p>
        </w:tc>
        <w:tc>
          <w:tcPr>
            <w:tcW w:w="581"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c>
          <w:tcPr>
            <w:tcW w:w="740"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70%</w:t>
            </w:r>
          </w:p>
        </w:tc>
        <w:tc>
          <w:tcPr>
            <w:tcW w:w="499" w:type="pct"/>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5000" w:type="pct"/>
            <w:gridSpan w:val="9"/>
            <w:tcBorders>
              <w:top w:val="single" w:color="auto" w:sz="4" w:space="0"/>
              <w:left w:val="single" w:color="auto" w:sz="4" w:space="0"/>
              <w:bottom w:val="single" w:color="auto" w:sz="4" w:space="0"/>
              <w:right w:val="single" w:color="auto" w:sz="4" w:space="0"/>
            </w:tcBorders>
            <w:vAlign w:val="center"/>
          </w:tcPr>
          <w:p>
            <w:pPr>
              <w:pStyle w:val="105"/>
              <w:jc w:val="left"/>
              <w:rPr>
                <w:kern w:val="2"/>
              </w:rPr>
            </w:pPr>
            <w:r>
              <w:rPr>
                <w:rFonts w:cs="Arial"/>
                <w:kern w:val="2"/>
              </w:rPr>
              <w:t>Note 1:</w:t>
            </w:r>
            <w:r>
              <w:rPr>
                <w:kern w:val="2"/>
              </w:rPr>
              <w:tab/>
            </w:r>
            <w:r>
              <w:rPr>
                <w:rFonts w:cs="Arial"/>
                <w:kern w:val="2"/>
              </w:rPr>
              <w:t>Applicable to UE supporting Non-Anchor mode of operation.</w:t>
            </w:r>
          </w:p>
        </w:tc>
      </w:tr>
    </w:tbl>
    <w:p/>
    <w:p>
      <w:pPr>
        <w:pStyle w:val="7"/>
        <w:rPr>
          <w:snapToGrid w:val="0"/>
        </w:rPr>
      </w:pPr>
      <w:bookmarkStart w:id="977" w:name="_Toc25638"/>
      <w:r>
        <w:rPr>
          <w:snapToGrid w:val="0"/>
          <w:lang w:val="en-US"/>
        </w:rPr>
        <w:t>8.3.1.1.3</w:t>
      </w:r>
      <w:r>
        <w:rPr>
          <w:snapToGrid w:val="0"/>
          <w:lang w:val="en-US"/>
        </w:rPr>
        <w:tab/>
      </w:r>
      <w:r>
        <w:rPr>
          <w:snapToGrid w:val="0"/>
        </w:rPr>
        <w:t>Demodulation of NPDSCH (Cell-Specific Reference Symbols) in standalone for NB2</w:t>
      </w:r>
      <w:bookmarkEnd w:id="977"/>
    </w:p>
    <w:p>
      <w:pPr>
        <w:pStyle w:val="112"/>
      </w:pPr>
      <w:r>
        <w:t>Editor’s Note: This clause is incomplete. The following aspects are either missing or not yet determined:</w:t>
      </w:r>
    </w:p>
    <w:p>
      <w:pPr>
        <w:pStyle w:val="112"/>
      </w:pPr>
      <w:r>
        <w:t>- Addition to applicability spec is pending</w:t>
      </w:r>
    </w:p>
    <w:p>
      <w:pPr>
        <w:pStyle w:val="112"/>
        <w:rPr>
          <w:rFonts w:eastAsiaTheme="minorEastAsia"/>
        </w:rPr>
      </w:pPr>
      <w:r>
        <w:t>- Initial condition and call setup procedure to support satellite access are TBD</w:t>
      </w:r>
    </w:p>
    <w:p>
      <w:pPr>
        <w:pStyle w:val="112"/>
      </w:pPr>
      <w:r>
        <w:t>- MU/TT is TBD</w:t>
      </w:r>
    </w:p>
    <w:p>
      <w:pPr>
        <w:pStyle w:val="9"/>
        <w:rPr>
          <w:snapToGrid w:val="0"/>
          <w:kern w:val="2"/>
        </w:rPr>
      </w:pPr>
      <w:r>
        <w:rPr>
          <w:snapToGrid w:val="0"/>
          <w:kern w:val="2"/>
        </w:rPr>
        <w:t>8.3.1.1.3.1</w:t>
      </w:r>
      <w:r>
        <w:rPr>
          <w:snapToGrid w:val="0"/>
          <w:kern w:val="2"/>
        </w:rPr>
        <w:tab/>
      </w:r>
      <w:r>
        <w:rPr>
          <w:snapToGrid w:val="0"/>
          <w:kern w:val="2"/>
        </w:rPr>
        <w:t>Test purpose</w:t>
      </w:r>
    </w:p>
    <w:p>
      <w:r>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pPr>
        <w:pStyle w:val="9"/>
        <w:rPr>
          <w:snapToGrid w:val="0"/>
          <w:kern w:val="2"/>
        </w:rPr>
      </w:pPr>
      <w:r>
        <w:rPr>
          <w:snapToGrid w:val="0"/>
          <w:kern w:val="2"/>
        </w:rPr>
        <w:t>8.3.1.1.3.2</w:t>
      </w:r>
      <w:r>
        <w:rPr>
          <w:snapToGrid w:val="0"/>
          <w:kern w:val="2"/>
        </w:rPr>
        <w:tab/>
      </w:r>
      <w:r>
        <w:rPr>
          <w:snapToGrid w:val="0"/>
          <w:kern w:val="2"/>
        </w:rPr>
        <w:t>Test applicability</w:t>
      </w:r>
    </w:p>
    <w:p>
      <w:r>
        <w:t xml:space="preserve">This test applies to all types of NB-IoT FDD UE release 17 and forward of category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8.3.1.1.3.3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pPr>
        <w:pStyle w:val="113"/>
      </w:pPr>
      <w:r>
        <w:t>Table 8.3.1.1.3.3-1: Test Parameters for NPDSCH under Standalone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4"/>
        <w:gridCol w:w="1381"/>
        <w:gridCol w:w="1685"/>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224"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Parameter</w:t>
            </w:r>
          </w:p>
        </w:tc>
        <w:tc>
          <w:tcPr>
            <w:tcW w:w="3066"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rPr>
            </w:pPr>
            <w:r>
              <w:rPr>
                <w:rFonts w:ascii="Arial" w:hAnsi="Arial" w:eastAsia="?? ??" w:cs="Arial"/>
                <w:b/>
                <w:kern w:val="2"/>
                <w:sz w:val="18"/>
              </w:rPr>
              <w:t>Unit</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b/>
                <w:kern w:val="2"/>
                <w:sz w:val="18"/>
              </w:rPr>
            </w:pPr>
            <w:r>
              <w:rPr>
                <w:rFonts w:ascii="Arial" w:hAnsi="Arial" w:eastAsia="?? ??" w:cs="Arial"/>
                <w:b/>
                <w:kern w:val="2"/>
                <w:sz w:val="18"/>
              </w:rPr>
              <w:t>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restart"/>
            <w:tcBorders>
              <w:left w:val="single" w:color="auto" w:sz="4" w:space="0"/>
              <w:right w:val="single" w:color="auto" w:sz="4" w:space="0"/>
            </w:tcBorders>
            <w:vAlign w:val="center"/>
          </w:tcPr>
          <w:p>
            <w:pPr>
              <w:keepNext/>
              <w:keepLines/>
              <w:spacing w:after="0"/>
              <w:jc w:val="center"/>
              <w:rPr>
                <w:rFonts w:ascii="Arial" w:hAnsi="Arial" w:cs="Arial"/>
                <w:kern w:val="2"/>
                <w:position w:val="-12"/>
                <w:sz w:val="18"/>
              </w:rPr>
            </w:pPr>
            <w:r>
              <w:rPr>
                <w:rFonts w:ascii="Arial" w:hAnsi="Arial" w:cs="Arial"/>
                <w:kern w:val="2"/>
                <w:position w:val="-12"/>
                <w:sz w:val="18"/>
              </w:rPr>
              <w:drawing>
                <wp:inline distT="0" distB="0" distL="0" distR="0">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Pr>
                <w:rFonts w:ascii="Arial" w:hAnsi="Arial" w:cs="Arial"/>
                <w:kern w:val="2"/>
                <w:sz w:val="18"/>
              </w:rPr>
              <w:t>at antenna port</w:t>
            </w: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ko-KR"/>
              </w:rPr>
            </w:pPr>
            <w:r>
              <w:rPr>
                <w:rFonts w:ascii="Arial" w:hAnsi="Arial" w:cs="Arial"/>
                <w:position w:val="-10"/>
                <w:sz w:val="18"/>
              </w:rPr>
              <w:drawing>
                <wp:inline distT="0" distB="0" distL="0" distR="0">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color="auto" w:sz="4" w:space="0"/>
              <w:left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eastAsia="?? ??" w:cs="Arial"/>
                <w:kern w:val="2"/>
                <w:sz w:val="18"/>
              </w:rPr>
              <w:t>dBm/15kHz</w:t>
            </w:r>
          </w:p>
        </w:tc>
        <w:tc>
          <w:tcPr>
            <w:tcW w:w="1858" w:type="dxa"/>
            <w:tcBorders>
              <w:top w:val="single" w:color="auto" w:sz="4" w:space="0"/>
              <w:left w:val="single" w:color="auto" w:sz="4" w:space="0"/>
              <w:right w:val="single" w:color="auto" w:sz="4" w:space="0"/>
            </w:tcBorders>
            <w:vAlign w:val="center"/>
          </w:tcPr>
          <w:p>
            <w:pPr>
              <w:keepNext/>
              <w:keepLines/>
              <w:spacing w:after="0"/>
              <w:jc w:val="center"/>
              <w:rPr>
                <w:rFonts w:ascii="Arial" w:hAnsi="Arial" w:cs="v5.0.0"/>
                <w:kern w:val="2"/>
                <w:sz w:val="18"/>
              </w:rPr>
            </w:pPr>
            <w:r>
              <w:rPr>
                <w:rFonts w:ascii="Arial" w:hAnsi="Arial" w:eastAsia="?? ??" w:cs="v5.0.0"/>
                <w:kern w:val="2"/>
                <w:sz w:val="18"/>
              </w:rPr>
              <w:t>-9</w:t>
            </w:r>
            <w:r>
              <w:rPr>
                <w:rFonts w:ascii="Arial" w:hAnsi="Arial" w:cs="v5.0.0"/>
                <w:kern w:val="2"/>
                <w:sz w:val="18"/>
              </w:rPr>
              <w:t>3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5" w:hRule="atLeast"/>
          <w:jc w:val="center"/>
        </w:trPr>
        <w:tc>
          <w:tcPr>
            <w:tcW w:w="3224" w:type="dxa"/>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position w:val="-12"/>
                <w:sz w:val="18"/>
              </w:rPr>
            </w:pPr>
          </w:p>
        </w:tc>
        <w:tc>
          <w:tcPr>
            <w:tcW w:w="13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sz w:val="18"/>
                <w:lang w:eastAsia="ko-KR"/>
              </w:rPr>
            </w:pPr>
            <w:r>
              <w:rPr>
                <w:rFonts w:ascii="Arial" w:hAnsi="Arial" w:cs="Arial"/>
                <w:position w:val="-10"/>
                <w:sz w:val="18"/>
              </w:rPr>
              <w:drawing>
                <wp:inline distT="0" distB="0" distL="0" distR="0">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eastAsia="?? ??" w:cs="Arial"/>
                <w:kern w:val="2"/>
                <w:sz w:val="18"/>
              </w:rPr>
              <w:t>dBm/15kHz</w:t>
            </w:r>
          </w:p>
        </w:tc>
        <w:tc>
          <w:tcPr>
            <w:tcW w:w="1858" w:type="dxa"/>
            <w:tcBorders>
              <w:left w:val="single" w:color="auto" w:sz="4" w:space="0"/>
              <w:bottom w:val="single" w:color="auto" w:sz="4" w:space="0"/>
              <w:right w:val="single" w:color="auto" w:sz="4" w:space="0"/>
            </w:tcBorders>
            <w:vAlign w:val="center"/>
          </w:tcPr>
          <w:p>
            <w:pPr>
              <w:keepNext/>
              <w:keepLines/>
              <w:spacing w:after="0"/>
              <w:jc w:val="center"/>
              <w:rPr>
                <w:rFonts w:ascii="Arial" w:hAnsi="Arial" w:eastAsia="?? ??" w:cs="v5.0.0"/>
                <w:kern w:val="2"/>
                <w:sz w:val="18"/>
              </w:rPr>
            </w:pPr>
            <w:r>
              <w:rPr>
                <w:rFonts w:ascii="Arial" w:hAnsi="Arial" w:eastAsia="?? ??" w:cs="v5.0.0"/>
                <w:kern w:val="2"/>
                <w:sz w:val="18"/>
              </w:rPr>
              <w:t>-9</w:t>
            </w:r>
            <w:r>
              <w:rPr>
                <w:rFonts w:ascii="Arial" w:hAnsi="Arial" w:cs="v5.0.0"/>
                <w:kern w:val="2"/>
                <w:sz w:val="18"/>
              </w:rPr>
              <w:t>6 (Note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Cs/>
                <w:i/>
                <w:sz w:val="18"/>
              </w:rPr>
            </w:pPr>
            <w:r>
              <w:rPr>
                <w:rFonts w:ascii="Arial" w:hAnsi="Arial" w:cs="Arial"/>
                <w:kern w:val="2"/>
                <w:sz w:val="18"/>
              </w:rPr>
              <w:t>NPDCCH repetition number</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rPr>
            </w:pPr>
            <w:r>
              <w:rPr>
                <w:rFonts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4 for 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position w:val="-12"/>
                <w:sz w:val="18"/>
              </w:rPr>
              <w:drawing>
                <wp:inline distT="0" distB="0" distL="0" distR="0">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Pr>
                <w:rFonts w:ascii="Arial" w:hAnsi="Arial"/>
                <w:b/>
                <w:sz w:val="18"/>
              </w:rPr>
              <w:t xml:space="preserve"> </w:t>
            </w:r>
            <w:r>
              <w:rPr>
                <w:rFonts w:ascii="Arial" w:hAnsi="Arial"/>
                <w:sz w:val="18"/>
              </w:rPr>
              <w:t>(</w:t>
            </w:r>
            <w:r>
              <w:rPr>
                <w:rFonts w:ascii="Arial" w:hAnsi="Arial"/>
                <w:i/>
                <w:sz w:val="18"/>
              </w:rPr>
              <w:t>npdcch-NumRepetitions-r13</w:t>
            </w:r>
            <w:r>
              <w:rPr>
                <w:rFonts w:ascii="Arial" w:hAnsi="Arial"/>
                <w:sz w:val="18"/>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subframe</w:t>
            </w: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8 for Test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5" w:hRule="atLeast"/>
          <w:jc w:val="center"/>
        </w:trPr>
        <w:tc>
          <w:tcPr>
            <w:tcW w:w="4605" w:type="dxa"/>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rPr>
            </w:pPr>
            <w:r>
              <w:rPr>
                <w:rFonts w:ascii="Arial" w:hAnsi="Arial"/>
                <w:position w:val="-6"/>
                <w:sz w:val="18"/>
                <w:lang w:eastAsia="ko-KR"/>
              </w:rPr>
              <w:drawing>
                <wp:inline distT="0" distB="0" distL="0" distR="0">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Pr>
                <w:rFonts w:ascii="Arial" w:hAnsi="Arial"/>
                <w:sz w:val="18"/>
              </w:rPr>
              <w:t>(</w:t>
            </w:r>
            <w:r>
              <w:rPr>
                <w:rFonts w:ascii="Arial" w:hAnsi="Arial" w:cs="Arial"/>
                <w:i/>
                <w:sz w:val="18"/>
              </w:rPr>
              <w:t>nPDCCH-startSF-USS-r13</w:t>
            </w:r>
            <w:r>
              <w:rPr>
                <w:rFonts w:ascii="Arial" w:hAnsi="Arial" w:cs="Arial"/>
                <w:b/>
                <w:sz w:val="18"/>
              </w:rPr>
              <w:t>)</w:t>
            </w:r>
          </w:p>
        </w:tc>
        <w:tc>
          <w:tcPr>
            <w:tcW w:w="1685"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p>
        </w:tc>
        <w:tc>
          <w:tcPr>
            <w:tcW w:w="185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73" w:hRule="atLeast"/>
          <w:jc w:val="center"/>
        </w:trPr>
        <w:tc>
          <w:tcPr>
            <w:tcW w:w="8148" w:type="dxa"/>
            <w:gridSpan w:val="4"/>
            <w:tcBorders>
              <w:top w:val="single" w:color="auto" w:sz="4" w:space="0"/>
              <w:left w:val="single" w:color="auto" w:sz="4" w:space="0"/>
              <w:bottom w:val="single" w:color="auto" w:sz="4" w:space="0"/>
              <w:right w:val="single" w:color="auto" w:sz="4" w:space="0"/>
            </w:tcBorders>
          </w:tcPr>
          <w:p>
            <w:pPr>
              <w:keepNext/>
              <w:keepLines/>
              <w:spacing w:after="0"/>
              <w:ind w:left="851" w:hanging="851"/>
              <w:rPr>
                <w:rFonts w:ascii="Arial" w:hAnsi="Arial" w:cs="Arial"/>
                <w:kern w:val="2"/>
                <w:sz w:val="18"/>
              </w:rPr>
            </w:pPr>
            <w:r>
              <w:rPr>
                <w:rFonts w:ascii="Arial" w:hAnsi="Arial" w:cs="Arial"/>
                <w:kern w:val="2"/>
                <w:sz w:val="18"/>
              </w:rPr>
              <w:t>Note 1:</w:t>
            </w:r>
            <w:r>
              <w:rPr>
                <w:rFonts w:ascii="Arial" w:hAnsi="Arial" w:cs="Arial"/>
                <w:kern w:val="2"/>
                <w:sz w:val="18"/>
              </w:rPr>
              <w:tab/>
            </w:r>
            <w:r>
              <w:rPr>
                <w:rFonts w:ascii="Arial" w:hAnsi="Arial" w:cs="Arial"/>
                <w:sz w:val="18"/>
              </w:rPr>
              <w:t>This noise is applied to all subframes from the end of the NPDCCH to the end of the following NPDSCH transmission</w:t>
            </w:r>
            <w:r>
              <w:rPr>
                <w:rFonts w:ascii="Arial" w:hAnsi="Arial" w:cs="Arial"/>
                <w:kern w:val="2"/>
                <w:sz w:val="18"/>
              </w:rPr>
              <w:t>;</w:t>
            </w:r>
          </w:p>
          <w:p>
            <w:pPr>
              <w:keepNext/>
              <w:keepLines/>
              <w:spacing w:after="0"/>
              <w:ind w:left="851" w:hanging="851"/>
              <w:rPr>
                <w:rFonts w:ascii="Arial" w:hAnsi="Arial" w:cs="Arial"/>
                <w:kern w:val="2"/>
                <w:sz w:val="18"/>
              </w:rPr>
            </w:pPr>
            <w:r>
              <w:rPr>
                <w:rFonts w:ascii="Arial" w:hAnsi="Arial"/>
                <w:sz w:val="18"/>
              </w:rPr>
              <w:t>Note 2:</w:t>
            </w:r>
            <w:r>
              <w:rPr>
                <w:rFonts w:ascii="Arial" w:hAnsi="Arial" w:cs="Arial"/>
                <w:kern w:val="2"/>
                <w:sz w:val="18"/>
              </w:rPr>
              <w:tab/>
            </w:r>
            <w:r>
              <w:rPr>
                <w:rFonts w:ascii="Arial" w:hAnsi="Arial"/>
                <w:sz w:val="18"/>
              </w:rPr>
              <w:t>This noise is applied to all subframes from the end of the NPDSCH to the end of the following NPDCCH transmission.</w:t>
            </w:r>
          </w:p>
        </w:tc>
      </w:tr>
    </w:tbl>
    <w:p/>
    <w:p>
      <w:pPr>
        <w:pStyle w:val="113"/>
      </w:pPr>
      <w:r>
        <w:t>Table 8.3.1.1.3.3-2: Minimum performance for NPDSCH under Standalone with 1 NRS port</w:t>
      </w:r>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Test number</w:t>
            </w:r>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Carrier Type</w:t>
            </w:r>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Channel</w:t>
            </w:r>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Repetition number</w:t>
            </w:r>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Propagation condition</w:t>
            </w:r>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Number of NRS ports</w:t>
            </w:r>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value</w:t>
            </w:r>
          </w:p>
        </w:tc>
        <w:tc>
          <w:tcPr>
            <w:tcW w:w="571"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rPr>
            </w:pPr>
            <w:r>
              <w:rPr>
                <w:rFonts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Fraction of Maximum</w:t>
            </w:r>
          </w:p>
          <w:p>
            <w:pPr>
              <w:keepNext/>
              <w:keepLines/>
              <w:spacing w:after="0"/>
              <w:jc w:val="center"/>
              <w:rPr>
                <w:rFonts w:ascii="Arial" w:hAnsi="Arial" w:cs="Arial"/>
                <w:b/>
                <w:kern w:val="2"/>
                <w:sz w:val="18"/>
              </w:rPr>
            </w:pPr>
            <w:r>
              <w:rPr>
                <w:rFonts w:ascii="Arial" w:hAnsi="Arial" w:cs="Arial"/>
                <w:b/>
                <w:kern w:val="2"/>
                <w:sz w:val="18"/>
              </w:rPr>
              <w:t>Throughput (%)</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SNR (dB)</w:t>
            </w:r>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200kHz</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Non-anchor</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lang w:eastAsia="ko-KR"/>
              </w:rPr>
              <w:t>R.NB.</w:t>
            </w:r>
            <w:r>
              <w:rPr>
                <w:rFonts w:ascii="Arial" w:hAnsi="Arial" w:cs="Arial"/>
                <w:sz w:val="18"/>
              </w:rPr>
              <w:t>7</w:t>
            </w:r>
            <w:r>
              <w:rPr>
                <w:rFonts w:ascii="Arial" w:hAnsi="Arial" w:cs="Arial"/>
                <w:kern w:val="2"/>
                <w:sz w:val="18"/>
              </w:rPr>
              <w:t xml:space="preserve"> FDD</w:t>
            </w:r>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EPA5</w:t>
            </w:r>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70%</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9.4</w:t>
            </w:r>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kern w:val="2"/>
                <w:sz w:val="18"/>
              </w:rPr>
            </w:pPr>
            <w:r>
              <w:rPr>
                <w:rFonts w:ascii="Arial" w:hAnsi="Arial" w:cs="Arial"/>
                <w:kern w:val="2"/>
                <w:sz w:val="18"/>
              </w:rPr>
              <w:t>NB2</w:t>
            </w:r>
          </w:p>
        </w:tc>
      </w:tr>
    </w:tbl>
    <w:p/>
    <w:p>
      <w:pPr>
        <w:rPr>
          <w:lang w:eastAsia="zh-TW"/>
        </w:rPr>
      </w:pPr>
      <w:r>
        <w:t>The normative reference for this requirement is TS 36.101 [2] clause 8.12.1.1.3</w:t>
      </w:r>
      <w:r>
        <w:rPr>
          <w:lang w:eastAsia="zh-TW"/>
        </w:rPr>
        <w:t>.</w:t>
      </w:r>
    </w:p>
    <w:p>
      <w:pPr>
        <w:pStyle w:val="9"/>
        <w:rPr>
          <w:snapToGrid w:val="0"/>
          <w:kern w:val="2"/>
        </w:rPr>
      </w:pPr>
      <w:r>
        <w:rPr>
          <w:snapToGrid w:val="0"/>
          <w:kern w:val="2"/>
        </w:rPr>
        <w:t>8.3.1.1.3.4</w:t>
      </w:r>
      <w:r>
        <w:rPr>
          <w:snapToGrid w:val="0"/>
          <w:kern w:val="2"/>
        </w:rPr>
        <w:tab/>
      </w:r>
      <w:r>
        <w:rPr>
          <w:snapToGrid w:val="0"/>
          <w:kern w:val="2"/>
        </w:rPr>
        <w:t>Test description</w:t>
      </w:r>
    </w:p>
    <w:p>
      <w:pPr>
        <w:pStyle w:val="9"/>
        <w:rPr>
          <w:snapToGrid w:val="0"/>
          <w:kern w:val="2"/>
        </w:rPr>
      </w:pPr>
      <w:r>
        <w:rPr>
          <w:snapToGrid w:val="0"/>
          <w:kern w:val="2"/>
        </w:rPr>
        <w:t>8.3.1.1.3.4.1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8.3.1.1.3.3-2.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1.</w:t>
      </w:r>
      <w:r>
        <w:rPr>
          <w:rStyle w:val="91"/>
          <w:rFonts w:eastAsia="Malgun Gothic"/>
        </w:rPr>
        <w:tab/>
      </w:r>
      <w:r>
        <w:rPr>
          <w:rStyle w:val="91"/>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2.</w:t>
      </w:r>
      <w:r>
        <w:rPr>
          <w:rStyle w:val="91"/>
          <w:rFonts w:eastAsia="Malgun Gothic"/>
        </w:rPr>
        <w:tab/>
      </w:r>
      <w:r>
        <w:rPr>
          <w:rStyle w:val="91"/>
          <w:rFonts w:eastAsia="Malgun Gothic"/>
        </w:rPr>
        <w:t>The parameter settings for the cell are set up according to Tables 8.3.1.1-1 and 8.3.1.1.3.3-1 as appropriate.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3.</w:t>
      </w:r>
      <w:r>
        <w:rPr>
          <w:rStyle w:val="91"/>
          <w:rFonts w:eastAsia="Malgun Gothic"/>
        </w:rPr>
        <w:tab/>
      </w:r>
      <w:r>
        <w:rPr>
          <w:rStyle w:val="91"/>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4.</w:t>
      </w:r>
      <w:r>
        <w:rPr>
          <w:rStyle w:val="91"/>
          <w:rFonts w:eastAsia="Malgun Gothic"/>
        </w:rPr>
        <w:tab/>
      </w:r>
      <w:r>
        <w:rPr>
          <w:rStyle w:val="91"/>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5.</w:t>
      </w:r>
      <w:r>
        <w:rPr>
          <w:rStyle w:val="91"/>
          <w:rFonts w:eastAsia="Malgun Gothic"/>
        </w:rPr>
        <w:tab/>
      </w:r>
      <w:r>
        <w:rPr>
          <w:rStyle w:val="91"/>
          <w:rFonts w:eastAsia="Malgun Gothic"/>
        </w:rPr>
        <w:t>Ensure the UE is in State 2A-NB with CP CIoT Optimisation according to TS 36.508 [7] clause 8.1.5. Message contents are defined in clause 8.3.1.1.3.4.3.</w:t>
      </w:r>
    </w:p>
    <w:p>
      <w:pPr>
        <w:pStyle w:val="9"/>
      </w:pPr>
      <w:r>
        <w:rPr>
          <w:snapToGrid w:val="0"/>
          <w:kern w:val="2"/>
        </w:rPr>
        <w:t>8.3.1.1.3.</w:t>
      </w:r>
      <w:r>
        <w:rPr>
          <w:snapToGrid w:val="0"/>
          <w:kern w:val="2"/>
          <w:lang w:eastAsia="zh-TW"/>
        </w:rPr>
        <w:t>4.</w:t>
      </w:r>
      <w:r>
        <w:t>2</w:t>
      </w:r>
      <w:r>
        <w:tab/>
      </w:r>
      <w:r>
        <w:t>Test procedure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1.</w:t>
      </w:r>
      <w:r>
        <w:rPr>
          <w:rStyle w:val="91"/>
          <w:rFonts w:eastAsia="Malgun Gothic"/>
        </w:rPr>
        <w:tab/>
      </w:r>
      <w:r>
        <w:rPr>
          <w:rStyle w:val="91"/>
          <w:rFonts w:eastAsia="Malgun Gothic"/>
        </w:rPr>
        <w:t>SS transmits NPDSCH via NPDCCH DCI format N1 for C_RNTI to transmit the DL RMC according to Tables 8.3.1.1.3.3-1 and 8.3.1.1.3.3-2.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2.</w:t>
      </w:r>
      <w:r>
        <w:rPr>
          <w:rStyle w:val="91"/>
          <w:rFonts w:eastAsia="Malgun Gothic"/>
        </w:rPr>
        <w:tab/>
      </w:r>
      <w:r>
        <w:rPr>
          <w:rStyle w:val="91"/>
          <w:rFonts w:eastAsia="Malgun Gothic"/>
        </w:rPr>
        <w:t>Set the parameters of the bandwidth, MCS, reference channel, the propagation condition, the correlation matrix, antenna configuration and the SNR according to Table 8.3.1.1.3.5-1 as appropriate.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3.</w:t>
      </w:r>
      <w:r>
        <w:rPr>
          <w:rStyle w:val="91"/>
          <w:rFonts w:eastAsia="Malgun Gothic"/>
        </w:rPr>
        <w:tab/>
      </w:r>
      <w:r>
        <w:rPr>
          <w:rStyle w:val="91"/>
          <w:rFonts w:eastAsia="Malgun Gothic"/>
        </w:rPr>
        <w:t>Measure the average throughput for a duration sufficient to achieve statistical significance according to Annex G clause G.3. Count the number of NACKs, ACKs and statDTXs on the UL during the test interval and decide pass or fail according to Tables G.3.5 and G.3.6 in Annex G clause G.3.</w:t>
      </w:r>
    </w:p>
    <w:p>
      <w:pPr>
        <w:pStyle w:val="9"/>
      </w:pPr>
      <w:r>
        <w:rPr>
          <w:snapToGrid w:val="0"/>
          <w:kern w:val="2"/>
        </w:rPr>
        <w:t>8.3.1.1.3.</w:t>
      </w:r>
      <w:r>
        <w:rPr>
          <w:snapToGrid w:val="0"/>
          <w:kern w:val="2"/>
          <w:lang w:eastAsia="zh-TW"/>
        </w:rPr>
        <w:t>4.</w:t>
      </w:r>
      <w:r>
        <w:rPr>
          <w:lang w:eastAsia="zh-TW"/>
        </w:rPr>
        <w:t>3</w:t>
      </w:r>
      <w:r>
        <w:tab/>
      </w:r>
      <w:r>
        <w:t>Message contents</w:t>
      </w:r>
    </w:p>
    <w:p>
      <w:r>
        <w:t xml:space="preserve">Message contents are same as </w:t>
      </w:r>
      <w:r>
        <w:rPr>
          <w:snapToGrid w:val="0"/>
          <w:kern w:val="2"/>
        </w:rPr>
        <w:t>8.3.1.1.1.</w:t>
      </w:r>
      <w:r>
        <w:rPr>
          <w:snapToGrid w:val="0"/>
          <w:kern w:val="2"/>
          <w:lang w:eastAsia="zh-TW"/>
        </w:rPr>
        <w:t>4.</w:t>
      </w:r>
      <w:r>
        <w:rPr>
          <w:lang w:eastAsia="zh-TW"/>
        </w:rPr>
        <w:t>3</w:t>
      </w:r>
      <w:r>
        <w:t xml:space="preserve"> with the following exceptions:</w:t>
      </w:r>
    </w:p>
    <w:p>
      <w:pPr>
        <w:pStyle w:val="113"/>
      </w:pPr>
      <w:r>
        <w:t xml:space="preserve">Table 8.3.1.1.3.4.3-1: Configure Non-anchor carrier in subtest 1 </w:t>
      </w:r>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shd w:val="clear" w:color="auto" w:fill="auto"/>
          </w:tcPr>
          <w:p>
            <w:pPr>
              <w:pStyle w:val="103"/>
              <w:keepNext w:val="0"/>
              <w:keepLines w:val="0"/>
            </w:pPr>
            <w:r>
              <w:t>PhysicalConfigDedicated-NB-DEFAULT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carrierConfigDedicated-NB-r13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r>
              <w:t>Non-anchor carrier</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dl-CarrierConfig-r13::=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dl-CarrierFreq-r13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downlinkBitmapNonAnchor-r13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dl-GapNonAnchor-r13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ul-CarrierConfig-r13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ul-CarrierFreq-r13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npdcch-ConfigDedicated-r13</w:t>
            </w:r>
          </w:p>
        </w:tc>
        <w:tc>
          <w:tcPr>
            <w:tcW w:w="2267" w:type="dxa"/>
            <w:shd w:val="clear" w:color="auto" w:fill="auto"/>
          </w:tcPr>
          <w:p>
            <w:pPr>
              <w:pStyle w:val="103"/>
              <w:keepNext w:val="0"/>
              <w:keepLines w:val="0"/>
            </w:pPr>
            <w:r>
              <w:t>NPDCCH-ConfigDedicated-NB-DEFAULT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npusch-ConfigDedicated-r13</w:t>
            </w:r>
          </w:p>
        </w:tc>
        <w:tc>
          <w:tcPr>
            <w:tcW w:w="2267" w:type="dxa"/>
            <w:tcBorders>
              <w:bottom w:val="single" w:color="000000" w:sz="4" w:space="0"/>
            </w:tcBorders>
            <w:shd w:val="clear" w:color="auto" w:fill="auto"/>
          </w:tcPr>
          <w:p>
            <w:pPr>
              <w:pStyle w:val="103"/>
              <w:keepNext w:val="0"/>
              <w:keepLines w:val="0"/>
            </w:pPr>
            <w:r>
              <w:t>NPUSCH-ConfigDedicated-NB-DEFAULT</w:t>
            </w:r>
          </w:p>
        </w:tc>
        <w:tc>
          <w:tcPr>
            <w:tcW w:w="1811" w:type="dxa"/>
            <w:tcBorders>
              <w:bottom w:val="single" w:color="000000" w:sz="4" w:space="0"/>
            </w:tcBorders>
            <w:shd w:val="clear" w:color="auto" w:fill="auto"/>
          </w:tcPr>
          <w:p>
            <w:pPr>
              <w:pStyle w:val="103"/>
              <w:keepNext w:val="0"/>
              <w:keepLines w:val="0"/>
            </w:pPr>
            <w:r>
              <w:t>See subclause 8.1.6.3 in 36.508</w:t>
            </w:r>
          </w:p>
        </w:tc>
        <w:tc>
          <w:tcPr>
            <w:tcW w:w="1134" w:type="dxa"/>
            <w:tcBorders>
              <w:bottom w:val="single" w:color="000000"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uplinkPowerControlDedicated-r13</w:t>
            </w:r>
          </w:p>
        </w:tc>
        <w:tc>
          <w:tcPr>
            <w:tcW w:w="2267" w:type="dxa"/>
            <w:shd w:val="clear" w:color="auto" w:fill="auto"/>
          </w:tcPr>
          <w:p>
            <w:pPr>
              <w:pStyle w:val="103"/>
              <w:keepNext w:val="0"/>
              <w:keepLines w:val="0"/>
            </w:pPr>
            <w:r>
              <w:t>UplinkPowerControlDedicated-NB-DEFAULT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18"/>
              <w:keepNext w:val="0"/>
              <w:keepLines w:val="0"/>
            </w:pPr>
            <w:r>
              <w:t>Note 1: The frequency of Non-anchor carrier is located at 200KHz higher from the centre of the anchor carrier.</w:t>
            </w:r>
          </w:p>
        </w:tc>
      </w:tr>
    </w:tbl>
    <w:p>
      <w:pPr>
        <w:pStyle w:val="113"/>
      </w:pPr>
      <w:r>
        <w:t>Table 8.3.1.1.3.4.3-2: NPDCCH-ConfigDedicated-NB-DEFAULT</w:t>
      </w:r>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R8</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V1.5</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8.3.1.1.3.5</w:t>
      </w:r>
      <w:r>
        <w:rPr>
          <w:snapToGrid w:val="0"/>
          <w:kern w:val="2"/>
        </w:rPr>
        <w:tab/>
      </w:r>
      <w:r>
        <w:rPr>
          <w:snapToGrid w:val="0"/>
          <w:kern w:val="2"/>
        </w:rPr>
        <w:t>Test requirement</w:t>
      </w:r>
    </w:p>
    <w:p>
      <w:r>
        <w:t>Table 8.3.1.1.3</w:t>
      </w:r>
      <w:r>
        <w:rPr>
          <w:lang w:eastAsia="zh-TW"/>
        </w:rPr>
        <w:t>.3</w:t>
      </w:r>
      <w:r>
        <w:t>-1 defines the primary level settings.</w:t>
      </w:r>
    </w:p>
    <w:p>
      <w:pPr>
        <w:rPr>
          <w:lang w:eastAsia="zh-TW"/>
        </w:rPr>
      </w:pPr>
      <w:r>
        <w:t xml:space="preserve">The fraction of maximum throughput percentage for the downlink reference measurement channels specified in </w:t>
      </w:r>
      <w:r>
        <w:rPr>
          <w:rFonts w:hint="eastAsia"/>
        </w:rPr>
        <w:t>TS</w:t>
      </w:r>
      <w:r>
        <w:t>36.521-1 Annex A clause A.3.12.2.1 for each throughput test shall meet or exceed the specified value in Table 8.3.1.1.3.</w:t>
      </w:r>
      <w:r>
        <w:rPr>
          <w:lang w:eastAsia="zh-TW"/>
        </w:rPr>
        <w:t>5</w:t>
      </w:r>
      <w:r>
        <w:t>-</w:t>
      </w:r>
      <w:r>
        <w:rPr>
          <w:lang w:eastAsia="zh-TW"/>
        </w:rPr>
        <w:t>1</w:t>
      </w:r>
      <w:r>
        <w:t xml:space="preserve"> for the specified SNR including test tolerances for all throughput tests.</w:t>
      </w:r>
    </w:p>
    <w:p>
      <w:pPr>
        <w:pStyle w:val="113"/>
      </w:pPr>
      <w:r>
        <w:t>Table 8.3.1.1.3.</w:t>
      </w:r>
      <w:r>
        <w:rPr>
          <w:lang w:eastAsia="zh-TW"/>
        </w:rPr>
        <w:t>5</w:t>
      </w:r>
      <w:r>
        <w:t>-</w:t>
      </w:r>
      <w:r>
        <w:rPr>
          <w:lang w:eastAsia="zh-TW"/>
        </w:rPr>
        <w:t>1</w:t>
      </w:r>
      <w:r>
        <w:t>: Test requirements under standalone with 1 NRS ports</w:t>
      </w:r>
    </w:p>
    <w:tbl>
      <w:tblPr>
        <w:tblStyle w:val="89"/>
        <w:tblW w:w="95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713"/>
        <w:gridCol w:w="818"/>
        <w:gridCol w:w="818"/>
        <w:gridCol w:w="919"/>
        <w:gridCol w:w="1097"/>
        <w:gridCol w:w="991"/>
        <w:gridCol w:w="1561"/>
        <w:gridCol w:w="695"/>
        <w:gridCol w:w="1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Test number</w:t>
            </w:r>
          </w:p>
        </w:tc>
        <w:tc>
          <w:tcPr>
            <w:tcW w:w="373"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Bandwidth</w:t>
            </w:r>
          </w:p>
        </w:tc>
        <w:tc>
          <w:tcPr>
            <w:tcW w:w="428"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Carrier Type</w:t>
            </w:r>
          </w:p>
        </w:tc>
        <w:tc>
          <w:tcPr>
            <w:tcW w:w="428"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Channel</w:t>
            </w:r>
          </w:p>
        </w:tc>
        <w:tc>
          <w:tcPr>
            <w:tcW w:w="481"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Repetition number</w:t>
            </w:r>
          </w:p>
        </w:tc>
        <w:tc>
          <w:tcPr>
            <w:tcW w:w="574" w:type="pct"/>
            <w:vMerge w:val="restart"/>
            <w:tcBorders>
              <w:top w:val="single" w:color="auto" w:sz="4" w:space="0"/>
              <w:left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Propagation condition</w:t>
            </w:r>
          </w:p>
        </w:tc>
        <w:tc>
          <w:tcPr>
            <w:tcW w:w="519" w:type="pct"/>
            <w:vMerge w:val="restar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Number of NRS ports</w:t>
            </w:r>
          </w:p>
        </w:tc>
        <w:tc>
          <w:tcPr>
            <w:tcW w:w="1181" w:type="pct"/>
            <w:gridSpan w:val="2"/>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Reference value</w:t>
            </w:r>
          </w:p>
        </w:tc>
        <w:tc>
          <w:tcPr>
            <w:tcW w:w="571" w:type="pct"/>
            <w:vMerge w:val="restart"/>
            <w:tcBorders>
              <w:top w:val="single" w:color="auto" w:sz="4" w:space="0"/>
              <w:left w:val="single" w:color="auto" w:sz="4" w:space="0"/>
              <w:right w:val="single" w:color="auto" w:sz="4" w:space="0"/>
            </w:tcBorders>
          </w:tcPr>
          <w:p>
            <w:pPr>
              <w:keepNext/>
              <w:keepLines/>
              <w:spacing w:after="0"/>
              <w:jc w:val="center"/>
              <w:rPr>
                <w:rFonts w:ascii="Arial" w:hAnsi="Arial" w:cs="Arial"/>
                <w:b/>
                <w:kern w:val="2"/>
                <w:sz w:val="18"/>
              </w:rPr>
            </w:pPr>
            <w:r>
              <w:rPr>
                <w:rFonts w:ascii="Arial" w:hAnsi="Arial" w:cs="Arial"/>
                <w:b/>
                <w:kern w:val="2"/>
                <w:sz w:val="18"/>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373"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28"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481"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74" w:type="pct"/>
            <w:vMerge w:val="continue"/>
            <w:tcBorders>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519" w:type="pct"/>
            <w:vMerge w:val="continue"/>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Fraction of Maximum</w:t>
            </w:r>
          </w:p>
          <w:p>
            <w:pPr>
              <w:keepNext/>
              <w:keepLines/>
              <w:spacing w:after="0"/>
              <w:jc w:val="center"/>
              <w:rPr>
                <w:rFonts w:ascii="Arial" w:hAnsi="Arial" w:cs="Arial"/>
                <w:b/>
                <w:kern w:val="2"/>
                <w:sz w:val="18"/>
              </w:rPr>
            </w:pPr>
            <w:r>
              <w:rPr>
                <w:rFonts w:ascii="Arial" w:hAnsi="Arial" w:cs="Arial"/>
                <w:b/>
                <w:kern w:val="2"/>
                <w:sz w:val="18"/>
              </w:rPr>
              <w:t>Throughput (%)</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b/>
                <w:kern w:val="2"/>
                <w:sz w:val="18"/>
              </w:rPr>
            </w:pPr>
            <w:r>
              <w:rPr>
                <w:rFonts w:ascii="Arial" w:hAnsi="Arial" w:cs="Arial"/>
                <w:b/>
                <w:kern w:val="2"/>
                <w:sz w:val="18"/>
              </w:rPr>
              <w:t>SNR (dB)</w:t>
            </w:r>
          </w:p>
        </w:tc>
        <w:tc>
          <w:tcPr>
            <w:tcW w:w="571" w:type="pct"/>
            <w:vMerge w:val="continue"/>
            <w:tcBorders>
              <w:left w:val="single" w:color="auto" w:sz="4" w:space="0"/>
              <w:bottom w:val="single" w:color="auto" w:sz="4" w:space="0"/>
              <w:right w:val="single" w:color="auto" w:sz="4" w:space="0"/>
            </w:tcBorders>
          </w:tcPr>
          <w:p>
            <w:pPr>
              <w:keepNext/>
              <w:keepLines/>
              <w:spacing w:after="0"/>
              <w:jc w:val="center"/>
              <w:rPr>
                <w:rFonts w:ascii="Arial" w:hAnsi="Arial" w:cs="Arial"/>
                <w:b/>
                <w:kern w:val="2"/>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 w:hRule="atLeast"/>
          <w:jc w:val="center"/>
        </w:trPr>
        <w:tc>
          <w:tcPr>
            <w:tcW w:w="44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200kHz</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Non-anchor</w:t>
            </w:r>
          </w:p>
        </w:tc>
        <w:tc>
          <w:tcPr>
            <w:tcW w:w="428"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sz w:val="18"/>
                <w:lang w:eastAsia="ko-KR"/>
              </w:rPr>
              <w:t>R.NB.</w:t>
            </w:r>
            <w:r>
              <w:rPr>
                <w:rFonts w:ascii="Arial" w:hAnsi="Arial" w:cs="Arial"/>
                <w:sz w:val="18"/>
              </w:rPr>
              <w:t>7</w:t>
            </w:r>
            <w:r>
              <w:rPr>
                <w:rFonts w:ascii="Arial" w:hAnsi="Arial" w:cs="Arial"/>
                <w:kern w:val="2"/>
                <w:sz w:val="18"/>
              </w:rPr>
              <w:t xml:space="preserve"> FDD</w:t>
            </w:r>
          </w:p>
        </w:tc>
        <w:tc>
          <w:tcPr>
            <w:tcW w:w="481"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57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EPA5</w:t>
            </w:r>
          </w:p>
        </w:tc>
        <w:tc>
          <w:tcPr>
            <w:tcW w:w="519"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1</w:t>
            </w:r>
          </w:p>
        </w:tc>
        <w:tc>
          <w:tcPr>
            <w:tcW w:w="817"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rPr>
            </w:pPr>
            <w:r>
              <w:rPr>
                <w:rFonts w:ascii="Arial" w:hAnsi="Arial" w:cs="Arial"/>
                <w:kern w:val="2"/>
                <w:sz w:val="18"/>
              </w:rPr>
              <w:t>70%</w:t>
            </w:r>
          </w:p>
        </w:tc>
        <w:tc>
          <w:tcPr>
            <w:tcW w:w="364" w:type="pct"/>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color w:val="00B050"/>
                <w:kern w:val="2"/>
                <w:sz w:val="18"/>
              </w:rPr>
            </w:pPr>
            <w:r>
              <w:rPr>
                <w:rFonts w:ascii="Arial" w:hAnsi="Arial" w:cs="Arial"/>
                <w:kern w:val="2"/>
                <w:sz w:val="18"/>
              </w:rPr>
              <w:t>10.2</w:t>
            </w:r>
          </w:p>
        </w:tc>
        <w:tc>
          <w:tcPr>
            <w:tcW w:w="571" w:type="pct"/>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cs="Arial"/>
                <w:kern w:val="2"/>
                <w:sz w:val="18"/>
              </w:rPr>
            </w:pPr>
            <w:r>
              <w:rPr>
                <w:rFonts w:ascii="Arial" w:hAnsi="Arial" w:cs="Arial"/>
                <w:kern w:val="2"/>
                <w:sz w:val="18"/>
              </w:rPr>
              <w:t>NB2</w:t>
            </w:r>
          </w:p>
        </w:tc>
      </w:tr>
    </w:tbl>
    <w:p/>
    <w:p>
      <w:pPr>
        <w:pStyle w:val="6"/>
      </w:pPr>
      <w:bookmarkStart w:id="978" w:name="_Toc206"/>
      <w:r>
        <w:t>8.3.1.2</w:t>
      </w:r>
      <w:r>
        <w:tab/>
      </w:r>
      <w:r>
        <w:t>NPDCCH</w:t>
      </w:r>
      <w:bookmarkEnd w:id="978"/>
    </w:p>
    <w:p>
      <w:pPr>
        <w:rPr>
          <w:rFonts w:eastAsia="MS Mincho"/>
        </w:rPr>
      </w:pPr>
      <w:r>
        <w:t>The parameters specified in Table 8.3.1.2-1 and 8.3.1.2-2 are valid for all half-duplex FDD tests unless otherwise stated.</w:t>
      </w:r>
    </w:p>
    <w:p>
      <w:pPr>
        <w:pStyle w:val="113"/>
      </w:pPr>
      <w:r>
        <w:t>Table 8.3.1.2-1: Test Parameters for NPDCCH</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7" w:type="dxa"/>
            <w:tcBorders>
              <w:bottom w:val="nil"/>
            </w:tcBorders>
            <w:vAlign w:val="center"/>
          </w:tcPr>
          <w:p>
            <w:pPr>
              <w:pStyle w:val="104"/>
              <w:rPr>
                <w:rFonts w:eastAsia="?? ??" w:cs="Arial"/>
              </w:rPr>
            </w:pPr>
            <w:r>
              <w:rPr>
                <w:rFonts w:eastAsia="?? ??" w:cs="Arial"/>
              </w:rPr>
              <w:t>Parameter</w:t>
            </w:r>
          </w:p>
        </w:tc>
        <w:tc>
          <w:tcPr>
            <w:tcW w:w="1441" w:type="dxa"/>
            <w:tcBorders>
              <w:bottom w:val="nil"/>
            </w:tcBorders>
            <w:vAlign w:val="center"/>
          </w:tcPr>
          <w:p>
            <w:pPr>
              <w:pStyle w:val="104"/>
              <w:rPr>
                <w:rFonts w:cs="Arial"/>
              </w:rPr>
            </w:pPr>
            <w:r>
              <w:rPr>
                <w:rFonts w:cs="Arial"/>
              </w:rPr>
              <w:t>Unit</w:t>
            </w:r>
          </w:p>
        </w:tc>
        <w:tc>
          <w:tcPr>
            <w:tcW w:w="1559" w:type="dxa"/>
            <w:tcBorders>
              <w:bottom w:val="nil"/>
            </w:tcBorders>
            <w:vAlign w:val="center"/>
          </w:tcPr>
          <w:p>
            <w:pPr>
              <w:pStyle w:val="104"/>
              <w:rPr>
                <w:rFonts w:eastAsia="?? ??" w:cs="Arial"/>
              </w:rPr>
            </w:pPr>
            <w:r>
              <w:rPr>
                <w:rFonts w:eastAsia="?? ??" w:cs="Arial"/>
              </w:rPr>
              <w:t>Single antenna 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887" w:type="dxa"/>
            <w:vAlign w:val="center"/>
          </w:tcPr>
          <w:p>
            <w:pPr>
              <w:pStyle w:val="105"/>
              <w:rPr>
                <w:rFonts w:cs="Arial"/>
              </w:rPr>
            </w:pPr>
            <w:r>
              <w:rPr>
                <w:rFonts w:cs="Arial"/>
              </w:rPr>
              <w:t>Narrowband physical layer Cell ID</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Arial"/>
                <w:position w:val="-12"/>
              </w:rPr>
              <w:object>
                <v:shape id="_x0000_i1085" o:spt="75" type="#_x0000_t75" style="height:16.9pt;width:19.65pt;" o:ole="t" filled="f" o:preferrelative="t" stroked="f" coordsize="21600,21600">
                  <v:path/>
                  <v:fill on="f" focussize="0,0"/>
                  <v:stroke on="f" joinstyle="miter"/>
                  <v:imagedata r:id="rId111" o:title=""/>
                  <o:lock v:ext="edit" aspectratio="t"/>
                  <w10:wrap type="none"/>
                  <w10:anchorlock/>
                </v:shape>
                <o:OLEObject Type="Embed" ProgID="Equation.3" ShapeID="_x0000_i1085" DrawAspect="Content" ObjectID="_1468075785" r:id="rId119">
                  <o:LockedField>false</o:LockedField>
                </o:OLEObject>
              </w:object>
            </w:r>
            <w:r>
              <w:rPr>
                <w:rFonts w:cs="Arial"/>
              </w:rPr>
              <w:t>at antenna port</w:t>
            </w:r>
          </w:p>
        </w:tc>
        <w:tc>
          <w:tcPr>
            <w:tcW w:w="1441" w:type="dxa"/>
            <w:vAlign w:val="center"/>
          </w:tcPr>
          <w:p>
            <w:pPr>
              <w:pStyle w:val="105"/>
              <w:rPr>
                <w:rFonts w:eastAsia="?? ??" w:cs="v5.0.0"/>
              </w:rPr>
            </w:pPr>
            <w:r>
              <w:rPr>
                <w:rFonts w:eastAsia="?? ??" w:cs="Arial"/>
              </w:rPr>
              <w:t>dBm/15kHz</w:t>
            </w:r>
          </w:p>
        </w:tc>
        <w:tc>
          <w:tcPr>
            <w:tcW w:w="1559" w:type="dxa"/>
            <w:vAlign w:val="center"/>
          </w:tcPr>
          <w:p>
            <w:pPr>
              <w:pStyle w:val="105"/>
              <w:rPr>
                <w:rFonts w:eastAsia="?? ??" w:cs="v5.0.0"/>
              </w:rPr>
            </w:pPr>
            <w:r>
              <w:rPr>
                <w:rFonts w:eastAsia="?? ??" w:cs="v5.0.0"/>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Cyclic prefix</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Normal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lang w:eastAsia="ko-KR"/>
              </w:rPr>
              <w:t xml:space="preserve">Maximum number of repetitions </w:t>
            </w:r>
            <w:r>
              <w:rPr>
                <w:rFonts w:cs="v5.0.0"/>
                <w:lang w:eastAsia="ko-KR"/>
              </w:rPr>
              <w:object>
                <v:shape id="_x0000_i1086" o:spt="75" type="#_x0000_t75" style="height:16.9pt;width:23.45pt;" o:ole="t" filled="f" o:preferrelative="t" stroked="f" coordsize="21600,21600">
                  <v:path/>
                  <v:fill on="f" focussize="0,0"/>
                  <v:stroke on="f" joinstyle="miter"/>
                  <v:imagedata r:id="rId121" o:title=""/>
                  <o:lock v:ext="edit" aspectratio="t"/>
                  <w10:wrap type="none"/>
                  <w10:anchorlock/>
                </v:shape>
                <o:OLEObject Type="Embed" ProgID="Equation.DSMT4" ShapeID="_x0000_i1086" DrawAspect="Content" ObjectID="_1468075786" r:id="rId120">
                  <o:LockedField>false</o:LockedField>
                </o:OLEObject>
              </w:object>
            </w:r>
            <w:r>
              <w:rPr>
                <w:rFonts w:cs="v5.0.0"/>
                <w:lang w:eastAsia="ko-KR"/>
              </w:rPr>
              <w:t>(</w:t>
            </w:r>
            <w:r>
              <w:rPr>
                <w:i/>
                <w:lang w:eastAsia="ko-KR"/>
              </w:rPr>
              <w:t>npdcch-NumRepetitions-r13</w:t>
            </w:r>
            <w:r>
              <w:rPr>
                <w:rFonts w:cs="v5.0.0"/>
                <w:lang w:eastAsia="ko-KR"/>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cs="v5.0.0"/>
              </w:rPr>
              <w:t>128 for Test 1; 1024 for Test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887" w:type="dxa"/>
            <w:vAlign w:val="center"/>
          </w:tcPr>
          <w:p>
            <w:pPr>
              <w:pStyle w:val="105"/>
              <w:rPr>
                <w:rFonts w:cs="v5.0.0"/>
              </w:rPr>
            </w:pPr>
            <w:r>
              <w:rPr>
                <w:rFonts w:cs="v5.0.0"/>
              </w:rPr>
              <w:t xml:space="preserve">NPDCCH start subframe </w:t>
            </w:r>
            <w:r>
              <w:rPr>
                <w:position w:val="-6"/>
                <w:lang w:eastAsia="ko-KR"/>
              </w:rPr>
              <w:object>
                <v:shape id="_x0000_i1087" o:spt="75" type="#_x0000_t75" style="height:13.1pt;width:13.1pt;" o:ole="t" filled="f" o:preferrelative="t" stroked="f" coordsize="21600,21600">
                  <v:path/>
                  <v:fill on="f" focussize="0,0"/>
                  <v:stroke on="f" joinstyle="miter"/>
                  <v:imagedata r:id="rId117" o:title=""/>
                  <o:lock v:ext="edit" aspectratio="t"/>
                  <w10:wrap type="none"/>
                  <w10:anchorlock/>
                </v:shape>
                <o:OLEObject Type="Embed" ProgID="Equation.3" ShapeID="_x0000_i1087" DrawAspect="Content" ObjectID="_1468075787" r:id="rId122">
                  <o:LockedField>false</o:LockedField>
                </o:OLEObject>
              </w:object>
            </w:r>
            <w:r>
              <w:rPr>
                <w:rFonts w:cs="v5.0.0"/>
              </w:rPr>
              <w:t>(</w:t>
            </w:r>
            <w:r>
              <w:rPr>
                <w:rFonts w:cs="v5.0.0"/>
                <w:i/>
              </w:rPr>
              <w:t>npdcch-startSF-USS-r13</w:t>
            </w:r>
            <w:r>
              <w:rPr>
                <w:rFonts w:cs="v5.0.0"/>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2 for test1,</w:t>
            </w:r>
          </w:p>
          <w:p>
            <w:pPr>
              <w:pStyle w:val="105"/>
              <w:rPr>
                <w:rFonts w:eastAsia="?? ??" w:cs="v5.0.0"/>
              </w:rPr>
            </w:pPr>
            <w:r>
              <w:rPr>
                <w:rFonts w:eastAsia="?? ??" w:cs="v5.0.0"/>
              </w:rPr>
              <w:t>1.5 for test2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rPr>
                <w:rFonts w:cs="v5.0.0"/>
              </w:rPr>
            </w:pPr>
            <w:r>
              <w:rPr>
                <w:rFonts w:cs="v5.0.0"/>
              </w:rPr>
              <w:t xml:space="preserve">NPDCCH fractional period offset of starting subframe </w:t>
            </w:r>
            <w:r>
              <w:rPr>
                <w:position w:val="-14"/>
                <w:lang w:eastAsia="ko-KR"/>
              </w:rPr>
              <w:object>
                <v:shape id="_x0000_i1088" o:spt="75" type="#_x0000_t75" style="height:18pt;width:24.55pt;" o:ole="t" filled="f" o:preferrelative="t" stroked="f" coordsize="21600,21600">
                  <v:path/>
                  <v:fill on="f" focussize="0,0"/>
                  <v:stroke on="f" joinstyle="miter"/>
                  <v:imagedata r:id="rId110" o:title=""/>
                  <o:lock v:ext="edit" aspectratio="t"/>
                  <w10:wrap type="none"/>
                  <w10:anchorlock/>
                </v:shape>
                <o:OLEObject Type="Embed" ProgID="Equation.3" ShapeID="_x0000_i1088" DrawAspect="Content" ObjectID="_1468075788" r:id="rId123">
                  <o:LockedField>false</o:LockedField>
                </o:OLEObject>
              </w:object>
            </w:r>
          </w:p>
          <w:p>
            <w:pPr>
              <w:pStyle w:val="105"/>
              <w:rPr>
                <w:rFonts w:cs="v5.0.0"/>
              </w:rPr>
            </w:pPr>
            <w:r>
              <w:rPr>
                <w:rFonts w:cs="v5.0.0"/>
              </w:rPr>
              <w:t>(</w:t>
            </w:r>
            <w:r>
              <w:rPr>
                <w:rFonts w:cs="v5.0.0"/>
                <w:i/>
              </w:rPr>
              <w:t>npdcch-Offset-USS-r13</w:t>
            </w:r>
            <w:r>
              <w:rPr>
                <w:rFonts w:cs="v5.0.0"/>
              </w:rPr>
              <w:t>)</w:t>
            </w:r>
          </w:p>
        </w:tc>
        <w:tc>
          <w:tcPr>
            <w:tcW w:w="1441" w:type="dxa"/>
            <w:vAlign w:val="center"/>
          </w:tcPr>
          <w:p>
            <w:pPr>
              <w:pStyle w:val="105"/>
              <w:rPr>
                <w:rFonts w:eastAsia="?? ??" w:cs="v5.0.0"/>
              </w:rPr>
            </w:pPr>
          </w:p>
        </w:tc>
        <w:tc>
          <w:tcPr>
            <w:tcW w:w="1559" w:type="dxa"/>
            <w:vAlign w:val="center"/>
          </w:tcPr>
          <w:p>
            <w:pPr>
              <w:pStyle w:val="105"/>
              <w:rPr>
                <w:rFonts w:eastAsia="?? ??" w:cs="v5.0.0"/>
              </w:rPr>
            </w:pPr>
            <w:r>
              <w:rPr>
                <w:rFonts w:eastAsia="?? ??" w:cs="v5.0.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NB-IoT downlink subframe bitmap for anchor carrier </w:t>
            </w:r>
            <w:r>
              <w:rPr>
                <w:i/>
              </w:rPr>
              <w:t>(downlinkBitmap</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887" w:type="dxa"/>
            <w:vAlign w:val="center"/>
          </w:tcPr>
          <w:p>
            <w:pPr>
              <w:pStyle w:val="105"/>
            </w:pPr>
            <w:r>
              <w:t xml:space="preserve">NB-IoT downlink subframe bitmap for non-anchor carrier </w:t>
            </w:r>
            <w:r>
              <w:rPr>
                <w:i/>
              </w:rPr>
              <w:t>(downlinkBitmapNonAnchor</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 xml:space="preserve">Downlink gap configuration for anchor carrier </w:t>
            </w:r>
            <w:r>
              <w:rPr>
                <w:i/>
              </w:rPr>
              <w:t>(dl-Gap</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2887" w:type="dxa"/>
            <w:vAlign w:val="center"/>
          </w:tcPr>
          <w:p>
            <w:pPr>
              <w:pStyle w:val="105"/>
            </w:pPr>
            <w:r>
              <w:t>Downlink gap configuration for non-anchor carrier</w:t>
            </w:r>
            <w:r>
              <w:br w:type="textWrapping"/>
            </w:r>
            <w:r>
              <w:rPr>
                <w:i/>
              </w:rPr>
              <w:t>(dl-GapNonAnchor</w:t>
            </w:r>
            <w:r>
              <w:rPr>
                <w:rFonts w:cs="v5.0.0"/>
                <w:i/>
              </w:rPr>
              <w:t>-r13</w:t>
            </w:r>
            <w:r>
              <w:rPr>
                <w:i/>
              </w:rPr>
              <w:t>)</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Unused REs or RBs</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OCNG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pStyle w:val="105"/>
            </w:pPr>
            <w:r>
              <w:t>OCNG pattern</w:t>
            </w:r>
          </w:p>
        </w:tc>
        <w:tc>
          <w:tcPr>
            <w:tcW w:w="1441" w:type="dxa"/>
            <w:vAlign w:val="center"/>
          </w:tcPr>
          <w:p>
            <w:pPr>
              <w:pStyle w:val="105"/>
              <w:rPr>
                <w:rFonts w:eastAsia="?? ??"/>
              </w:rPr>
            </w:pPr>
          </w:p>
        </w:tc>
        <w:tc>
          <w:tcPr>
            <w:tcW w:w="1559" w:type="dxa"/>
            <w:vAlign w:val="center"/>
          </w:tcPr>
          <w:p>
            <w:pPr>
              <w:pStyle w:val="105"/>
              <w:rPr>
                <w:rFonts w:eastAsia="?? ??"/>
              </w:rPr>
            </w:pPr>
            <w:r>
              <w:rPr>
                <w:rFonts w:eastAsia="?? ??"/>
              </w:rPr>
              <w:t>NB.OP.1</w:t>
            </w:r>
          </w:p>
        </w:tc>
      </w:tr>
    </w:tbl>
    <w:p/>
    <w:p>
      <w:pPr>
        <w:pStyle w:val="113"/>
      </w:pPr>
      <w:r>
        <w:t xml:space="preserve">Table 8.3.1.2-2: Test Parameters of related NPDSCH and NPUSCH format 2 configurations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rFonts w:eastAsia="?? ??"/>
                <w:kern w:val="2"/>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rFonts w:eastAsia="?? ??"/>
                <w:kern w:val="2"/>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rFonts w:eastAsia="?? ??"/>
                <w:kern w:val="2"/>
              </w:rPr>
            </w:pPr>
            <w:r>
              <w:rPr>
                <w:kern w:val="2"/>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t>Scheduling delay field (</w:t>
            </w:r>
            <w:r>
              <w:rPr>
                <w:position w:val="-14"/>
              </w:rPr>
              <w:drawing>
                <wp:inline distT="0" distB="0" distL="0" distR="0">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t>NPDSCH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rPr>
                <w:rFonts w:cs="Arial"/>
                <w:position w:val="-12"/>
              </w:rPr>
              <w:object>
                <v:shape id="_x0000_i1089" o:spt="75" type="#_x0000_t75" style="height:16.9pt;width:19.65pt;" o:ole="t" filled="f" o:preferrelative="t" stroked="f" coordsize="21600,21600">
                  <v:path/>
                  <v:fill on="f" focussize="0,0"/>
                  <v:stroke on="f" joinstyle="miter"/>
                  <v:imagedata r:id="rId111" o:title=""/>
                  <o:lock v:ext="edit" aspectratio="t"/>
                  <w10:wrap type="none"/>
                  <w10:anchorlock/>
                </v:shape>
                <o:OLEObject Type="Embed" ProgID="Equation.3" ShapeID="_x0000_i1089" DrawAspect="Content" ObjectID="_1468075789" r:id="rId124">
                  <o:LockedField>false</o:LockedField>
                </o:OLEObject>
              </w:object>
            </w:r>
            <w:r>
              <w:t>at antenna port for NPDSCH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eastAsia="?? ??" w:cs="Arial"/>
              </w:rPr>
              <w:t>dBm/15kHz</w:t>
            </w: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rPr>
                <w:position w:val="-14"/>
              </w:rPr>
              <w:drawing>
                <wp:inline distT="0" distB="0" distL="0" distR="0">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t xml:space="preserve"> (</w:t>
            </w:r>
            <w:r>
              <w:rPr>
                <w:i/>
              </w:rPr>
              <w:t>ack-NACK-NumRepetitions</w:t>
            </w:r>
            <w:r>
              <w:rPr>
                <w:rFonts w:cs="v5.0.0"/>
                <w:i/>
              </w:rPr>
              <w:t>-r13</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rPr>
                <w:i/>
              </w:rPr>
            </w:pPr>
            <w: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pStyle w:val="105"/>
            </w:pPr>
            <w:r>
              <w:t>Reference channel for NPDSCH</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cs="Arial"/>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rFonts w:cs="Arial"/>
                <w:kern w:val="2"/>
              </w:rPr>
            </w:pPr>
            <w:r>
              <w:rPr>
                <w:rFonts w:cs="Arial"/>
                <w:kern w:val="2"/>
              </w:rPr>
              <w:t>R.NB.6 and R.NB.6-1 for one NRS antenna port; R.NB.5 and R.NB.5-1 for two NRS antenna ports</w:t>
            </w:r>
          </w:p>
        </w:tc>
      </w:tr>
    </w:tbl>
    <w:p>
      <w:pPr>
        <w:pStyle w:val="7"/>
        <w:rPr>
          <w:snapToGrid w:val="0"/>
        </w:rPr>
      </w:pPr>
      <w:bookmarkStart w:id="979" w:name="_Toc20621"/>
      <w:r>
        <w:rPr>
          <w:snapToGrid w:val="0"/>
          <w:lang w:val="en-US"/>
        </w:rPr>
        <w:t>8.3.1.2.1</w:t>
      </w:r>
      <w:r>
        <w:rPr>
          <w:snapToGrid w:val="0"/>
          <w:lang w:val="en-US"/>
        </w:rPr>
        <w:tab/>
      </w:r>
      <w:r>
        <w:rPr>
          <w:snapToGrid w:val="0"/>
          <w:kern w:val="2"/>
        </w:rPr>
        <w:t>Demodulation of NPDCCH single-antenna performance for category NB1 and NB2</w:t>
      </w:r>
      <w:bookmarkEnd w:id="979"/>
    </w:p>
    <w:p>
      <w:pPr>
        <w:pStyle w:val="112"/>
      </w:pPr>
      <w:r>
        <w:t>Editor’s Note: This clause is incomplete. The following aspects are either missing or not yet determined:</w:t>
      </w:r>
    </w:p>
    <w:p>
      <w:pPr>
        <w:pStyle w:val="112"/>
      </w:pPr>
      <w:r>
        <w:t>- Addition to applicability spec is pending</w:t>
      </w:r>
    </w:p>
    <w:p>
      <w:pPr>
        <w:pStyle w:val="112"/>
        <w:rPr>
          <w:rFonts w:eastAsiaTheme="minorEastAsia"/>
        </w:rPr>
      </w:pPr>
      <w:r>
        <w:t>- Initial condition and call setup procedure to support satellite access are TBD</w:t>
      </w:r>
    </w:p>
    <w:p>
      <w:pPr>
        <w:pStyle w:val="112"/>
      </w:pPr>
      <w:r>
        <w:t>- MU/TT is TBD</w:t>
      </w:r>
    </w:p>
    <w:p>
      <w:pPr>
        <w:pStyle w:val="9"/>
        <w:rPr>
          <w:snapToGrid w:val="0"/>
          <w:kern w:val="2"/>
        </w:rPr>
      </w:pPr>
      <w:r>
        <w:rPr>
          <w:snapToGrid w:val="0"/>
          <w:kern w:val="2"/>
        </w:rPr>
        <w:t>8.3.1.2.1.1</w:t>
      </w:r>
      <w:r>
        <w:rPr>
          <w:snapToGrid w:val="0"/>
          <w:kern w:val="2"/>
        </w:rPr>
        <w:tab/>
      </w:r>
      <w:r>
        <w:rPr>
          <w:snapToGrid w:val="0"/>
          <w:kern w:val="2"/>
        </w:rPr>
        <w:t>Test purpose</w:t>
      </w:r>
    </w:p>
    <w:p>
      <w:r>
        <w:t>This test verifies the demodulation performance of NPDCCH for single-antenna scenario with a given SNR for which the average probability of miss-detection of the Downlink Scheduling Grant, remains below a given reference value.</w:t>
      </w:r>
    </w:p>
    <w:p>
      <w:pPr>
        <w:pStyle w:val="9"/>
        <w:rPr>
          <w:snapToGrid w:val="0"/>
          <w:kern w:val="2"/>
        </w:rPr>
      </w:pPr>
      <w:r>
        <w:rPr>
          <w:snapToGrid w:val="0"/>
          <w:kern w:val="2"/>
        </w:rPr>
        <w:t>8.3.1.2.1.2</w:t>
      </w:r>
      <w:r>
        <w:rPr>
          <w:snapToGrid w:val="0"/>
          <w:kern w:val="2"/>
        </w:rPr>
        <w:tab/>
      </w:r>
      <w:r>
        <w:rPr>
          <w:snapToGrid w:val="0"/>
          <w:kern w:val="2"/>
        </w:rPr>
        <w:t>Test applicability</w:t>
      </w:r>
    </w:p>
    <w:p>
      <w:r>
        <w:rPr>
          <w:rFonts w:ascii="Arial" w:hAnsi="Arial"/>
          <w:snapToGrid w:val="0"/>
          <w:kern w:val="2"/>
        </w:rPr>
        <w:t>This test applies to all types of NB-</w:t>
      </w:r>
      <w:r>
        <w:t xml:space="preserve">IoT FDD UE release 17 and forward of category NB1 and </w:t>
      </w:r>
      <w:r>
        <w:rPr>
          <w:rFonts w:hint="eastAsia"/>
        </w:rPr>
        <w:t>NB</w:t>
      </w:r>
      <w:r>
        <w:t xml:space="preserve">2 </w:t>
      </w:r>
      <w:r>
        <w:rPr>
          <w:rFonts w:hint="eastAsia"/>
        </w:rPr>
        <w:t>that</w:t>
      </w:r>
      <w:r>
        <w:t xml:space="preserve"> </w:t>
      </w:r>
      <w:r>
        <w:rPr>
          <w:rFonts w:hint="eastAsia"/>
        </w:rPr>
        <w:t>supports</w:t>
      </w:r>
      <w:r>
        <w:t xml:space="preserve"> </w:t>
      </w:r>
      <w:r>
        <w:rPr>
          <w:rFonts w:hint="eastAsia"/>
        </w:rPr>
        <w:t>IOT</w:t>
      </w:r>
      <w:r>
        <w:t xml:space="preserve"> </w:t>
      </w:r>
      <w:r>
        <w:rPr>
          <w:rFonts w:hint="eastAsia"/>
        </w:rPr>
        <w:t>NTN</w:t>
      </w:r>
      <w:r>
        <w:t>.</w:t>
      </w:r>
    </w:p>
    <w:p>
      <w:pPr>
        <w:pStyle w:val="9"/>
        <w:rPr>
          <w:snapToGrid w:val="0"/>
          <w:kern w:val="2"/>
        </w:rPr>
      </w:pPr>
      <w:r>
        <w:rPr>
          <w:snapToGrid w:val="0"/>
          <w:kern w:val="2"/>
        </w:rPr>
        <w:t>8.3.1.2.1.3</w:t>
      </w:r>
      <w:r>
        <w:rPr>
          <w:snapToGrid w:val="0"/>
          <w:kern w:val="2"/>
        </w:rPr>
        <w:tab/>
      </w:r>
      <w:r>
        <w:rPr>
          <w:snapToGrid w:val="0"/>
          <w:kern w:val="2"/>
        </w:rPr>
        <w:t xml:space="preserve">Minimum </w:t>
      </w:r>
      <w:r>
        <w:rPr>
          <w:snapToGrid w:val="0"/>
          <w:kern w:val="2"/>
          <w:lang w:eastAsia="zh-CN"/>
        </w:rPr>
        <w:t>conformance r</w:t>
      </w:r>
      <w:r>
        <w:rPr>
          <w:snapToGrid w:val="0"/>
          <w:kern w:val="2"/>
        </w:rPr>
        <w:t>equirement</w:t>
      </w:r>
      <w:r>
        <w:rPr>
          <w:snapToGrid w:val="0"/>
          <w:kern w:val="2"/>
          <w:lang w:eastAsia="zh-CN"/>
        </w:rPr>
        <w:t>s</w:t>
      </w:r>
    </w:p>
    <w:p>
      <w:r>
        <w:t>The purpose of these tests is to verify the probability of miss-detection of the Downlink Scheduling Grant (Pm-dsg). The requirements are specified in Table 8.3.1.2.1.3-1, with the parameters in Table 8.3.1.2-1 and the downlink physical channel setup according to Annex C.3.2. The purpose of these tests is to verify the performance.</w:t>
      </w:r>
    </w:p>
    <w:p>
      <w:pPr>
        <w:pStyle w:val="113"/>
      </w:pPr>
      <w:r>
        <w:t>Table 8.3.1.2.1.3-1: Minimum performance NPDCCH</w:t>
      </w:r>
    </w:p>
    <w:tbl>
      <w:tblPr>
        <w:tblStyle w:val="89"/>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9"/>
        <w:gridCol w:w="1323"/>
        <w:gridCol w:w="1141"/>
        <w:gridCol w:w="838"/>
        <w:gridCol w:w="1134"/>
        <w:gridCol w:w="1321"/>
        <w:gridCol w:w="954"/>
        <w:gridCol w:w="589"/>
        <w:gridCol w:w="623"/>
        <w:gridCol w:w="10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61" w:type="pct"/>
            <w:vMerge w:val="restart"/>
          </w:tcPr>
          <w:p>
            <w:pPr>
              <w:pStyle w:val="104"/>
              <w:rPr>
                <w:rFonts w:cs="Arial"/>
              </w:rPr>
            </w:pPr>
            <w:r>
              <w:rPr>
                <w:rFonts w:cs="Arial"/>
              </w:rPr>
              <w:t>Test number</w:t>
            </w:r>
          </w:p>
        </w:tc>
        <w:tc>
          <w:tcPr>
            <w:tcW w:w="671" w:type="pct"/>
            <w:vMerge w:val="restart"/>
          </w:tcPr>
          <w:p>
            <w:pPr>
              <w:pStyle w:val="104"/>
              <w:rPr>
                <w:rFonts w:cs="Arial"/>
              </w:rPr>
            </w:pPr>
            <w:r>
              <w:rPr>
                <w:rFonts w:cs="Arial"/>
              </w:rPr>
              <w:t xml:space="preserve">Deployment mode </w:t>
            </w:r>
          </w:p>
        </w:tc>
        <w:tc>
          <w:tcPr>
            <w:tcW w:w="579" w:type="pct"/>
            <w:vMerge w:val="restart"/>
          </w:tcPr>
          <w:p>
            <w:pPr>
              <w:pStyle w:val="104"/>
              <w:rPr>
                <w:rFonts w:cs="Arial"/>
              </w:rPr>
            </w:pPr>
            <w:r>
              <w:rPr>
                <w:rFonts w:cs="Arial"/>
              </w:rPr>
              <w:t>Repetition number</w:t>
            </w:r>
          </w:p>
          <w:p>
            <w:pPr>
              <w:pStyle w:val="104"/>
              <w:rPr>
                <w:rFonts w:cs="Arial"/>
              </w:rPr>
            </w:pPr>
            <w:r>
              <w:rPr>
                <w:rFonts w:cs="Arial"/>
              </w:rPr>
              <w:t>(R)</w:t>
            </w:r>
          </w:p>
        </w:tc>
        <w:tc>
          <w:tcPr>
            <w:tcW w:w="425" w:type="pct"/>
            <w:vMerge w:val="restart"/>
          </w:tcPr>
          <w:p>
            <w:pPr>
              <w:pStyle w:val="104"/>
              <w:rPr>
                <w:rFonts w:cs="Arial"/>
              </w:rPr>
            </w:pPr>
            <w:r>
              <w:rPr>
                <w:rFonts w:cs="Arial"/>
                <w:kern w:val="2"/>
              </w:rPr>
              <w:t>Carrier Type</w:t>
            </w:r>
          </w:p>
        </w:tc>
        <w:tc>
          <w:tcPr>
            <w:tcW w:w="575" w:type="pct"/>
            <w:vMerge w:val="restart"/>
          </w:tcPr>
          <w:p>
            <w:pPr>
              <w:pStyle w:val="104"/>
              <w:rPr>
                <w:rFonts w:cs="Arial"/>
              </w:rPr>
            </w:pPr>
            <w:r>
              <w:rPr>
                <w:rFonts w:cs="Arial"/>
              </w:rPr>
              <w:t>Reference Channel</w:t>
            </w:r>
          </w:p>
        </w:tc>
        <w:tc>
          <w:tcPr>
            <w:tcW w:w="670" w:type="pct"/>
            <w:vMerge w:val="restart"/>
          </w:tcPr>
          <w:p>
            <w:pPr>
              <w:pStyle w:val="104"/>
              <w:rPr>
                <w:rFonts w:cs="Arial"/>
              </w:rPr>
            </w:pPr>
            <w:r>
              <w:rPr>
                <w:rFonts w:cs="Arial"/>
              </w:rPr>
              <w:t>Propagation Condition</w:t>
            </w:r>
          </w:p>
        </w:tc>
        <w:tc>
          <w:tcPr>
            <w:tcW w:w="484" w:type="pct"/>
            <w:vMerge w:val="restart"/>
          </w:tcPr>
          <w:p>
            <w:pPr>
              <w:pStyle w:val="104"/>
              <w:rPr>
                <w:rFonts w:cs="Arial"/>
              </w:rPr>
            </w:pPr>
            <w:r>
              <w:rPr>
                <w:rFonts w:cs="Arial"/>
              </w:rPr>
              <w:t>Number of NRS ports</w:t>
            </w:r>
          </w:p>
        </w:tc>
        <w:tc>
          <w:tcPr>
            <w:tcW w:w="615" w:type="pct"/>
            <w:gridSpan w:val="2"/>
          </w:tcPr>
          <w:p>
            <w:pPr>
              <w:pStyle w:val="104"/>
              <w:rPr>
                <w:rFonts w:cs="Arial"/>
              </w:rPr>
            </w:pPr>
            <w:r>
              <w:rPr>
                <w:rFonts w:cs="Arial"/>
              </w:rPr>
              <w:t>Reference value</w:t>
            </w:r>
          </w:p>
        </w:tc>
        <w:tc>
          <w:tcPr>
            <w:tcW w:w="520" w:type="pct"/>
            <w:vMerge w:val="restart"/>
          </w:tcPr>
          <w:p>
            <w:pPr>
              <w:pStyle w:val="104"/>
              <w:rPr>
                <w:rFonts w:cs="Arial"/>
              </w:rPr>
            </w:pPr>
            <w:r>
              <w:rPr>
                <w:rFonts w:cs="Arial"/>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461" w:type="pct"/>
            <w:vMerge w:val="continue"/>
          </w:tcPr>
          <w:p>
            <w:pPr>
              <w:pStyle w:val="104"/>
              <w:rPr>
                <w:rFonts w:cs="Arial"/>
              </w:rPr>
            </w:pPr>
          </w:p>
        </w:tc>
        <w:tc>
          <w:tcPr>
            <w:tcW w:w="671" w:type="pct"/>
            <w:vMerge w:val="continue"/>
          </w:tcPr>
          <w:p>
            <w:pPr>
              <w:pStyle w:val="104"/>
              <w:rPr>
                <w:rFonts w:cs="Arial"/>
              </w:rPr>
            </w:pPr>
          </w:p>
        </w:tc>
        <w:tc>
          <w:tcPr>
            <w:tcW w:w="579" w:type="pct"/>
            <w:vMerge w:val="continue"/>
          </w:tcPr>
          <w:p>
            <w:pPr>
              <w:pStyle w:val="104"/>
              <w:rPr>
                <w:rFonts w:cs="Arial"/>
              </w:rPr>
            </w:pPr>
          </w:p>
        </w:tc>
        <w:tc>
          <w:tcPr>
            <w:tcW w:w="425" w:type="pct"/>
            <w:vMerge w:val="continue"/>
          </w:tcPr>
          <w:p>
            <w:pPr>
              <w:pStyle w:val="104"/>
              <w:rPr>
                <w:rFonts w:cs="Arial"/>
              </w:rPr>
            </w:pPr>
          </w:p>
        </w:tc>
        <w:tc>
          <w:tcPr>
            <w:tcW w:w="575" w:type="pct"/>
            <w:vMerge w:val="continue"/>
          </w:tcPr>
          <w:p>
            <w:pPr>
              <w:pStyle w:val="104"/>
              <w:rPr>
                <w:rFonts w:cs="Arial"/>
              </w:rPr>
            </w:pPr>
          </w:p>
        </w:tc>
        <w:tc>
          <w:tcPr>
            <w:tcW w:w="670" w:type="pct"/>
            <w:vMerge w:val="continue"/>
          </w:tcPr>
          <w:p>
            <w:pPr>
              <w:pStyle w:val="104"/>
              <w:rPr>
                <w:rFonts w:cs="Arial"/>
              </w:rPr>
            </w:pPr>
          </w:p>
        </w:tc>
        <w:tc>
          <w:tcPr>
            <w:tcW w:w="484" w:type="pct"/>
            <w:vMerge w:val="continue"/>
          </w:tcPr>
          <w:p>
            <w:pPr>
              <w:pStyle w:val="104"/>
              <w:rPr>
                <w:rFonts w:cs="Arial"/>
              </w:rPr>
            </w:pPr>
          </w:p>
        </w:tc>
        <w:tc>
          <w:tcPr>
            <w:tcW w:w="299" w:type="pct"/>
          </w:tcPr>
          <w:p>
            <w:pPr>
              <w:pStyle w:val="104"/>
              <w:rPr>
                <w:rFonts w:cs="Arial"/>
              </w:rPr>
            </w:pPr>
            <w:r>
              <w:rPr>
                <w:rFonts w:cs="Arial"/>
              </w:rPr>
              <w:t>Pm-dsg (%)</w:t>
            </w:r>
          </w:p>
        </w:tc>
        <w:tc>
          <w:tcPr>
            <w:tcW w:w="316" w:type="pct"/>
          </w:tcPr>
          <w:p>
            <w:pPr>
              <w:pStyle w:val="104"/>
              <w:rPr>
                <w:rFonts w:cs="Arial"/>
              </w:rPr>
            </w:pPr>
            <w:r>
              <w:rPr>
                <w:rFonts w:cs="Arial"/>
              </w:rPr>
              <w:t>SNR (dB)</w:t>
            </w:r>
          </w:p>
        </w:tc>
        <w:tc>
          <w:tcPr>
            <w:tcW w:w="520" w:type="pct"/>
            <w:vMerge w:val="continue"/>
          </w:tcPr>
          <w:p>
            <w:pPr>
              <w:pStyle w:val="104"/>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461" w:type="pct"/>
            <w:shd w:val="clear" w:color="auto" w:fill="auto"/>
          </w:tcPr>
          <w:p>
            <w:pPr>
              <w:pStyle w:val="105"/>
              <w:rPr>
                <w:rFonts w:cs="Arial"/>
              </w:rPr>
            </w:pPr>
            <w:r>
              <w:rPr>
                <w:rFonts w:cs="Arial"/>
              </w:rPr>
              <w:t>1</w:t>
            </w:r>
          </w:p>
        </w:tc>
        <w:tc>
          <w:tcPr>
            <w:tcW w:w="671" w:type="pct"/>
            <w:shd w:val="clear" w:color="auto" w:fill="auto"/>
          </w:tcPr>
          <w:p>
            <w:pPr>
              <w:pStyle w:val="105"/>
              <w:rPr>
                <w:rFonts w:cs="Arial"/>
              </w:rPr>
            </w:pPr>
            <w:r>
              <w:rPr>
                <w:rFonts w:cs="Arial"/>
              </w:rPr>
              <w:t>Stand-alone</w:t>
            </w:r>
          </w:p>
        </w:tc>
        <w:tc>
          <w:tcPr>
            <w:tcW w:w="579" w:type="pct"/>
          </w:tcPr>
          <w:p>
            <w:pPr>
              <w:pStyle w:val="105"/>
              <w:rPr>
                <w:rFonts w:cs="Arial"/>
              </w:rPr>
            </w:pPr>
            <w:r>
              <w:rPr>
                <w:rFonts w:cs="Arial"/>
              </w:rPr>
              <w:t>128</w:t>
            </w:r>
          </w:p>
        </w:tc>
        <w:tc>
          <w:tcPr>
            <w:tcW w:w="425" w:type="pct"/>
          </w:tcPr>
          <w:p>
            <w:pPr>
              <w:pStyle w:val="105"/>
              <w:rPr>
                <w:rFonts w:cs="Arial"/>
              </w:rPr>
            </w:pPr>
            <w:r>
              <w:rPr>
                <w:rFonts w:cs="Arial"/>
              </w:rPr>
              <w:t>Anchor</w:t>
            </w:r>
          </w:p>
        </w:tc>
        <w:tc>
          <w:tcPr>
            <w:tcW w:w="575" w:type="pct"/>
            <w:shd w:val="clear" w:color="auto" w:fill="auto"/>
          </w:tcPr>
          <w:p>
            <w:pPr>
              <w:pStyle w:val="105"/>
              <w:rPr>
                <w:rFonts w:cs="Arial"/>
              </w:rPr>
            </w:pPr>
            <w:r>
              <w:rPr>
                <w:rFonts w:cs="Arial"/>
              </w:rPr>
              <w:t>R.NB.3 FDD</w:t>
            </w:r>
          </w:p>
        </w:tc>
        <w:tc>
          <w:tcPr>
            <w:tcW w:w="670" w:type="pct"/>
            <w:shd w:val="clear" w:color="auto" w:fill="auto"/>
          </w:tcPr>
          <w:p>
            <w:pPr>
              <w:pStyle w:val="105"/>
              <w:rPr>
                <w:rFonts w:cs="Arial"/>
              </w:rPr>
            </w:pPr>
            <w:r>
              <w:rPr>
                <w:rFonts w:cs="Arial"/>
              </w:rPr>
              <w:t>EPA5</w:t>
            </w:r>
          </w:p>
        </w:tc>
        <w:tc>
          <w:tcPr>
            <w:tcW w:w="484" w:type="pct"/>
            <w:shd w:val="clear" w:color="auto" w:fill="auto"/>
          </w:tcPr>
          <w:p>
            <w:pPr>
              <w:pStyle w:val="105"/>
              <w:rPr>
                <w:rFonts w:cs="Arial"/>
              </w:rPr>
            </w:pPr>
            <w:r>
              <w:rPr>
                <w:rFonts w:cs="Arial"/>
              </w:rPr>
              <w:t>1</w:t>
            </w:r>
          </w:p>
        </w:tc>
        <w:tc>
          <w:tcPr>
            <w:tcW w:w="299" w:type="pct"/>
          </w:tcPr>
          <w:p>
            <w:pPr>
              <w:pStyle w:val="105"/>
              <w:rPr>
                <w:rFonts w:cs="Arial"/>
              </w:rPr>
            </w:pPr>
            <w:r>
              <w:rPr>
                <w:rFonts w:cs="Arial"/>
              </w:rPr>
              <w:t>1</w:t>
            </w:r>
          </w:p>
        </w:tc>
        <w:tc>
          <w:tcPr>
            <w:tcW w:w="316" w:type="pct"/>
          </w:tcPr>
          <w:p>
            <w:pPr>
              <w:pStyle w:val="105"/>
              <w:rPr>
                <w:rFonts w:cs="Arial"/>
              </w:rPr>
            </w:pPr>
            <w:r>
              <w:rPr>
                <w:rFonts w:cs="Arial"/>
              </w:rPr>
              <w:t>-4.9</w:t>
            </w:r>
          </w:p>
        </w:tc>
        <w:tc>
          <w:tcPr>
            <w:tcW w:w="520" w:type="pct"/>
          </w:tcPr>
          <w:p>
            <w:pPr>
              <w:pStyle w:val="105"/>
              <w:rPr>
                <w:rFonts w:cs="Arial"/>
              </w:rPr>
            </w:pPr>
            <w:r>
              <w:rPr>
                <w:rFonts w:cs="Arial"/>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461" w:type="pct"/>
            <w:shd w:val="clear" w:color="auto" w:fill="auto"/>
          </w:tcPr>
          <w:p>
            <w:pPr>
              <w:pStyle w:val="105"/>
              <w:rPr>
                <w:rFonts w:cs="Arial"/>
              </w:rPr>
            </w:pPr>
            <w:r>
              <w:rPr>
                <w:rFonts w:cs="Arial"/>
              </w:rPr>
              <w:t>2 (Note 1)</w:t>
            </w:r>
          </w:p>
        </w:tc>
        <w:tc>
          <w:tcPr>
            <w:tcW w:w="671" w:type="pct"/>
            <w:shd w:val="clear" w:color="auto" w:fill="auto"/>
          </w:tcPr>
          <w:p>
            <w:pPr>
              <w:pStyle w:val="105"/>
              <w:rPr>
                <w:rFonts w:cs="Arial"/>
              </w:rPr>
            </w:pPr>
            <w:r>
              <w:rPr>
                <w:rFonts w:cs="Arial"/>
              </w:rPr>
              <w:t>Stand-alone</w:t>
            </w:r>
          </w:p>
        </w:tc>
        <w:tc>
          <w:tcPr>
            <w:tcW w:w="579" w:type="pct"/>
          </w:tcPr>
          <w:p>
            <w:pPr>
              <w:pStyle w:val="105"/>
              <w:rPr>
                <w:rFonts w:cs="Arial"/>
              </w:rPr>
            </w:pPr>
            <w:r>
              <w:rPr>
                <w:rFonts w:cs="Arial"/>
              </w:rPr>
              <w:t>1024</w:t>
            </w:r>
          </w:p>
        </w:tc>
        <w:tc>
          <w:tcPr>
            <w:tcW w:w="425" w:type="pct"/>
          </w:tcPr>
          <w:p>
            <w:pPr>
              <w:pStyle w:val="105"/>
              <w:rPr>
                <w:rFonts w:cs="Arial"/>
              </w:rPr>
            </w:pPr>
            <w:r>
              <w:rPr>
                <w:rFonts w:cs="Arial"/>
              </w:rPr>
              <w:t>Non-anchor</w:t>
            </w:r>
          </w:p>
        </w:tc>
        <w:tc>
          <w:tcPr>
            <w:tcW w:w="575" w:type="pct"/>
            <w:shd w:val="clear" w:color="auto" w:fill="auto"/>
          </w:tcPr>
          <w:p>
            <w:pPr>
              <w:pStyle w:val="105"/>
              <w:rPr>
                <w:rFonts w:cs="Arial"/>
              </w:rPr>
            </w:pPr>
            <w:r>
              <w:rPr>
                <w:rFonts w:cs="Arial"/>
              </w:rPr>
              <w:t>R.NB.3 FDD</w:t>
            </w:r>
          </w:p>
        </w:tc>
        <w:tc>
          <w:tcPr>
            <w:tcW w:w="670" w:type="pct"/>
            <w:shd w:val="clear" w:color="auto" w:fill="auto"/>
          </w:tcPr>
          <w:p>
            <w:pPr>
              <w:pStyle w:val="105"/>
              <w:rPr>
                <w:rFonts w:cs="Arial"/>
              </w:rPr>
            </w:pPr>
            <w:r>
              <w:rPr>
                <w:rFonts w:cs="Arial"/>
              </w:rPr>
              <w:t>ETU1</w:t>
            </w:r>
          </w:p>
        </w:tc>
        <w:tc>
          <w:tcPr>
            <w:tcW w:w="484" w:type="pct"/>
            <w:shd w:val="clear" w:color="auto" w:fill="auto"/>
          </w:tcPr>
          <w:p>
            <w:pPr>
              <w:pStyle w:val="105"/>
              <w:rPr>
                <w:rFonts w:cs="Arial"/>
              </w:rPr>
            </w:pPr>
            <w:r>
              <w:rPr>
                <w:rFonts w:cs="Arial"/>
              </w:rPr>
              <w:t>1</w:t>
            </w:r>
          </w:p>
        </w:tc>
        <w:tc>
          <w:tcPr>
            <w:tcW w:w="299" w:type="pct"/>
          </w:tcPr>
          <w:p>
            <w:pPr>
              <w:pStyle w:val="105"/>
              <w:rPr>
                <w:rFonts w:cs="Arial"/>
              </w:rPr>
            </w:pPr>
            <w:r>
              <w:rPr>
                <w:rFonts w:cs="Arial"/>
              </w:rPr>
              <w:t>1</w:t>
            </w:r>
          </w:p>
        </w:tc>
        <w:tc>
          <w:tcPr>
            <w:tcW w:w="316" w:type="pct"/>
          </w:tcPr>
          <w:p>
            <w:pPr>
              <w:pStyle w:val="105"/>
              <w:rPr>
                <w:rFonts w:cs="Arial"/>
              </w:rPr>
            </w:pPr>
            <w:r>
              <w:rPr>
                <w:rFonts w:cs="Arial"/>
              </w:rPr>
              <w:t>-11.4</w:t>
            </w:r>
          </w:p>
        </w:tc>
        <w:tc>
          <w:tcPr>
            <w:tcW w:w="520" w:type="pct"/>
          </w:tcPr>
          <w:p>
            <w:pPr>
              <w:pStyle w:val="105"/>
              <w:rPr>
                <w:rFonts w:cs="Arial"/>
              </w:rPr>
            </w:pPr>
            <w:r>
              <w:rPr>
                <w:rFonts w:cs="Arial"/>
              </w:rPr>
              <w:t>NB1, 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5000" w:type="pct"/>
            <w:gridSpan w:val="10"/>
            <w:shd w:val="clear" w:color="auto" w:fill="auto"/>
          </w:tcPr>
          <w:p>
            <w:pPr>
              <w:pStyle w:val="118"/>
              <w:jc w:val="both"/>
            </w:pPr>
            <w:r>
              <w:t>Note 1:</w:t>
            </w:r>
            <w:r>
              <w:tab/>
            </w:r>
            <w:r>
              <w:t>Applicable to UE supporting Non-Anchor mode of operation.</w:t>
            </w:r>
          </w:p>
        </w:tc>
      </w:tr>
    </w:tbl>
    <w:p/>
    <w:p>
      <w:pPr>
        <w:rPr>
          <w:lang w:eastAsia="zh-TW"/>
        </w:rPr>
      </w:pPr>
      <w:r>
        <w:t>The normative reference for this requirement is TS 36.101 [2] clause 8.12.2.1.1</w:t>
      </w:r>
      <w:r>
        <w:rPr>
          <w:lang w:eastAsia="zh-TW"/>
        </w:rPr>
        <w:t>.</w:t>
      </w:r>
    </w:p>
    <w:p>
      <w:pPr>
        <w:pStyle w:val="9"/>
        <w:rPr>
          <w:snapToGrid w:val="0"/>
          <w:kern w:val="2"/>
        </w:rPr>
      </w:pPr>
      <w:r>
        <w:rPr>
          <w:snapToGrid w:val="0"/>
          <w:kern w:val="2"/>
        </w:rPr>
        <w:t>8.3.1.2.1.4</w:t>
      </w:r>
      <w:r>
        <w:rPr>
          <w:snapToGrid w:val="0"/>
          <w:kern w:val="2"/>
        </w:rPr>
        <w:tab/>
      </w:r>
      <w:r>
        <w:rPr>
          <w:snapToGrid w:val="0"/>
          <w:kern w:val="2"/>
        </w:rPr>
        <w:t>Test description</w:t>
      </w:r>
    </w:p>
    <w:p>
      <w:pPr>
        <w:pStyle w:val="9"/>
        <w:rPr>
          <w:snapToGrid w:val="0"/>
          <w:kern w:val="2"/>
        </w:rPr>
      </w:pPr>
      <w:r>
        <w:rPr>
          <w:snapToGrid w:val="0"/>
          <w:kern w:val="2"/>
        </w:rPr>
        <w:t>8.3.1.2.1.4.1</w:t>
      </w:r>
      <w:r>
        <w:rPr>
          <w:snapToGrid w:val="0"/>
          <w:kern w:val="2"/>
        </w:rPr>
        <w:tab/>
      </w:r>
      <w:r>
        <w:rPr>
          <w:snapToGrid w:val="0"/>
          <w:kern w:val="2"/>
          <w:lang w:eastAsia="zh-CN"/>
        </w:rPr>
        <w:t>Initial conditions</w:t>
      </w:r>
    </w:p>
    <w:p>
      <w:r>
        <w:t>Initial conditions are a set of test configurations the UE needs to be tested in and the steps for the SS to take with the UE to reach the correct measurement state.</w:t>
      </w:r>
    </w:p>
    <w:p>
      <w:r>
        <w:t>Configurations of NPDSCH and NPDCCH before measurement are specified in Annex C.2.</w:t>
      </w:r>
    </w:p>
    <w:p>
      <w:r>
        <w:t>Test Environment: Normal, as defined in TS 36.508 [7] clause 4.1.</w:t>
      </w:r>
    </w:p>
    <w:p>
      <w:r>
        <w:t>Operation mode: Standalone.</w:t>
      </w:r>
    </w:p>
    <w:p>
      <w:pPr>
        <w:rPr>
          <w:lang w:eastAsia="zh-TW"/>
        </w:rPr>
      </w:pPr>
      <w:r>
        <w:t>Frequencies to be tested: K.2.1.</w:t>
      </w:r>
    </w:p>
    <w:p>
      <w:pPr>
        <w:rPr>
          <w:lang w:eastAsia="zh-TW"/>
        </w:rPr>
      </w:pPr>
      <w:r>
        <w:rPr>
          <w:lang w:eastAsia="zh-TW"/>
        </w:rPr>
        <w:t xml:space="preserve">Channel </w:t>
      </w:r>
      <w:r>
        <w:t xml:space="preserve">Bandwidths to be tested: </w:t>
      </w:r>
      <w:r>
        <w:rPr>
          <w:lang w:eastAsia="zh-TW"/>
        </w:rPr>
        <w:t>A</w:t>
      </w:r>
      <w:r>
        <w:t>s</w:t>
      </w:r>
      <w:r>
        <w:rPr>
          <w:lang w:eastAsia="zh-TW"/>
        </w:rPr>
        <w:t xml:space="preserve"> specified per test number in Table 8.3.1.2.1.3-1.</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1.</w:t>
      </w:r>
      <w:r>
        <w:rPr>
          <w:rStyle w:val="91"/>
          <w:rFonts w:eastAsia="Malgun Gothic"/>
        </w:rPr>
        <w:tab/>
      </w:r>
      <w:r>
        <w:rPr>
          <w:rStyle w:val="91"/>
          <w:rFonts w:eastAsia="Malgun Gothic"/>
        </w:rPr>
        <w:t>Connect the SS, the faders and AWGN noise sources to the UE antenna connectors as shown in TS 36.508 [7] Annex A, Figure A.9 using only main UE Tx/Rx antenna.</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2.</w:t>
      </w:r>
      <w:r>
        <w:rPr>
          <w:rStyle w:val="91"/>
          <w:rFonts w:eastAsia="Malgun Gothic"/>
        </w:rPr>
        <w:tab/>
      </w:r>
      <w:r>
        <w:rPr>
          <w:rStyle w:val="91"/>
          <w:rFonts w:eastAsia="Malgun Gothic"/>
        </w:rPr>
        <w:t>The parameter settings for the cell are set up according to Tables 8.3.1.2-1 and 8.3.1.2.1.3-1 as appropriate.</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3.</w:t>
      </w:r>
      <w:r>
        <w:rPr>
          <w:rStyle w:val="91"/>
          <w:rFonts w:eastAsia="Malgun Gothic"/>
        </w:rPr>
        <w:tab/>
      </w:r>
      <w:r>
        <w:rPr>
          <w:rStyle w:val="91"/>
          <w:rFonts w:eastAsia="Malgun Gothic"/>
        </w:rPr>
        <w:t>Downlink signals are initially set up according to Annex C.0, C.1 and Annex C.3.2 and uplink signals according to Annex H.0.1, H.1.1, H.2.1 and Annex H.4.2.</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4.</w:t>
      </w:r>
      <w:r>
        <w:rPr>
          <w:rStyle w:val="91"/>
          <w:rFonts w:eastAsia="Malgun Gothic"/>
        </w:rPr>
        <w:tab/>
      </w:r>
      <w:r>
        <w:rPr>
          <w:rStyle w:val="91"/>
          <w:rFonts w:eastAsia="Malgun Gothic"/>
        </w:rPr>
        <w:t xml:space="preserve">Propagation conditions are set according to Annex B.0. </w:t>
      </w:r>
    </w:p>
    <w:p>
      <w:pPr>
        <w:pStyle w:val="111"/>
        <w:overflowPunct w:val="0"/>
        <w:autoSpaceDE w:val="0"/>
        <w:autoSpaceDN w:val="0"/>
        <w:adjustRightInd w:val="0"/>
        <w:contextualSpacing w:val="0"/>
        <w:textAlignment w:val="baseline"/>
        <w:rPr>
          <w:rStyle w:val="91"/>
          <w:rFonts w:eastAsia="Malgun Gothic"/>
        </w:rPr>
      </w:pPr>
      <w:r>
        <w:rPr>
          <w:rStyle w:val="91"/>
          <w:rFonts w:eastAsia="Malgun Gothic"/>
        </w:rPr>
        <w:t>5.</w:t>
      </w:r>
      <w:r>
        <w:rPr>
          <w:rStyle w:val="91"/>
          <w:rFonts w:eastAsia="Malgun Gothic"/>
        </w:rPr>
        <w:tab/>
      </w:r>
      <w:r>
        <w:rPr>
          <w:rStyle w:val="91"/>
          <w:rFonts w:eastAsia="Malgun Gothic"/>
        </w:rPr>
        <w:t>Ensure the UE is in State 2A-NB with CP CIoT Optimisation according to TS 36.508 [7] clause 8.1.5. Message contents are defined in clause 8.3.1.2.1.4.3.</w:t>
      </w:r>
    </w:p>
    <w:p>
      <w:pPr>
        <w:pStyle w:val="9"/>
      </w:pPr>
      <w:r>
        <w:rPr>
          <w:snapToGrid w:val="0"/>
          <w:kern w:val="2"/>
        </w:rPr>
        <w:t>8.3.1.2.1.</w:t>
      </w:r>
      <w:r>
        <w:rPr>
          <w:snapToGrid w:val="0"/>
          <w:kern w:val="2"/>
          <w:lang w:eastAsia="zh-TW"/>
        </w:rPr>
        <w:t>4.</w:t>
      </w:r>
      <w:r>
        <w:t>2</w:t>
      </w:r>
      <w:r>
        <w:tab/>
      </w:r>
      <w:r>
        <w:t>Test procedure</w:t>
      </w:r>
    </w:p>
    <w:p>
      <w:pPr>
        <w:pStyle w:val="111"/>
        <w:rPr>
          <w:rStyle w:val="176"/>
        </w:rPr>
      </w:pPr>
      <w:r>
        <w:rPr>
          <w:rStyle w:val="176"/>
        </w:rPr>
        <w:t>1.</w:t>
      </w:r>
      <w:r>
        <w:rPr>
          <w:rStyle w:val="176"/>
        </w:rPr>
        <w:tab/>
      </w:r>
      <w:r>
        <w:rPr>
          <w:rStyle w:val="176"/>
        </w:rPr>
        <w:t>SS transmits NPDSCH via NPDCCH DCI format N1 for C_RNTI to transmit the DL RMC according to Tables 8.3.1.2-1, 8.3.1.2-2 and 8.3.1.2.1.3-1. The details of NPDCCH are specified in TS36.521-2 Table A.3.13.1. The SS sends downlink MAC padding bits on the DL RMC.</w:t>
      </w:r>
    </w:p>
    <w:p>
      <w:pPr>
        <w:pStyle w:val="111"/>
        <w:rPr>
          <w:rStyle w:val="176"/>
        </w:rPr>
      </w:pPr>
      <w:r>
        <w:rPr>
          <w:rStyle w:val="176"/>
        </w:rPr>
        <w:t>2.</w:t>
      </w:r>
      <w:r>
        <w:rPr>
          <w:rStyle w:val="176"/>
        </w:rPr>
        <w:tab/>
      </w:r>
      <w:r>
        <w:rPr>
          <w:rStyle w:val="176"/>
        </w:rPr>
        <w:t>Set the parameters of the bandwidth, MCS, reference channel, the propagation condition and the SNR according to Tables 8.3.1.2.1.5-1 as appropriate.</w:t>
      </w:r>
    </w:p>
    <w:p>
      <w:pPr>
        <w:ind w:left="568" w:hanging="284"/>
        <w:rPr>
          <w:rStyle w:val="176"/>
        </w:rPr>
      </w:pPr>
      <w:r>
        <w:rPr>
          <w:rStyle w:val="176"/>
        </w:rPr>
        <w:t>3.</w:t>
      </w:r>
      <w:r>
        <w:rPr>
          <w:rStyle w:val="176"/>
        </w:rPr>
        <w:tab/>
      </w:r>
      <w:r>
        <w:rPr>
          <w:rStyle w:val="176"/>
        </w:rPr>
        <w:t>Measure the Pm-dsg for a duration sufficient to achieve statistical significance according to Annex G clause G.4. Count the number of NACKs, ACKs and statDTXs on the UL NPUSCH during each subtest. Pm-dsg is the radio (statDTX)/(NACK +ACK+statDTX). If Pm-dsg is less than the value specified in table 8.3.1.2.1.5-1, UE pass the subtest. Otherwise fail the UE.</w:t>
      </w:r>
    </w:p>
    <w:p>
      <w:pPr>
        <w:ind w:left="568" w:hanging="284"/>
        <w:rPr>
          <w:rStyle w:val="176"/>
        </w:rPr>
      </w:pPr>
      <w:r>
        <w:rPr>
          <w:rStyle w:val="176"/>
        </w:rPr>
        <w:t>4.</w:t>
      </w:r>
      <w:r>
        <w:rPr>
          <w:rStyle w:val="176"/>
        </w:rPr>
        <w:tab/>
      </w:r>
      <w:r>
        <w:rPr>
          <w:rStyle w:val="176"/>
        </w:rPr>
        <w:t>SS release the connection through State 3A-NB and finally ensure the UE is in State 2A-NB with CP CIoT Optimisation according to TS 36.508 [7] clause 8.1.5. Configure the Non-anchor carrier according to table 8.3.1.2.1.4.3-1.</w:t>
      </w:r>
    </w:p>
    <w:p>
      <w:pPr>
        <w:pStyle w:val="111"/>
        <w:rPr>
          <w:rStyle w:val="176"/>
        </w:rPr>
      </w:pPr>
      <w:r>
        <w:rPr>
          <w:rStyle w:val="176"/>
        </w:rPr>
        <w:t>5.</w:t>
      </w:r>
      <w:r>
        <w:rPr>
          <w:rStyle w:val="176"/>
        </w:rPr>
        <w:tab/>
      </w:r>
      <w:r>
        <w:rPr>
          <w:rStyle w:val="176"/>
        </w:rPr>
        <w:t>Repeat steps from 1 to 3 for subtest 2 in Table 8.3.1.2.1.5-1 as appropriate.</w:t>
      </w:r>
    </w:p>
    <w:p>
      <w:pPr>
        <w:pStyle w:val="9"/>
      </w:pPr>
      <w:r>
        <w:rPr>
          <w:snapToGrid w:val="0"/>
          <w:kern w:val="2"/>
        </w:rPr>
        <w:t>8.3.1.2.1.</w:t>
      </w:r>
      <w:r>
        <w:rPr>
          <w:snapToGrid w:val="0"/>
          <w:kern w:val="2"/>
          <w:lang w:eastAsia="zh-TW"/>
        </w:rPr>
        <w:t>4.</w:t>
      </w:r>
      <w:r>
        <w:rPr>
          <w:lang w:eastAsia="zh-TW"/>
        </w:rPr>
        <w:t>3</w:t>
      </w:r>
      <w:r>
        <w:tab/>
      </w:r>
      <w:r>
        <w:t>Message contents</w:t>
      </w:r>
    </w:p>
    <w:p>
      <w:r>
        <w:t>Message contents are according to TS 36.508 [7] subclause 8.1.5B and 8.1.6 with the following exceptions:</w:t>
      </w:r>
    </w:p>
    <w:p>
      <w:pPr>
        <w:pStyle w:val="113"/>
      </w:pPr>
      <w:r>
        <w:t xml:space="preserve">Table 8.3.1.2.1.4.3-1: Configure Non-anchor carrier in subtest 2 </w:t>
      </w:r>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keepNext w:val="0"/>
              <w:keepLines w:val="0"/>
            </w:pPr>
            <w:r>
              <w:t>Derivation Path: 36.508 Table 8.1.8.2.1.6-1 PhysicalConfigDedicated-NB-DEFAULT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shd w:val="clear" w:color="auto" w:fill="auto"/>
          </w:tcPr>
          <w:p>
            <w:pPr>
              <w:pStyle w:val="103"/>
              <w:keepNext w:val="0"/>
              <w:keepLines w:val="0"/>
            </w:pPr>
            <w:r>
              <w:t>PhysicalConfigDedicated-NB-DEFAULT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carrierConfigDedicated-NB-r13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r>
              <w:t>Non-anchor carrier</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dl-CarrierConfig-r13::=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dl-CarrierFreq-r13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downlinkBitmapNonAnchor-r13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dl-GapNonAnchor-r13</w:t>
            </w:r>
          </w:p>
        </w:tc>
        <w:tc>
          <w:tcPr>
            <w:tcW w:w="2267" w:type="dxa"/>
            <w:shd w:val="clear" w:color="auto" w:fill="auto"/>
          </w:tcPr>
          <w:p>
            <w:pPr>
              <w:pStyle w:val="103"/>
              <w:keepNext w:val="0"/>
              <w:keepLines w:val="0"/>
            </w:pPr>
            <w:r>
              <w:t>NULL</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ul-CarrierConfig-r13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ul-CarrierFreq-r13</w:t>
            </w:r>
          </w:p>
        </w:tc>
        <w:tc>
          <w:tcPr>
            <w:tcW w:w="2267" w:type="dxa"/>
            <w:shd w:val="clear" w:color="auto" w:fill="auto"/>
          </w:tcPr>
          <w:p>
            <w:pPr>
              <w:pStyle w:val="103"/>
              <w:keepNext w:val="0"/>
              <w:keepLines w:val="0"/>
            </w:pPr>
            <w:r>
              <w:t>Note 1</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npdcch-ConfigDedicated-r13</w:t>
            </w:r>
          </w:p>
        </w:tc>
        <w:tc>
          <w:tcPr>
            <w:tcW w:w="2267" w:type="dxa"/>
            <w:shd w:val="clear" w:color="auto" w:fill="auto"/>
          </w:tcPr>
          <w:p>
            <w:pPr>
              <w:pStyle w:val="103"/>
              <w:keepNext w:val="0"/>
              <w:keepLines w:val="0"/>
            </w:pPr>
            <w:r>
              <w:t>NPDCCH-ConfigDedicated-NB-DEFAULT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npusch-ConfigDedicated-r13</w:t>
            </w:r>
          </w:p>
        </w:tc>
        <w:tc>
          <w:tcPr>
            <w:tcW w:w="2267" w:type="dxa"/>
            <w:tcBorders>
              <w:bottom w:val="single" w:color="000000" w:sz="4" w:space="0"/>
            </w:tcBorders>
            <w:shd w:val="clear" w:color="auto" w:fill="auto"/>
          </w:tcPr>
          <w:p>
            <w:pPr>
              <w:pStyle w:val="103"/>
              <w:keepNext w:val="0"/>
              <w:keepLines w:val="0"/>
            </w:pPr>
            <w:r>
              <w:t>NPUSCH-ConfigDedicated-NB-DEFAULT</w:t>
            </w:r>
          </w:p>
        </w:tc>
        <w:tc>
          <w:tcPr>
            <w:tcW w:w="1811" w:type="dxa"/>
            <w:tcBorders>
              <w:bottom w:val="single" w:color="000000" w:sz="4" w:space="0"/>
            </w:tcBorders>
            <w:shd w:val="clear" w:color="auto" w:fill="auto"/>
          </w:tcPr>
          <w:p>
            <w:pPr>
              <w:pStyle w:val="103"/>
              <w:keepNext w:val="0"/>
              <w:keepLines w:val="0"/>
            </w:pPr>
            <w:r>
              <w:t>See subclause 8.1.6.3 in 36.508</w:t>
            </w:r>
          </w:p>
        </w:tc>
        <w:tc>
          <w:tcPr>
            <w:tcW w:w="1134" w:type="dxa"/>
            <w:tcBorders>
              <w:bottom w:val="single" w:color="000000"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uplinkPowerControlDedicated-r13</w:t>
            </w:r>
          </w:p>
        </w:tc>
        <w:tc>
          <w:tcPr>
            <w:tcW w:w="2267" w:type="dxa"/>
            <w:shd w:val="clear" w:color="auto" w:fill="auto"/>
          </w:tcPr>
          <w:p>
            <w:pPr>
              <w:pStyle w:val="103"/>
              <w:keepNext w:val="0"/>
              <w:keepLines w:val="0"/>
            </w:pPr>
            <w:r>
              <w:t>UplinkPowerControlDedicated-NB-DEFAULT</w:t>
            </w:r>
          </w:p>
        </w:tc>
        <w:tc>
          <w:tcPr>
            <w:tcW w:w="1811" w:type="dxa"/>
            <w:shd w:val="clear" w:color="auto" w:fill="auto"/>
          </w:tcPr>
          <w:p>
            <w:pPr>
              <w:pStyle w:val="103"/>
              <w:keepNext w:val="0"/>
              <w:keepLines w:val="0"/>
            </w:pPr>
            <w:r>
              <w:t>See subclause 8.1.6.3 in 36.508</w:t>
            </w: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18"/>
              <w:keepNext w:val="0"/>
              <w:keepLines w:val="0"/>
            </w:pPr>
            <w:r>
              <w:t>Note 1: The frequency of Non-anchor carrier is located at 200KHz higher from the centre of the anchor carrier.</w:t>
            </w:r>
          </w:p>
        </w:tc>
      </w:tr>
    </w:tbl>
    <w:p/>
    <w:p>
      <w:pPr>
        <w:pStyle w:val="113"/>
      </w:pPr>
      <w:r>
        <w:t>Table 8.3.1.2.1.4.3-2: NPDCCH-ConfigDedicated-NB-DEFAULT</w:t>
      </w:r>
    </w:p>
    <w:tbl>
      <w:tblPr>
        <w:tblStyle w:val="89"/>
        <w:tblW w:w="9747" w:type="dxa"/>
        <w:tblInd w:w="-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99" w:type="dxa"/>
          <w:bottom w:w="0" w:type="dxa"/>
          <w:right w:w="99" w:type="dxa"/>
        </w:tblCellMar>
      </w:tblPr>
      <w:tblGrid>
        <w:gridCol w:w="9"/>
        <w:gridCol w:w="4526"/>
        <w:gridCol w:w="2267"/>
        <w:gridCol w:w="1811"/>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rPr>
          <w:gridBefore w:val="1"/>
          <w:wBefore w:w="9" w:type="dxa"/>
        </w:trPr>
        <w:tc>
          <w:tcPr>
            <w:tcW w:w="9738" w:type="dxa"/>
            <w:gridSpan w:val="4"/>
          </w:tcPr>
          <w:p>
            <w:pPr>
              <w:pStyle w:val="103"/>
              <w:keepNext w:val="0"/>
              <w:keepLines w:val="0"/>
            </w:pPr>
            <w:r>
              <w:t>Derivation Path: 36.508 Table 8.1.6.3-3 NPDCCH-ConfigDedicated-NB-DEFAULT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shd w:val="clear" w:color="auto" w:fill="auto"/>
          </w:tcPr>
          <w:p>
            <w:pPr>
              <w:pStyle w:val="104"/>
              <w:keepNext w:val="0"/>
              <w:keepLines w:val="0"/>
            </w:pPr>
            <w:r>
              <w:t>Information Element</w:t>
            </w:r>
          </w:p>
        </w:tc>
        <w:tc>
          <w:tcPr>
            <w:tcW w:w="2267" w:type="dxa"/>
            <w:shd w:val="clear" w:color="auto" w:fill="auto"/>
          </w:tcPr>
          <w:p>
            <w:pPr>
              <w:pStyle w:val="104"/>
              <w:keepNext w:val="0"/>
              <w:keepLines w:val="0"/>
            </w:pPr>
            <w:r>
              <w:t>Value/remark</w:t>
            </w:r>
          </w:p>
        </w:tc>
        <w:tc>
          <w:tcPr>
            <w:tcW w:w="1811" w:type="dxa"/>
            <w:shd w:val="clear" w:color="auto" w:fill="auto"/>
          </w:tcPr>
          <w:p>
            <w:pPr>
              <w:pStyle w:val="104"/>
              <w:keepNext w:val="0"/>
              <w:keepLines w:val="0"/>
            </w:pPr>
            <w:r>
              <w:t>Comment</w:t>
            </w:r>
          </w:p>
        </w:tc>
        <w:tc>
          <w:tcPr>
            <w:tcW w:w="1134" w:type="dxa"/>
            <w:shd w:val="clear" w:color="auto" w:fill="auto"/>
          </w:tcPr>
          <w:p>
            <w:pPr>
              <w:pStyle w:val="104"/>
              <w:keepNext w:val="0"/>
              <w:keepLines w:val="0"/>
            </w:pPr>
            <w:r>
              <w:t>Condition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single" w:color="000000" w:sz="4" w:space="0"/>
            </w:tcBorders>
            <w:shd w:val="clear" w:color="auto" w:fill="auto"/>
          </w:tcPr>
          <w:p>
            <w:pPr>
              <w:pStyle w:val="103"/>
              <w:keepNext w:val="0"/>
              <w:keepLines w:val="0"/>
            </w:pPr>
            <w:r>
              <w:t>NPDCCH-ConfigDedicated-NB-DEFAULT ::= SEQUENCE {</w:t>
            </w:r>
          </w:p>
        </w:tc>
        <w:tc>
          <w:tcPr>
            <w:tcW w:w="2267" w:type="dxa"/>
            <w:shd w:val="clear" w:color="auto" w:fill="auto"/>
          </w:tcPr>
          <w:p>
            <w:pPr>
              <w:pStyle w:val="103"/>
              <w:keepNext w:val="0"/>
              <w:keepLines w:val="0"/>
            </w:pP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npdcch-NumRepetitions-r13</w:t>
            </w:r>
          </w:p>
        </w:tc>
        <w:tc>
          <w:tcPr>
            <w:tcW w:w="2267" w:type="dxa"/>
            <w:shd w:val="clear" w:color="auto" w:fill="auto"/>
          </w:tcPr>
          <w:p>
            <w:pPr>
              <w:pStyle w:val="103"/>
              <w:keepNext w:val="0"/>
              <w:keepLines w:val="0"/>
            </w:pPr>
            <w:r>
              <w:t>R128 for Test 1; r1024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4535" w:type="dxa"/>
            <w:gridSpan w:val="2"/>
            <w:tcBorders>
              <w:bottom w:val="nil"/>
            </w:tcBorders>
            <w:shd w:val="clear" w:color="auto" w:fill="auto"/>
          </w:tcPr>
          <w:p>
            <w:pPr>
              <w:pStyle w:val="103"/>
              <w:keepNext w:val="0"/>
              <w:keepLines w:val="0"/>
            </w:pPr>
            <w:r>
              <w:t xml:space="preserve">  npdcch-StartSF-USS-r13</w:t>
            </w:r>
          </w:p>
        </w:tc>
        <w:tc>
          <w:tcPr>
            <w:tcW w:w="2267" w:type="dxa"/>
            <w:shd w:val="clear" w:color="auto" w:fill="auto"/>
          </w:tcPr>
          <w:p>
            <w:pPr>
              <w:pStyle w:val="103"/>
              <w:keepNext w:val="0"/>
              <w:keepLines w:val="0"/>
            </w:pPr>
            <w:r>
              <w:t>V2 for Test 1; V1.5 for Test 2.</w:t>
            </w:r>
          </w:p>
        </w:tc>
        <w:tc>
          <w:tcPr>
            <w:tcW w:w="1811" w:type="dxa"/>
            <w:shd w:val="clear" w:color="auto" w:fill="auto"/>
          </w:tcPr>
          <w:p>
            <w:pPr>
              <w:pStyle w:val="103"/>
              <w:keepNext w:val="0"/>
              <w:keepLines w:val="0"/>
            </w:pPr>
          </w:p>
        </w:tc>
        <w:tc>
          <w:tcPr>
            <w:tcW w:w="1134" w:type="dxa"/>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bottom w:val="single" w:color="auto" w:sz="4" w:space="0"/>
            </w:tcBorders>
            <w:shd w:val="clear" w:color="auto" w:fill="auto"/>
          </w:tcPr>
          <w:p>
            <w:pPr>
              <w:pStyle w:val="103"/>
              <w:keepNext w:val="0"/>
              <w:keepLines w:val="0"/>
            </w:pPr>
            <w:r>
              <w:t xml:space="preserve">  npdcch-Offset-USS-r13</w:t>
            </w:r>
          </w:p>
        </w:tc>
        <w:tc>
          <w:tcPr>
            <w:tcW w:w="2267" w:type="dxa"/>
            <w:tcBorders>
              <w:bottom w:val="single" w:color="auto" w:sz="4" w:space="0"/>
            </w:tcBorders>
            <w:shd w:val="clear" w:color="auto" w:fill="auto"/>
          </w:tcPr>
          <w:p>
            <w:pPr>
              <w:pStyle w:val="103"/>
              <w:keepNext w:val="0"/>
              <w:keepLines w:val="0"/>
            </w:pPr>
            <w:r>
              <w:t>zero</w:t>
            </w:r>
          </w:p>
        </w:tc>
        <w:tc>
          <w:tcPr>
            <w:tcW w:w="1811" w:type="dxa"/>
            <w:tcBorders>
              <w:bottom w:val="single" w:color="auto" w:sz="4" w:space="0"/>
            </w:tcBorders>
            <w:shd w:val="clear" w:color="auto" w:fill="auto"/>
          </w:tcPr>
          <w:p>
            <w:pPr>
              <w:pStyle w:val="103"/>
              <w:keepNext w:val="0"/>
              <w:keepLines w:val="0"/>
            </w:pPr>
          </w:p>
        </w:tc>
        <w:tc>
          <w:tcPr>
            <w:tcW w:w="1134" w:type="dxa"/>
            <w:tcBorders>
              <w:bottom w:val="single" w:color="auto" w:sz="4" w:space="0"/>
            </w:tcBorders>
            <w:shd w:val="clear" w:color="auto" w:fill="auto"/>
          </w:tcPr>
          <w:p>
            <w:pPr>
              <w:pStyle w:val="103"/>
              <w:keepNext w:val="0"/>
              <w:keepLines w:val="0"/>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99" w:type="dxa"/>
            <w:bottom w:w="0" w:type="dxa"/>
            <w:right w:w="99" w:type="dxa"/>
          </w:tblCellMar>
        </w:tblPrEx>
        <w:tc>
          <w:tcPr>
            <w:tcW w:w="4535" w:type="dxa"/>
            <w:gridSpan w:val="2"/>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r>
              <w:t>}</w:t>
            </w:r>
          </w:p>
        </w:tc>
        <w:tc>
          <w:tcPr>
            <w:tcW w:w="2267"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811"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c>
          <w:tcPr>
            <w:tcW w:w="1134" w:type="dxa"/>
            <w:tcBorders>
              <w:top w:val="single" w:color="auto" w:sz="4" w:space="0"/>
              <w:left w:val="single" w:color="auto" w:sz="4" w:space="0"/>
              <w:bottom w:val="single" w:color="auto" w:sz="4" w:space="0"/>
              <w:right w:val="single" w:color="auto" w:sz="4" w:space="0"/>
            </w:tcBorders>
            <w:shd w:val="clear" w:color="auto" w:fill="auto"/>
          </w:tcPr>
          <w:p>
            <w:pPr>
              <w:pStyle w:val="103"/>
              <w:keepNext w:val="0"/>
              <w:keepLines w:val="0"/>
            </w:pPr>
          </w:p>
        </w:tc>
      </w:tr>
    </w:tbl>
    <w:p>
      <w:pPr>
        <w:rPr>
          <w:lang w:eastAsia="zh-TW"/>
        </w:rPr>
      </w:pPr>
    </w:p>
    <w:p>
      <w:pPr>
        <w:pStyle w:val="9"/>
        <w:rPr>
          <w:snapToGrid w:val="0"/>
          <w:kern w:val="2"/>
        </w:rPr>
      </w:pPr>
      <w:r>
        <w:rPr>
          <w:snapToGrid w:val="0"/>
          <w:kern w:val="2"/>
        </w:rPr>
        <w:t>8.3.1.2.1.5</w:t>
      </w:r>
      <w:r>
        <w:rPr>
          <w:snapToGrid w:val="0"/>
          <w:kern w:val="2"/>
        </w:rPr>
        <w:tab/>
      </w:r>
      <w:r>
        <w:rPr>
          <w:snapToGrid w:val="0"/>
          <w:kern w:val="2"/>
        </w:rPr>
        <w:t>Test requirement</w:t>
      </w:r>
    </w:p>
    <w:p>
      <w:pPr>
        <w:rPr>
          <w:rFonts w:cs="v5.0.0"/>
        </w:rPr>
      </w:pPr>
      <w:r>
        <w:rPr>
          <w:rFonts w:cs="v5.0.0"/>
        </w:rPr>
        <w:t>For the parameters specified in Tables 8.3.1.2-1 and 8.3.1.2.1.3-1 the average probability of a missed downlink scheduling grant (Pm-dsg) shall be below the specified value in Table 8.3.1.2.1.5-1.</w:t>
      </w:r>
    </w:p>
    <w:p>
      <w:pPr>
        <w:pStyle w:val="113"/>
      </w:pPr>
      <w:r>
        <w:t>Table 8.3.1.2.1.</w:t>
      </w:r>
      <w:r>
        <w:rPr>
          <w:lang w:eastAsia="zh-TW"/>
        </w:rPr>
        <w:t>5</w:t>
      </w:r>
      <w:r>
        <w:t>-</w:t>
      </w:r>
      <w:r>
        <w:rPr>
          <w:lang w:eastAsia="zh-TW"/>
        </w:rPr>
        <w:t>1</w:t>
      </w:r>
      <w:r>
        <w:t>: Test Parameters for NPDCCH performance</w:t>
      </w:r>
    </w:p>
    <w:tbl>
      <w:tblPr>
        <w:tblStyle w:val="89"/>
        <w:tblW w:w="98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1"/>
        <w:gridCol w:w="1283"/>
        <w:gridCol w:w="1096"/>
        <w:gridCol w:w="1170"/>
        <w:gridCol w:w="1170"/>
        <w:gridCol w:w="1280"/>
        <w:gridCol w:w="1134"/>
        <w:gridCol w:w="993"/>
        <w:gridCol w:w="8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921" w:type="dxa"/>
            <w:vMerge w:val="restart"/>
          </w:tcPr>
          <w:p>
            <w:pPr>
              <w:pStyle w:val="104"/>
            </w:pPr>
            <w:r>
              <w:t>Test number</w:t>
            </w:r>
          </w:p>
        </w:tc>
        <w:tc>
          <w:tcPr>
            <w:tcW w:w="1283" w:type="dxa"/>
            <w:vMerge w:val="restart"/>
          </w:tcPr>
          <w:p>
            <w:pPr>
              <w:pStyle w:val="104"/>
            </w:pPr>
            <w:r>
              <w:t xml:space="preserve">Deployment mode </w:t>
            </w:r>
          </w:p>
        </w:tc>
        <w:tc>
          <w:tcPr>
            <w:tcW w:w="1096" w:type="dxa"/>
            <w:vMerge w:val="restart"/>
          </w:tcPr>
          <w:p>
            <w:pPr>
              <w:pStyle w:val="104"/>
            </w:pPr>
            <w:r>
              <w:t>Repetition number</w:t>
            </w:r>
          </w:p>
          <w:p>
            <w:pPr>
              <w:pStyle w:val="104"/>
            </w:pPr>
            <w:r>
              <w:t>(R</w:t>
            </w:r>
            <w:r>
              <w:rPr>
                <w:vertAlign w:val="subscript"/>
              </w:rPr>
              <w:t>max</w:t>
            </w:r>
            <w:r>
              <w:t>)</w:t>
            </w:r>
          </w:p>
        </w:tc>
        <w:tc>
          <w:tcPr>
            <w:tcW w:w="1170" w:type="dxa"/>
            <w:vMerge w:val="restart"/>
          </w:tcPr>
          <w:p>
            <w:pPr>
              <w:pStyle w:val="104"/>
            </w:pPr>
            <w:r>
              <w:t>Operated carrier</w:t>
            </w:r>
          </w:p>
        </w:tc>
        <w:tc>
          <w:tcPr>
            <w:tcW w:w="1170" w:type="dxa"/>
            <w:vMerge w:val="restart"/>
          </w:tcPr>
          <w:p>
            <w:pPr>
              <w:pStyle w:val="104"/>
            </w:pPr>
            <w:r>
              <w:t>Reference Channel</w:t>
            </w:r>
          </w:p>
        </w:tc>
        <w:tc>
          <w:tcPr>
            <w:tcW w:w="1280" w:type="dxa"/>
            <w:vMerge w:val="restart"/>
          </w:tcPr>
          <w:p>
            <w:pPr>
              <w:pStyle w:val="104"/>
            </w:pPr>
            <w:r>
              <w:t>Propagation Condition</w:t>
            </w:r>
          </w:p>
        </w:tc>
        <w:tc>
          <w:tcPr>
            <w:tcW w:w="1134" w:type="dxa"/>
            <w:vMerge w:val="restart"/>
          </w:tcPr>
          <w:p>
            <w:pPr>
              <w:pStyle w:val="104"/>
            </w:pPr>
            <w:r>
              <w:t>Number of NRS ports</w:t>
            </w:r>
          </w:p>
        </w:tc>
        <w:tc>
          <w:tcPr>
            <w:tcW w:w="1816" w:type="dxa"/>
            <w:gridSpan w:val="2"/>
          </w:tcPr>
          <w:p>
            <w:pPr>
              <w:pStyle w:val="104"/>
            </w:pPr>
            <w:r>
              <w:t>Reference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9" w:hRule="atLeast"/>
          <w:jc w:val="center"/>
        </w:trPr>
        <w:tc>
          <w:tcPr>
            <w:tcW w:w="921" w:type="dxa"/>
            <w:vMerge w:val="continue"/>
          </w:tcPr>
          <w:p>
            <w:pPr>
              <w:keepNext/>
              <w:keepLines/>
              <w:spacing w:after="0"/>
              <w:jc w:val="center"/>
              <w:rPr>
                <w:rFonts w:ascii="Arial" w:hAnsi="Arial" w:cs="Arial"/>
                <w:b/>
                <w:sz w:val="18"/>
              </w:rPr>
            </w:pPr>
          </w:p>
        </w:tc>
        <w:tc>
          <w:tcPr>
            <w:tcW w:w="1283" w:type="dxa"/>
            <w:vMerge w:val="continue"/>
          </w:tcPr>
          <w:p>
            <w:pPr>
              <w:keepNext/>
              <w:keepLines/>
              <w:spacing w:after="0"/>
              <w:jc w:val="center"/>
              <w:rPr>
                <w:rFonts w:ascii="Arial" w:hAnsi="Arial" w:cs="Arial"/>
                <w:b/>
                <w:sz w:val="18"/>
              </w:rPr>
            </w:pPr>
          </w:p>
        </w:tc>
        <w:tc>
          <w:tcPr>
            <w:tcW w:w="1096" w:type="dxa"/>
            <w:vMerge w:val="continue"/>
          </w:tcPr>
          <w:p>
            <w:pPr>
              <w:keepNext/>
              <w:keepLines/>
              <w:spacing w:after="0"/>
              <w:jc w:val="center"/>
              <w:rPr>
                <w:rFonts w:ascii="Arial" w:hAnsi="Arial" w:cs="Arial"/>
                <w:b/>
                <w:sz w:val="18"/>
              </w:rPr>
            </w:pPr>
          </w:p>
        </w:tc>
        <w:tc>
          <w:tcPr>
            <w:tcW w:w="1170" w:type="dxa"/>
            <w:vMerge w:val="continue"/>
          </w:tcPr>
          <w:p>
            <w:pPr>
              <w:keepNext/>
              <w:keepLines/>
              <w:spacing w:after="0"/>
              <w:jc w:val="center"/>
              <w:rPr>
                <w:rFonts w:ascii="Arial" w:hAnsi="Arial" w:cs="Arial"/>
                <w:b/>
                <w:sz w:val="18"/>
              </w:rPr>
            </w:pPr>
          </w:p>
        </w:tc>
        <w:tc>
          <w:tcPr>
            <w:tcW w:w="1170" w:type="dxa"/>
            <w:vMerge w:val="continue"/>
          </w:tcPr>
          <w:p>
            <w:pPr>
              <w:keepNext/>
              <w:keepLines/>
              <w:spacing w:after="0"/>
              <w:jc w:val="center"/>
              <w:rPr>
                <w:rFonts w:ascii="Arial" w:hAnsi="Arial" w:cs="Arial"/>
                <w:b/>
                <w:sz w:val="18"/>
              </w:rPr>
            </w:pPr>
          </w:p>
        </w:tc>
        <w:tc>
          <w:tcPr>
            <w:tcW w:w="1280" w:type="dxa"/>
            <w:vMerge w:val="continue"/>
          </w:tcPr>
          <w:p>
            <w:pPr>
              <w:keepNext/>
              <w:keepLines/>
              <w:spacing w:after="0"/>
              <w:jc w:val="center"/>
              <w:rPr>
                <w:rFonts w:ascii="Arial" w:hAnsi="Arial" w:cs="Arial"/>
                <w:b/>
                <w:sz w:val="18"/>
              </w:rPr>
            </w:pPr>
          </w:p>
        </w:tc>
        <w:tc>
          <w:tcPr>
            <w:tcW w:w="1134" w:type="dxa"/>
            <w:vMerge w:val="continue"/>
          </w:tcPr>
          <w:p>
            <w:pPr>
              <w:keepNext/>
              <w:keepLines/>
              <w:spacing w:after="0"/>
              <w:jc w:val="center"/>
              <w:rPr>
                <w:rFonts w:ascii="Arial" w:hAnsi="Arial" w:cs="Arial"/>
                <w:b/>
                <w:sz w:val="18"/>
              </w:rPr>
            </w:pPr>
          </w:p>
        </w:tc>
        <w:tc>
          <w:tcPr>
            <w:tcW w:w="993" w:type="dxa"/>
          </w:tcPr>
          <w:p>
            <w:pPr>
              <w:keepNext/>
              <w:keepLines/>
              <w:spacing w:after="0"/>
              <w:jc w:val="center"/>
              <w:rPr>
                <w:rFonts w:ascii="Arial" w:hAnsi="Arial" w:cs="Arial"/>
                <w:b/>
                <w:sz w:val="18"/>
              </w:rPr>
            </w:pPr>
            <w:r>
              <w:rPr>
                <w:rFonts w:ascii="Arial" w:hAnsi="Arial" w:cs="Arial"/>
                <w:b/>
                <w:sz w:val="18"/>
              </w:rPr>
              <w:t>Pm-dsg (%)</w:t>
            </w:r>
          </w:p>
        </w:tc>
        <w:tc>
          <w:tcPr>
            <w:tcW w:w="823" w:type="dxa"/>
          </w:tcPr>
          <w:p>
            <w:pPr>
              <w:keepNext/>
              <w:keepLines/>
              <w:spacing w:after="0"/>
              <w:jc w:val="center"/>
              <w:rPr>
                <w:rFonts w:ascii="Arial" w:hAnsi="Arial" w:cs="Arial"/>
                <w:b/>
                <w:sz w:val="18"/>
              </w:rPr>
            </w:pPr>
            <w:r>
              <w:rPr>
                <w:rFonts w:ascii="Arial" w:hAnsi="Arial" w:cs="Arial"/>
                <w:b/>
                <w:sz w:val="18"/>
              </w:rPr>
              <w:t>SNR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21" w:type="dxa"/>
            <w:shd w:val="clear" w:color="auto" w:fill="auto"/>
          </w:tcPr>
          <w:p>
            <w:pPr>
              <w:pStyle w:val="105"/>
            </w:pPr>
            <w:r>
              <w:t>1</w:t>
            </w:r>
          </w:p>
        </w:tc>
        <w:tc>
          <w:tcPr>
            <w:tcW w:w="1283" w:type="dxa"/>
            <w:shd w:val="clear" w:color="auto" w:fill="auto"/>
          </w:tcPr>
          <w:p>
            <w:pPr>
              <w:pStyle w:val="105"/>
            </w:pPr>
            <w:r>
              <w:t>Stand-alone</w:t>
            </w:r>
          </w:p>
        </w:tc>
        <w:tc>
          <w:tcPr>
            <w:tcW w:w="1096" w:type="dxa"/>
          </w:tcPr>
          <w:p>
            <w:pPr>
              <w:pStyle w:val="105"/>
            </w:pPr>
            <w:r>
              <w:t>128</w:t>
            </w:r>
          </w:p>
        </w:tc>
        <w:tc>
          <w:tcPr>
            <w:tcW w:w="1170" w:type="dxa"/>
          </w:tcPr>
          <w:p>
            <w:pPr>
              <w:pStyle w:val="105"/>
            </w:pPr>
            <w:r>
              <w:t>Anchor</w:t>
            </w:r>
          </w:p>
        </w:tc>
        <w:tc>
          <w:tcPr>
            <w:tcW w:w="1170" w:type="dxa"/>
            <w:shd w:val="clear" w:color="auto" w:fill="auto"/>
          </w:tcPr>
          <w:p>
            <w:pPr>
              <w:pStyle w:val="105"/>
            </w:pPr>
            <w:r>
              <w:t>R.NB.3 FDD</w:t>
            </w:r>
          </w:p>
        </w:tc>
        <w:tc>
          <w:tcPr>
            <w:tcW w:w="1280" w:type="dxa"/>
            <w:shd w:val="clear" w:color="auto" w:fill="auto"/>
          </w:tcPr>
          <w:p>
            <w:pPr>
              <w:pStyle w:val="105"/>
            </w:pPr>
            <w:r>
              <w:t>EPA5</w:t>
            </w:r>
          </w:p>
        </w:tc>
        <w:tc>
          <w:tcPr>
            <w:tcW w:w="1134" w:type="dxa"/>
            <w:shd w:val="clear" w:color="auto" w:fill="auto"/>
          </w:tcPr>
          <w:p>
            <w:pPr>
              <w:pStyle w:val="105"/>
            </w:pPr>
            <w:r>
              <w:t>1</w:t>
            </w:r>
          </w:p>
        </w:tc>
        <w:tc>
          <w:tcPr>
            <w:tcW w:w="993" w:type="dxa"/>
          </w:tcPr>
          <w:p>
            <w:pPr>
              <w:pStyle w:val="105"/>
            </w:pPr>
            <w:r>
              <w:t>1</w:t>
            </w:r>
          </w:p>
        </w:tc>
        <w:tc>
          <w:tcPr>
            <w:tcW w:w="823" w:type="dxa"/>
          </w:tcPr>
          <w:p>
            <w:pPr>
              <w:pStyle w:val="105"/>
            </w:pPr>
            <w:r>
              <w:t>-4.1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21" w:type="dxa"/>
            <w:shd w:val="clear" w:color="auto" w:fill="auto"/>
          </w:tcPr>
          <w:p>
            <w:pPr>
              <w:pStyle w:val="105"/>
            </w:pPr>
            <w:r>
              <w:t>2 (Note 1)</w:t>
            </w:r>
          </w:p>
        </w:tc>
        <w:tc>
          <w:tcPr>
            <w:tcW w:w="1283" w:type="dxa"/>
            <w:shd w:val="clear" w:color="auto" w:fill="auto"/>
          </w:tcPr>
          <w:p>
            <w:pPr>
              <w:pStyle w:val="105"/>
            </w:pPr>
            <w:r>
              <w:t>Stand-alone</w:t>
            </w:r>
          </w:p>
        </w:tc>
        <w:tc>
          <w:tcPr>
            <w:tcW w:w="1096" w:type="dxa"/>
          </w:tcPr>
          <w:p>
            <w:pPr>
              <w:pStyle w:val="105"/>
            </w:pPr>
            <w:r>
              <w:t>1024</w:t>
            </w:r>
          </w:p>
        </w:tc>
        <w:tc>
          <w:tcPr>
            <w:tcW w:w="1170" w:type="dxa"/>
          </w:tcPr>
          <w:p>
            <w:pPr>
              <w:pStyle w:val="105"/>
            </w:pPr>
            <w:r>
              <w:t>Non-anchor</w:t>
            </w:r>
          </w:p>
        </w:tc>
        <w:tc>
          <w:tcPr>
            <w:tcW w:w="1170" w:type="dxa"/>
            <w:shd w:val="clear" w:color="auto" w:fill="auto"/>
          </w:tcPr>
          <w:p>
            <w:pPr>
              <w:pStyle w:val="105"/>
            </w:pPr>
            <w:r>
              <w:t>R.NB.3 FDD</w:t>
            </w:r>
          </w:p>
        </w:tc>
        <w:tc>
          <w:tcPr>
            <w:tcW w:w="1280" w:type="dxa"/>
            <w:shd w:val="clear" w:color="auto" w:fill="auto"/>
          </w:tcPr>
          <w:p>
            <w:pPr>
              <w:pStyle w:val="105"/>
            </w:pPr>
            <w:r>
              <w:t>ETU1</w:t>
            </w:r>
          </w:p>
        </w:tc>
        <w:tc>
          <w:tcPr>
            <w:tcW w:w="1134" w:type="dxa"/>
            <w:shd w:val="clear" w:color="auto" w:fill="auto"/>
          </w:tcPr>
          <w:p>
            <w:pPr>
              <w:pStyle w:val="105"/>
            </w:pPr>
            <w:r>
              <w:t>1</w:t>
            </w:r>
          </w:p>
        </w:tc>
        <w:tc>
          <w:tcPr>
            <w:tcW w:w="993" w:type="dxa"/>
          </w:tcPr>
          <w:p>
            <w:pPr>
              <w:pStyle w:val="105"/>
            </w:pPr>
            <w:r>
              <w:t>1</w:t>
            </w:r>
          </w:p>
        </w:tc>
        <w:tc>
          <w:tcPr>
            <w:tcW w:w="823" w:type="dxa"/>
          </w:tcPr>
          <w:p>
            <w:pPr>
              <w:pStyle w:val="105"/>
            </w:pPr>
            <w:r>
              <w:t>-10.6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9870" w:type="dxa"/>
            <w:gridSpan w:val="9"/>
            <w:shd w:val="clear" w:color="auto" w:fill="auto"/>
          </w:tcPr>
          <w:p>
            <w:pPr>
              <w:pStyle w:val="105"/>
              <w:jc w:val="left"/>
            </w:pPr>
            <w:r>
              <w:rPr>
                <w:rFonts w:cs="Arial"/>
                <w:kern w:val="2"/>
              </w:rPr>
              <w:t>Note 1:</w:t>
            </w:r>
            <w:r>
              <w:tab/>
            </w:r>
            <w:r>
              <w:rPr>
                <w:rFonts w:cs="Arial"/>
                <w:kern w:val="2"/>
              </w:rPr>
              <w:t>Applicable to UE supporting Non-Anchor mode of operation.</w:t>
            </w:r>
          </w:p>
        </w:tc>
      </w:tr>
    </w:tbl>
    <w:p/>
    <w:p>
      <w:pPr>
        <w:spacing w:after="0"/>
        <w:rPr>
          <w:rFonts w:ascii="Arial" w:hAnsi="Arial"/>
          <w:sz w:val="36"/>
        </w:rPr>
      </w:pPr>
      <w:bookmarkStart w:id="980" w:name="_Toc111062106"/>
      <w:bookmarkStart w:id="981" w:name="_Toc120570119"/>
      <w:bookmarkStart w:id="982" w:name="_Toc29004"/>
      <w:bookmarkStart w:id="983" w:name="_Toc121162911"/>
      <w:r>
        <w:br w:type="page"/>
      </w:r>
    </w:p>
    <w:p>
      <w:pPr>
        <w:pStyle w:val="11"/>
      </w:pPr>
      <w:bookmarkStart w:id="984" w:name="_Toc11161"/>
      <w:bookmarkStart w:id="985" w:name="_Toc11367"/>
      <w:r>
        <w:t>Annex A (</w:t>
      </w:r>
      <w:r>
        <w:rPr>
          <w:rFonts w:hint="eastAsia"/>
        </w:rPr>
        <w:t>normative</w:t>
      </w:r>
      <w:r>
        <w:t>):</w:t>
      </w:r>
      <w:bookmarkEnd w:id="980"/>
      <w:bookmarkEnd w:id="981"/>
      <w:r>
        <w:br w:type="textWrapping"/>
      </w:r>
      <w:r>
        <w:t>Measurement Channels</w:t>
      </w:r>
      <w:bookmarkEnd w:id="982"/>
      <w:bookmarkEnd w:id="983"/>
      <w:bookmarkEnd w:id="984"/>
      <w:bookmarkEnd w:id="985"/>
    </w:p>
    <w:p>
      <w:pPr>
        <w:pStyle w:val="3"/>
      </w:pPr>
      <w:bookmarkStart w:id="986" w:name="_Toc18767"/>
      <w:r>
        <w:t>A.1</w:t>
      </w:r>
      <w:r>
        <w:tab/>
      </w:r>
      <w:r>
        <w:t>General</w:t>
      </w:r>
      <w:bookmarkEnd w:id="986"/>
    </w:p>
    <w:p>
      <w:r>
        <w:t>A schematic overview of the encoding process for the reference measurement channels is provided in Figure A-1.</w:t>
      </w:r>
    </w:p>
    <w:p>
      <w:pPr>
        <w:pStyle w:val="113"/>
      </w:pPr>
      <w:bookmarkStart w:id="987" w:name="_MON_1268742351"/>
      <w:bookmarkEnd w:id="987"/>
      <w:bookmarkStart w:id="988" w:name="_MON_1268742244"/>
      <w:bookmarkEnd w:id="988"/>
      <w:bookmarkStart w:id="989" w:name="_MON_1268742315"/>
      <w:bookmarkEnd w:id="989"/>
      <w:bookmarkStart w:id="990" w:name="_MON_1293118082"/>
      <w:bookmarkEnd w:id="990"/>
      <w:bookmarkStart w:id="991" w:name="_MON_1268742233"/>
      <w:bookmarkEnd w:id="991"/>
      <w:bookmarkStart w:id="992" w:name="_MON_1293037286"/>
      <w:bookmarkEnd w:id="992"/>
      <w:r>
        <w:object>
          <v:shape id="_x0000_i1090" o:spt="75" type="#_x0000_t75" style="height:315.25pt;width:459.25pt;" o:ole="t" filled="f" o:preferrelative="t" stroked="f" coordsize="21600,21600">
            <v:path/>
            <v:fill on="f" focussize="0,0"/>
            <v:stroke on="f" joinstyle="miter"/>
            <v:imagedata r:id="rId126" o:title=""/>
            <o:lock v:ext="edit" aspectratio="t"/>
            <w10:wrap type="none"/>
            <w10:anchorlock/>
          </v:shape>
          <o:OLEObject Type="Embed" ProgID="Word.Picture.8" ShapeID="_x0000_i1090" DrawAspect="Content" ObjectID="_1468075790" r:id="rId125">
            <o:LockedField>false</o:LockedField>
          </o:OLEObject>
        </w:object>
      </w:r>
    </w:p>
    <w:p>
      <w:pPr>
        <w:pStyle w:val="113"/>
      </w:pPr>
      <w:r>
        <w:t>Figure A-1: Schematic overview of the encoding process</w:t>
      </w:r>
    </w:p>
    <w:p/>
    <w:p>
      <w:r>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r>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r>
        <w:t>Rate matching process in Figure A-1 is dependent on the parameter “Total number of Soft Channel bits” which has been defined for each UE category in TS 36.306 [15] clause 4.1. The SS shall use the Soft Channel bits size according to the UE category.</w:t>
      </w:r>
    </w:p>
    <w:p>
      <w:pPr>
        <w:pStyle w:val="3"/>
      </w:pPr>
      <w:bookmarkStart w:id="993" w:name="_Toc31377"/>
      <w:bookmarkStart w:id="994" w:name="_Toc232582091"/>
      <w:r>
        <w:t>A.2</w:t>
      </w:r>
      <w:r>
        <w:tab/>
      </w:r>
      <w:r>
        <w:t>UL reference measurement channels</w:t>
      </w:r>
      <w:bookmarkEnd w:id="993"/>
      <w:bookmarkEnd w:id="994"/>
    </w:p>
    <w:p>
      <w:pPr>
        <w:pStyle w:val="4"/>
      </w:pPr>
      <w:bookmarkStart w:id="995" w:name="_Toc232582092"/>
      <w:bookmarkStart w:id="996" w:name="_Toc17100"/>
      <w:r>
        <w:t>A.2.1</w:t>
      </w:r>
      <w:r>
        <w:tab/>
      </w:r>
      <w:r>
        <w:t>General</w:t>
      </w:r>
      <w:bookmarkEnd w:id="995"/>
      <w:bookmarkEnd w:id="996"/>
    </w:p>
    <w:p>
      <w:pPr>
        <w:pStyle w:val="5"/>
        <w:rPr>
          <w:snapToGrid w:val="0"/>
        </w:rPr>
      </w:pPr>
      <w:bookmarkStart w:id="997" w:name="_Toc9352"/>
      <w:bookmarkStart w:id="998" w:name="_Toc232582093"/>
      <w:r>
        <w:rPr>
          <w:snapToGrid w:val="0"/>
        </w:rPr>
        <w:t>A.2.1.1</w:t>
      </w:r>
      <w:r>
        <w:rPr>
          <w:snapToGrid w:val="0"/>
        </w:rPr>
        <w:tab/>
      </w:r>
      <w:r>
        <w:rPr>
          <w:snapToGrid w:val="0"/>
        </w:rPr>
        <w:t>Applicability and common parameters</w:t>
      </w:r>
      <w:bookmarkEnd w:id="997"/>
      <w:bookmarkEnd w:id="998"/>
    </w:p>
    <w:p>
      <w:r>
        <w:t xml:space="preserve">The following sections define the UL signal applicable to the Transmitter Characteristics (clause 6) and for the </w:t>
      </w:r>
      <w:r>
        <w:rPr>
          <w:rFonts w:cs="v5.0.0"/>
        </w:rPr>
        <w:t>Receiver Characteristics (clause 7) where the UL signal is relevant.</w:t>
      </w:r>
    </w:p>
    <w:p>
      <w:r>
        <w:t>The Reference channels in this section assume transmission of PUSCH and Demodulation Reference signal only. The following conditions apply:</w:t>
      </w:r>
    </w:p>
    <w:p>
      <w:pPr>
        <w:pStyle w:val="111"/>
      </w:pPr>
      <w:r>
        <w:t>-</w:t>
      </w:r>
      <w:r>
        <w:tab/>
      </w:r>
      <w:r>
        <w:t>1 HARQ transmission</w:t>
      </w:r>
    </w:p>
    <w:p>
      <w:pPr>
        <w:pStyle w:val="111"/>
      </w:pPr>
      <w:r>
        <w:t>-</w:t>
      </w:r>
      <w:r>
        <w:tab/>
      </w:r>
      <w:r>
        <w:t>Cyclic Prefix normal</w:t>
      </w:r>
    </w:p>
    <w:p>
      <w:pPr>
        <w:pStyle w:val="111"/>
      </w:pPr>
      <w:r>
        <w:t>-</w:t>
      </w:r>
      <w:r>
        <w:tab/>
      </w:r>
      <w:r>
        <w:t>PUSCH hopping off</w:t>
      </w:r>
    </w:p>
    <w:p>
      <w:pPr>
        <w:pStyle w:val="111"/>
      </w:pPr>
      <w:r>
        <w:t>-</w:t>
      </w:r>
      <w:r>
        <w:tab/>
      </w:r>
      <w:r>
        <w:t>Link adaptation off</w:t>
      </w:r>
    </w:p>
    <w:p>
      <w:pPr>
        <w:pStyle w:val="111"/>
      </w:pPr>
      <w:r>
        <w:t>-</w:t>
      </w:r>
      <w:r>
        <w:tab/>
      </w:r>
      <w:r>
        <w:t>Demodulation Reference signal as per TS 36.211 [</w:t>
      </w:r>
      <w:r>
        <w:rPr>
          <w:rFonts w:hint="eastAsia" w:eastAsia="宋体"/>
          <w:lang w:val="en-US" w:eastAsia="zh-CN"/>
        </w:rPr>
        <w:t>3</w:t>
      </w:r>
      <w:r>
        <w:t>] clause 5.5.2.1.2.</w:t>
      </w:r>
    </w:p>
    <w:p>
      <w:r>
        <w:t>Where ACK/NACK is transmitted, it is assumed to be multiplexed on PUSCH as per TS 36.212 [</w:t>
      </w:r>
      <w:r>
        <w:rPr>
          <w:rFonts w:hint="eastAsia" w:eastAsia="宋体"/>
          <w:lang w:val="en-US" w:eastAsia="zh-CN"/>
        </w:rPr>
        <w:t>1</w:t>
      </w:r>
      <w:r>
        <w:t>9] subclause 5.2.2.6.</w:t>
      </w:r>
    </w:p>
    <w:p>
      <w:pPr>
        <w:pStyle w:val="111"/>
      </w:pPr>
      <w:r>
        <w:t>-</w:t>
      </w:r>
      <w:r>
        <w:tab/>
      </w:r>
      <w:r>
        <w:t>ACK/NACK 1 bit</w:t>
      </w:r>
    </w:p>
    <w:p>
      <w:pPr>
        <w:pStyle w:val="111"/>
      </w:pPr>
      <w:r>
        <w:t>-</w:t>
      </w:r>
      <w:r>
        <w:tab/>
      </w:r>
      <w:r>
        <w:t>ACK/NACK mapping adjacent to Demodulation Reference symbol</w:t>
      </w:r>
    </w:p>
    <w:p>
      <w:pPr>
        <w:pStyle w:val="111"/>
      </w:pPr>
      <w:r>
        <w:t>-</w:t>
      </w:r>
      <w:r>
        <w:tab/>
      </w:r>
      <w:r>
        <w:t>ACK/NACK resources punctured into data</w:t>
      </w:r>
    </w:p>
    <w:p>
      <w:pPr>
        <w:pStyle w:val="111"/>
      </w:pPr>
      <w:r>
        <w:t>-</w:t>
      </w:r>
      <w:r>
        <w:tab/>
      </w:r>
      <w:r>
        <w:t>Max number of resources for ACK/NACK: 4 SC-FDMA symbols per subframe</w:t>
      </w:r>
    </w:p>
    <w:p>
      <w:pPr>
        <w:pStyle w:val="111"/>
      </w:pPr>
      <w:r>
        <w:t>-</w:t>
      </w:r>
      <w:r>
        <w:tab/>
      </w:r>
      <w:r>
        <w:t>No CQI transmitted, no RI transmitted</w:t>
      </w:r>
    </w:p>
    <w:p>
      <w:pPr>
        <w:pStyle w:val="5"/>
        <w:rPr>
          <w:snapToGrid w:val="0"/>
        </w:rPr>
      </w:pPr>
      <w:bookmarkStart w:id="999" w:name="_Toc232582094"/>
      <w:bookmarkStart w:id="1000" w:name="_Toc9403"/>
      <w:r>
        <w:rPr>
          <w:snapToGrid w:val="0"/>
        </w:rPr>
        <w:t>A.2.1.2</w:t>
      </w:r>
      <w:r>
        <w:rPr>
          <w:snapToGrid w:val="0"/>
        </w:rPr>
        <w:tab/>
      </w:r>
      <w:r>
        <w:rPr>
          <w:snapToGrid w:val="0"/>
        </w:rPr>
        <w:t>Determination of payload size</w:t>
      </w:r>
      <w:bookmarkEnd w:id="999"/>
      <w:bookmarkEnd w:id="1000"/>
    </w:p>
    <w:p>
      <w:r>
        <w:t>The algorithm for determining the payload size A is as follows; given a desired coding rate R and radio block allocation N</w:t>
      </w:r>
      <w:r>
        <w:rPr>
          <w:vertAlign w:val="subscript"/>
        </w:rPr>
        <w:t>RB</w:t>
      </w:r>
      <w:r>
        <w:t>:</w:t>
      </w:r>
    </w:p>
    <w:p>
      <w:pPr>
        <w:pStyle w:val="111"/>
      </w:pPr>
      <w:r>
        <w:t>1.</w:t>
      </w:r>
      <w:r>
        <w:tab/>
      </w:r>
      <w:r>
        <w:t xml:space="preserve">Calculate the number of channel bits </w:t>
      </w:r>
      <w:r>
        <w:rPr>
          <w:i/>
          <w:iCs/>
        </w:rPr>
        <w:t>N</w:t>
      </w:r>
      <w:r>
        <w:rPr>
          <w:vertAlign w:val="subscript"/>
        </w:rPr>
        <w:t>ch</w:t>
      </w:r>
      <w:r>
        <w:t xml:space="preserve"> that can be transmitted during the first transmission of a given sub-frame.</w:t>
      </w:r>
    </w:p>
    <w:p>
      <w:pPr>
        <w:pStyle w:val="111"/>
      </w:pPr>
      <w:r>
        <w:t>2.</w:t>
      </w:r>
      <w:r>
        <w:tab/>
      </w:r>
      <w:r>
        <w:t xml:space="preserve">Find </w:t>
      </w:r>
      <w:r>
        <w:rPr>
          <w:i/>
          <w:iCs/>
        </w:rPr>
        <w:t>A</w:t>
      </w:r>
      <w:r>
        <w:t xml:space="preserve"> such that the resulting coding rate is as close to </w:t>
      </w:r>
      <w:r>
        <w:rPr>
          <w:i/>
          <w:iCs/>
        </w:rPr>
        <w:t>R</w:t>
      </w:r>
      <w:r>
        <w:t xml:space="preserve"> as possible, that is,</w:t>
      </w:r>
    </w:p>
    <w:p>
      <w:pPr>
        <w:pStyle w:val="122"/>
      </w:pPr>
      <w:r>
        <w:rPr>
          <w:position w:val="-30"/>
        </w:rPr>
        <w:object>
          <v:shape id="_x0000_i1091" o:spt="75" type="#_x0000_t75" style="height:32.2pt;width:262.9pt;" o:ole="t" filled="f" o:preferrelative="t" stroked="f" coordsize="21600,21600">
            <v:path/>
            <v:fill on="f" focussize="0,0"/>
            <v:stroke on="f" joinstyle="miter"/>
            <v:imagedata r:id="rId128" o:title=""/>
            <o:lock v:ext="edit" aspectratio="t"/>
            <w10:wrap type="none"/>
            <w10:anchorlock/>
          </v:shape>
          <o:OLEObject Type="Embed" ProgID="Equation.3" ShapeID="_x0000_i1091" DrawAspect="Content" ObjectID="_1468075791" r:id="rId127">
            <o:LockedField>false</o:LockedField>
          </o:OLEObject>
        </w:object>
      </w:r>
      <w:r>
        <w:t>,</w:t>
      </w:r>
    </w:p>
    <w:p>
      <w:pPr>
        <w:pStyle w:val="111"/>
      </w:pPr>
      <w:r>
        <w:t>subject to</w:t>
      </w:r>
    </w:p>
    <w:p>
      <w:pPr>
        <w:pStyle w:val="123"/>
      </w:pPr>
      <w:r>
        <w:t>a)</w:t>
      </w:r>
      <w:r>
        <w:tab/>
      </w:r>
      <w:r>
        <w:t>A is a valid TB size according to clause 7.1.7 of TS 36.213 [10] assuming an allocation of N</w:t>
      </w:r>
      <w:r>
        <w:rPr>
          <w:vertAlign w:val="subscript"/>
        </w:rPr>
        <w:t>RB</w:t>
      </w:r>
      <w:r>
        <w:t xml:space="preserve"> resource blocks.</w:t>
      </w:r>
    </w:p>
    <w:p>
      <w:pPr>
        <w:pStyle w:val="123"/>
      </w:pPr>
      <w:r>
        <w:t>b)</w:t>
      </w:r>
      <w:r>
        <w:tab/>
      </w:r>
      <w:r>
        <w:rPr>
          <w:i/>
        </w:rPr>
        <w:t>C</w:t>
      </w:r>
      <w:r>
        <w:t xml:space="preserve"> is the number of Code Blocks calculated according to section 5.1.2 of TS 36.212 [9].</w:t>
      </w:r>
    </w:p>
    <w:p>
      <w:pPr>
        <w:pStyle w:val="123"/>
      </w:pPr>
      <w:r>
        <w:t>c)</w:t>
      </w:r>
      <w:r>
        <w:tab/>
      </w:r>
      <w:r>
        <w:t>For RMC-s, which at the nominal target coding rate do not cover all the possible UE categories for the given modulation, reduce the target coding rate gradually (within the same modulation), until the maximal possible number of UE categories is covered.</w:t>
      </w:r>
    </w:p>
    <w:p>
      <w:pPr>
        <w:pStyle w:val="111"/>
        <w:rPr>
          <w:snapToGrid w:val="0"/>
        </w:rPr>
      </w:pPr>
      <w:r>
        <w:t>3.</w:t>
      </w:r>
      <w:r>
        <w:tab/>
      </w:r>
      <w:r>
        <w:t xml:space="preserve">If there is more than one </w:t>
      </w:r>
      <w:r>
        <w:rPr>
          <w:i/>
          <w:iCs/>
        </w:rPr>
        <w:t>A</w:t>
      </w:r>
      <w:r>
        <w:t xml:space="preserve"> that minimises the equation above, then the larger value is chosen per default and the chosen code rate should not exceed 0.93.</w:t>
      </w:r>
    </w:p>
    <w:p>
      <w:pPr>
        <w:pStyle w:val="5"/>
        <w:rPr>
          <w:snapToGrid w:val="0"/>
        </w:rPr>
      </w:pPr>
      <w:bookmarkStart w:id="1001" w:name="_Toc30172"/>
      <w:r>
        <w:rPr>
          <w:snapToGrid w:val="0"/>
        </w:rPr>
        <w:t>A.2.1.3</w:t>
      </w:r>
      <w:r>
        <w:rPr>
          <w:snapToGrid w:val="0"/>
        </w:rPr>
        <w:tab/>
      </w:r>
      <w:r>
        <w:rPr>
          <w:snapToGrid w:val="0"/>
        </w:rPr>
        <w:t>Overview of UL reference measurement channels</w:t>
      </w:r>
      <w:bookmarkEnd w:id="1001"/>
    </w:p>
    <w:p>
      <w:r>
        <w:t xml:space="preserve">In Table A.2.1.3-1 are listed the UL reference measurement channels specified in </w:t>
      </w:r>
      <w:r>
        <w:rPr>
          <w:rFonts w:hint="eastAsia" w:eastAsia="宋体"/>
          <w:lang w:val="en-US" w:eastAsia="zh-CN"/>
        </w:rPr>
        <w:t>A</w:t>
      </w:r>
      <w:r>
        <w:t>nnexes A.2.2 and A.2.3 of this release of TS 36.521-</w:t>
      </w:r>
      <w:r>
        <w:rPr>
          <w:rFonts w:hint="eastAsia" w:eastAsia="宋体"/>
          <w:lang w:val="en-US" w:eastAsia="zh-CN"/>
        </w:rPr>
        <w:t>4</w:t>
      </w:r>
      <w:r>
        <w:t>. This table is informative and serves only to a better overview. The reference for the concrete reference measurement channels and corresponding implementation’s parameters as to be used for testing are annexes A.2.2 and A.2.3 as appropriate.</w:t>
      </w:r>
    </w:p>
    <w:p>
      <w:pPr>
        <w:pStyle w:val="113"/>
      </w:pPr>
      <w:r>
        <w:t>Table A.2.1.3-1: Overview of UL reference measurement channels</w:t>
      </w:r>
    </w:p>
    <w:tbl>
      <w:tblPr>
        <w:tblStyle w:val="89"/>
        <w:tblW w:w="88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
        <w:gridCol w:w="840"/>
        <w:gridCol w:w="1560"/>
        <w:gridCol w:w="1102"/>
        <w:gridCol w:w="18"/>
        <w:gridCol w:w="441"/>
        <w:gridCol w:w="848"/>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40" w:type="dxa"/>
            <w:vAlign w:val="center"/>
          </w:tcPr>
          <w:p>
            <w:pPr>
              <w:pStyle w:val="104"/>
              <w:rPr>
                <w:rFonts w:cs="Arial"/>
                <w:i/>
                <w:kern w:val="2"/>
                <w:sz w:val="16"/>
                <w:szCs w:val="16"/>
                <w:lang w:eastAsia="zh-CN"/>
              </w:rPr>
            </w:pPr>
            <w:r>
              <w:rPr>
                <w:lang w:eastAsia="zh-CN"/>
              </w:rPr>
              <w:t>Duplex</w:t>
            </w:r>
          </w:p>
        </w:tc>
        <w:tc>
          <w:tcPr>
            <w:tcW w:w="1560" w:type="dxa"/>
            <w:vAlign w:val="center"/>
          </w:tcPr>
          <w:p>
            <w:pPr>
              <w:pStyle w:val="104"/>
              <w:rPr>
                <w:rFonts w:cs="Arial"/>
                <w:i/>
                <w:kern w:val="2"/>
                <w:sz w:val="16"/>
                <w:szCs w:val="16"/>
                <w:lang w:eastAsia="zh-CN"/>
              </w:rPr>
            </w:pPr>
            <w:r>
              <w:rPr>
                <w:lang w:eastAsia="zh-CN"/>
              </w:rPr>
              <w:t>Table</w:t>
            </w:r>
          </w:p>
        </w:tc>
        <w:tc>
          <w:tcPr>
            <w:tcW w:w="1120" w:type="dxa"/>
            <w:gridSpan w:val="2"/>
            <w:vAlign w:val="center"/>
          </w:tcPr>
          <w:p>
            <w:pPr>
              <w:pStyle w:val="104"/>
              <w:rPr>
                <w:rFonts w:cs="Arial"/>
                <w:i/>
                <w:kern w:val="2"/>
                <w:sz w:val="16"/>
                <w:szCs w:val="16"/>
                <w:lang w:eastAsia="zh-CN"/>
              </w:rPr>
            </w:pPr>
            <w:r>
              <w:rPr>
                <w:lang w:eastAsia="zh-CN"/>
              </w:rPr>
              <w:t>Name</w:t>
            </w:r>
          </w:p>
        </w:tc>
        <w:tc>
          <w:tcPr>
            <w:tcW w:w="441" w:type="dxa"/>
            <w:vAlign w:val="center"/>
          </w:tcPr>
          <w:p>
            <w:pPr>
              <w:pStyle w:val="104"/>
              <w:rPr>
                <w:rFonts w:cs="Arial"/>
                <w:i/>
                <w:kern w:val="2"/>
                <w:sz w:val="16"/>
                <w:szCs w:val="16"/>
                <w:lang w:eastAsia="zh-CN"/>
              </w:rPr>
            </w:pPr>
            <w:r>
              <w:rPr>
                <w:lang w:eastAsia="zh-CN"/>
              </w:rPr>
              <w:t>BW</w:t>
            </w:r>
          </w:p>
        </w:tc>
        <w:tc>
          <w:tcPr>
            <w:tcW w:w="848" w:type="dxa"/>
            <w:vAlign w:val="center"/>
          </w:tcPr>
          <w:p>
            <w:pPr>
              <w:pStyle w:val="104"/>
              <w:rPr>
                <w:rFonts w:cs="Arial"/>
                <w:i/>
                <w:kern w:val="2"/>
                <w:sz w:val="16"/>
                <w:szCs w:val="16"/>
                <w:lang w:eastAsia="zh-CN"/>
              </w:rPr>
            </w:pPr>
            <w:r>
              <w:rPr>
                <w:lang w:eastAsia="zh-CN"/>
              </w:rPr>
              <w:t>Mod</w:t>
            </w:r>
          </w:p>
        </w:tc>
        <w:tc>
          <w:tcPr>
            <w:tcW w:w="592" w:type="dxa"/>
            <w:vAlign w:val="center"/>
          </w:tcPr>
          <w:p>
            <w:pPr>
              <w:pStyle w:val="104"/>
              <w:rPr>
                <w:rFonts w:cs="Arial"/>
                <w:i/>
                <w:kern w:val="2"/>
                <w:sz w:val="16"/>
                <w:szCs w:val="16"/>
                <w:lang w:eastAsia="zh-CN"/>
              </w:rPr>
            </w:pPr>
            <w:r>
              <w:rPr>
                <w:lang w:eastAsia="zh-CN"/>
              </w:rPr>
              <w:t>TCR</w:t>
            </w:r>
          </w:p>
        </w:tc>
        <w:tc>
          <w:tcPr>
            <w:tcW w:w="540" w:type="dxa"/>
            <w:vAlign w:val="center"/>
          </w:tcPr>
          <w:p>
            <w:pPr>
              <w:pStyle w:val="104"/>
              <w:rPr>
                <w:rFonts w:cs="Arial"/>
                <w:i/>
                <w:kern w:val="2"/>
                <w:sz w:val="16"/>
                <w:szCs w:val="16"/>
                <w:lang w:eastAsia="zh-CN"/>
              </w:rPr>
            </w:pPr>
            <w:r>
              <w:rPr>
                <w:lang w:eastAsia="zh-CN"/>
              </w:rPr>
              <w:t>RB</w:t>
            </w:r>
          </w:p>
        </w:tc>
        <w:tc>
          <w:tcPr>
            <w:tcW w:w="540" w:type="dxa"/>
            <w:vAlign w:val="center"/>
          </w:tcPr>
          <w:p>
            <w:pPr>
              <w:pStyle w:val="104"/>
              <w:rPr>
                <w:rFonts w:cs="Arial"/>
                <w:i/>
                <w:kern w:val="2"/>
                <w:sz w:val="16"/>
                <w:szCs w:val="16"/>
                <w:lang w:eastAsia="zh-CN"/>
              </w:rPr>
            </w:pPr>
            <w:r>
              <w:rPr>
                <w:lang w:eastAsia="zh-CN"/>
              </w:rPr>
              <w:t>RB</w:t>
            </w:r>
            <w:r>
              <w:rPr>
                <w:lang w:eastAsia="zh-CN"/>
              </w:rPr>
              <w:br w:type="textWrapping"/>
            </w:r>
            <w:r>
              <w:rPr>
                <w:lang w:eastAsia="zh-CN"/>
              </w:rPr>
              <w:t>Offset</w:t>
            </w:r>
          </w:p>
        </w:tc>
        <w:tc>
          <w:tcPr>
            <w:tcW w:w="540" w:type="dxa"/>
            <w:vAlign w:val="center"/>
          </w:tcPr>
          <w:p>
            <w:pPr>
              <w:pStyle w:val="104"/>
              <w:rPr>
                <w:rFonts w:cs="Arial"/>
                <w:i/>
                <w:kern w:val="2"/>
                <w:sz w:val="16"/>
                <w:szCs w:val="16"/>
                <w:lang w:eastAsia="zh-CN"/>
              </w:rPr>
            </w:pPr>
            <w:r>
              <w:rPr>
                <w:lang w:eastAsia="zh-CN"/>
              </w:rPr>
              <w:t>UE Categ</w:t>
            </w:r>
          </w:p>
        </w:tc>
        <w:tc>
          <w:tcPr>
            <w:tcW w:w="1800" w:type="dxa"/>
            <w:vAlign w:val="center"/>
          </w:tcPr>
          <w:p>
            <w:pPr>
              <w:pStyle w:val="104"/>
              <w:rPr>
                <w:rFonts w:cs="Arial"/>
                <w:i/>
                <w:kern w:val="2"/>
                <w:sz w:val="16"/>
                <w:szCs w:val="16"/>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4"/>
              <w:jc w:val="left"/>
              <w:rPr>
                <w:kern w:val="2"/>
                <w:lang w:eastAsia="zh-CN"/>
              </w:rPr>
            </w:pPr>
            <w:r>
              <w:rPr>
                <w:kern w:val="2"/>
                <w:lang w:eastAsia="zh-CN"/>
              </w:rPr>
              <w:t>FDD, Full RB allocation,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FDD / HD-FDD</w:t>
            </w:r>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sz w:val="16"/>
                <w:szCs w:val="16"/>
              </w:rPr>
            </w:pPr>
            <w:r>
              <w:rPr>
                <w:sz w:val="16"/>
                <w:szCs w:val="16"/>
              </w:rPr>
              <w:t>Table A.2.2.1.1-1b</w:t>
            </w:r>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1.4</w:t>
            </w:r>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6</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szCs w:val="16"/>
              </w:rPr>
            </w:pPr>
            <w:r>
              <w:rPr>
                <w:rFonts w:eastAsia="Batang"/>
                <w:sz w:val="16"/>
                <w:szCs w:val="16"/>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4"/>
              <w:jc w:val="left"/>
              <w:rPr>
                <w:kern w:val="2"/>
                <w:lang w:eastAsia="zh-CN"/>
              </w:rPr>
            </w:pPr>
            <w:r>
              <w:rPr>
                <w:kern w:val="2"/>
                <w:lang w:eastAsia="zh-CN"/>
              </w:rPr>
              <w:t>FDD, Full RB allocation, 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FDD / HD-FDD</w:t>
            </w:r>
          </w:p>
        </w:tc>
        <w:tc>
          <w:tcPr>
            <w:tcW w:w="1560" w:type="dxa"/>
            <w:tcBorders>
              <w:top w:val="single" w:color="auto" w:sz="4" w:space="0"/>
              <w:left w:val="single" w:color="auto" w:sz="4" w:space="0"/>
              <w:bottom w:val="single" w:color="auto" w:sz="4" w:space="0"/>
              <w:right w:val="single" w:color="auto" w:sz="4" w:space="0"/>
            </w:tcBorders>
            <w:vAlign w:val="center"/>
          </w:tcPr>
          <w:p>
            <w:pPr>
              <w:pStyle w:val="103"/>
              <w:rPr>
                <w:sz w:val="16"/>
                <w:szCs w:val="16"/>
              </w:rPr>
            </w:pPr>
            <w:r>
              <w:rPr>
                <w:sz w:val="16"/>
                <w:szCs w:val="16"/>
              </w:rPr>
              <w:t>Table A.2.2.1.2-1b</w:t>
            </w:r>
          </w:p>
        </w:tc>
        <w:tc>
          <w:tcPr>
            <w:tcW w:w="1120" w:type="dxa"/>
            <w:gridSpan w:val="2"/>
            <w:tcBorders>
              <w:top w:val="single" w:color="auto" w:sz="4" w:space="0"/>
              <w:left w:val="single" w:color="auto" w:sz="4" w:space="0"/>
              <w:bottom w:val="single" w:color="auto" w:sz="4" w:space="0"/>
              <w:right w:val="single" w:color="auto" w:sz="4" w:space="0"/>
            </w:tcBorders>
            <w:vAlign w:val="center"/>
          </w:tcPr>
          <w:p>
            <w:pPr>
              <w:pStyle w:val="103"/>
            </w:pPr>
          </w:p>
        </w:tc>
        <w:tc>
          <w:tcPr>
            <w:tcW w:w="441"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1.4</w:t>
            </w:r>
          </w:p>
        </w:tc>
        <w:tc>
          <w:tcPr>
            <w:tcW w:w="848"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宋体"/>
                <w:sz w:val="16"/>
                <w:lang w:eastAsia="zh-CN"/>
              </w:rPr>
            </w:pPr>
            <w:r>
              <w:rPr>
                <w:rFonts w:eastAsia="宋体"/>
                <w:sz w:val="16"/>
                <w:lang w:val="en-US" w:eastAsia="zh-CN"/>
              </w:rPr>
              <w:t>6</w:t>
            </w: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8"/>
              <w:rPr>
                <w:bCs/>
                <w:kern w:val="2"/>
              </w:rPr>
            </w:pPr>
            <w:r>
              <w:rPr>
                <w:rFonts w:ascii="Arial" w:hAnsi="Arial" w:cs="Arial"/>
                <w:b/>
                <w:bCs/>
                <w:kern w:val="2"/>
                <w:sz w:val="18"/>
                <w:szCs w:val="18"/>
              </w:rPr>
              <w:t>FDD, Partial RB allocation,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4</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A.2.2.2.1-1b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QPSK</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5</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Before w:val="1"/>
          <w:wBefore w:w="10" w:type="dxa"/>
          <w:trHeight w:val="284" w:hRule="atLeast"/>
          <w:jc w:val="center"/>
        </w:trPr>
        <w:tc>
          <w:tcPr>
            <w:tcW w:w="8821" w:type="dxa"/>
            <w:gridSpan w:val="11"/>
            <w:shd w:val="clear" w:color="auto" w:fill="C0C0C0"/>
            <w:vAlign w:val="center"/>
          </w:tcPr>
          <w:p>
            <w:pPr>
              <w:pStyle w:val="103"/>
              <w:rPr>
                <w:bCs/>
                <w:kern w:val="2"/>
              </w:rPr>
            </w:pPr>
            <w:r>
              <w:rPr>
                <w:b/>
                <w:bCs/>
                <w:kern w:val="2"/>
                <w:szCs w:val="18"/>
              </w:rPr>
              <w:t>FDD, Partial RB allocation, 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1/2</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3</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50"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FDD / HD-FDD</w:t>
            </w:r>
          </w:p>
        </w:tc>
        <w:tc>
          <w:tcPr>
            <w:tcW w:w="1560" w:type="dxa"/>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Table A.2.2.2.2-1b</w:t>
            </w:r>
          </w:p>
        </w:tc>
        <w:tc>
          <w:tcPr>
            <w:tcW w:w="1102" w:type="dxa"/>
            <w:tcBorders>
              <w:top w:val="single" w:color="auto" w:sz="4" w:space="0"/>
              <w:left w:val="single" w:color="auto" w:sz="4" w:space="0"/>
              <w:bottom w:val="single" w:color="auto" w:sz="4" w:space="0"/>
              <w:right w:val="single" w:color="auto" w:sz="4" w:space="0"/>
            </w:tcBorders>
          </w:tcPr>
          <w:p>
            <w:pPr>
              <w:pStyle w:val="103"/>
            </w:pPr>
          </w:p>
        </w:tc>
        <w:tc>
          <w:tcPr>
            <w:tcW w:w="459" w:type="dxa"/>
            <w:gridSpan w:val="2"/>
            <w:tcBorders>
              <w:top w:val="single" w:color="auto" w:sz="4" w:space="0"/>
              <w:left w:val="single" w:color="auto" w:sz="4" w:space="0"/>
              <w:bottom w:val="single" w:color="auto" w:sz="4" w:space="0"/>
              <w:right w:val="single" w:color="auto" w:sz="4" w:space="0"/>
            </w:tcBorders>
          </w:tcPr>
          <w:p>
            <w:pPr>
              <w:pStyle w:val="103"/>
              <w:rPr>
                <w:sz w:val="16"/>
                <w:szCs w:val="16"/>
              </w:rPr>
            </w:pPr>
            <w:r>
              <w:rPr>
                <w:sz w:val="16"/>
                <w:szCs w:val="16"/>
              </w:rPr>
              <w:t>1.4</w:t>
            </w:r>
          </w:p>
        </w:tc>
        <w:tc>
          <w:tcPr>
            <w:tcW w:w="848"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16QAM</w:t>
            </w:r>
          </w:p>
        </w:tc>
        <w:tc>
          <w:tcPr>
            <w:tcW w:w="592"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2/5</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4</w:t>
            </w: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cs="Arial"/>
                <w:sz w:val="16"/>
                <w:szCs w:val="16"/>
              </w:rPr>
            </w:pPr>
          </w:p>
        </w:tc>
        <w:tc>
          <w:tcPr>
            <w:tcW w:w="540" w:type="dxa"/>
            <w:tcBorders>
              <w:top w:val="single" w:color="auto" w:sz="4" w:space="0"/>
              <w:left w:val="single" w:color="auto" w:sz="4" w:space="0"/>
              <w:bottom w:val="single" w:color="auto" w:sz="4" w:space="0"/>
              <w:right w:val="single" w:color="auto" w:sz="4" w:space="0"/>
            </w:tcBorders>
          </w:tcPr>
          <w:p>
            <w:pPr>
              <w:pStyle w:val="105"/>
              <w:rPr>
                <w:rFonts w:eastAsia="Batang"/>
                <w:sz w:val="16"/>
              </w:rPr>
            </w:pPr>
            <w:r>
              <w:rPr>
                <w:rFonts w:eastAsia="Batang"/>
                <w:sz w:val="16"/>
              </w:rPr>
              <w:t>M1</w:t>
            </w:r>
          </w:p>
        </w:tc>
        <w:tc>
          <w:tcPr>
            <w:tcW w:w="1800" w:type="dxa"/>
            <w:tcBorders>
              <w:top w:val="single" w:color="auto" w:sz="4" w:space="0"/>
              <w:left w:val="single" w:color="auto" w:sz="4" w:space="0"/>
              <w:bottom w:val="single" w:color="auto" w:sz="4" w:space="0"/>
              <w:right w:val="single" w:color="auto" w:sz="4" w:space="0"/>
            </w:tcBorders>
          </w:tcPr>
          <w:p>
            <w:pPr>
              <w:pStyle w:val="103"/>
            </w:pPr>
          </w:p>
        </w:tc>
      </w:tr>
    </w:tbl>
    <w:p>
      <w:bookmarkStart w:id="1002" w:name="_Toc232582095"/>
    </w:p>
    <w:p>
      <w:pPr>
        <w:pStyle w:val="4"/>
      </w:pPr>
      <w:bookmarkStart w:id="1003" w:name="_Toc1919"/>
      <w:r>
        <w:t>A.2.2</w:t>
      </w:r>
      <w:r>
        <w:tab/>
      </w:r>
      <w:r>
        <w:t>Reference measurement channels for FDD</w:t>
      </w:r>
      <w:bookmarkEnd w:id="1002"/>
      <w:bookmarkEnd w:id="1003"/>
    </w:p>
    <w:p>
      <w:pPr>
        <w:pStyle w:val="5"/>
        <w:rPr>
          <w:snapToGrid w:val="0"/>
        </w:rPr>
      </w:pPr>
      <w:bookmarkStart w:id="1004" w:name="_Toc232582096"/>
      <w:bookmarkStart w:id="1005" w:name="_Toc5365"/>
      <w:r>
        <w:rPr>
          <w:snapToGrid w:val="0"/>
        </w:rPr>
        <w:t>A.2.2.1</w:t>
      </w:r>
      <w:r>
        <w:rPr>
          <w:snapToGrid w:val="0"/>
        </w:rPr>
        <w:tab/>
      </w:r>
      <w:r>
        <w:rPr>
          <w:snapToGrid w:val="0"/>
        </w:rPr>
        <w:t>Full RB allocation</w:t>
      </w:r>
      <w:bookmarkEnd w:id="1004"/>
      <w:bookmarkEnd w:id="1005"/>
    </w:p>
    <w:p>
      <w:pPr>
        <w:pStyle w:val="6"/>
      </w:pPr>
      <w:bookmarkStart w:id="1006" w:name="_Toc232582097"/>
      <w:bookmarkStart w:id="1007" w:name="_Toc28964"/>
      <w:r>
        <w:t>A.2.2.1.1</w:t>
      </w:r>
      <w:r>
        <w:tab/>
      </w:r>
      <w:r>
        <w:t>QPSK</w:t>
      </w:r>
      <w:bookmarkEnd w:id="1006"/>
      <w:bookmarkEnd w:id="1007"/>
    </w:p>
    <w:p>
      <w:pPr>
        <w:pStyle w:val="113"/>
        <w:rPr>
          <w:snapToGrid w:val="0"/>
        </w:rPr>
      </w:pPr>
      <w:r>
        <w:t xml:space="preserve">Table A.2.2.1.1-1: </w:t>
      </w:r>
      <w:r>
        <w:rPr>
          <w:lang w:eastAsia="zh-CN"/>
        </w:rPr>
        <w:t>R</w:t>
      </w:r>
      <w:r>
        <w:t>eference Channels for QPSK with full</w:t>
      </w:r>
      <w:r>
        <w:rPr>
          <w:lang w:eastAsia="zh-CN"/>
        </w:rPr>
        <w:t>/maximum</w:t>
      </w:r>
      <w:r>
        <w:t xml:space="preserve"> RB allocation</w:t>
      </w:r>
      <w:r>
        <w:rPr>
          <w:lang w:eastAsia="zh-CN"/>
        </w:rPr>
        <w:t xml:space="preserve"> for </w:t>
      </w:r>
      <w:r>
        <w:rPr>
          <w:snapToGrid w:val="0"/>
        </w:rPr>
        <w:t>UE category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4"/>
        <w:gridCol w:w="2070"/>
        <w:gridCol w:w="1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shd w:val="clear" w:color="auto" w:fill="auto"/>
          </w:tcPr>
          <w:p>
            <w:pPr>
              <w:pStyle w:val="103"/>
              <w:jc w:val="center"/>
              <w:rPr>
                <w:rFonts w:cs="Arial"/>
              </w:rPr>
            </w:pPr>
            <w:r>
              <w:rPr>
                <w:rFonts w:cs="Arial"/>
              </w:rPr>
              <w:t>Parameter</w:t>
            </w:r>
          </w:p>
        </w:tc>
        <w:tc>
          <w:tcPr>
            <w:tcW w:w="2070" w:type="dxa"/>
          </w:tcPr>
          <w:p>
            <w:pPr>
              <w:pStyle w:val="105"/>
              <w:rPr>
                <w:rFonts w:cs="Arial"/>
              </w:rPr>
            </w:pPr>
            <w:r>
              <w:rPr>
                <w:rFonts w:cs="Arial"/>
                <w:b/>
                <w:bCs/>
              </w:rPr>
              <w:t>Unit</w:t>
            </w:r>
          </w:p>
        </w:tc>
        <w:tc>
          <w:tcPr>
            <w:tcW w:w="1554" w:type="dxa"/>
          </w:tcPr>
          <w:p>
            <w:pPr>
              <w:pStyle w:val="105"/>
              <w:rPr>
                <w:rFonts w:cs="Arial"/>
              </w:rPr>
            </w:pPr>
            <w:r>
              <w:rPr>
                <w:rFonts w:cs="Arial"/>
                <w:b/>
                <w:bCs/>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shd w:val="clear" w:color="auto" w:fill="auto"/>
          </w:tcPr>
          <w:p>
            <w:pPr>
              <w:pStyle w:val="103"/>
              <w:rPr>
                <w:rFonts w:cs="Arial"/>
                <w:b/>
              </w:rPr>
            </w:pPr>
            <w:r>
              <w:rPr>
                <w:rFonts w:cs="Arial"/>
              </w:rPr>
              <w:t>Channel bandwidth</w:t>
            </w:r>
          </w:p>
        </w:tc>
        <w:tc>
          <w:tcPr>
            <w:tcW w:w="2070" w:type="dxa"/>
          </w:tcPr>
          <w:p>
            <w:pPr>
              <w:pStyle w:val="105"/>
              <w:rPr>
                <w:rFonts w:cs="Arial"/>
              </w:rPr>
            </w:pPr>
            <w:r>
              <w:rPr>
                <w:rFonts w:cs="Arial"/>
              </w:rPr>
              <w:t>MHz</w:t>
            </w:r>
          </w:p>
        </w:tc>
        <w:tc>
          <w:tcPr>
            <w:tcW w:w="1554"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Allocated resource blocks</w:t>
            </w:r>
          </w:p>
        </w:tc>
        <w:tc>
          <w:tcPr>
            <w:tcW w:w="2070" w:type="dxa"/>
          </w:tcPr>
          <w:p>
            <w:pPr>
              <w:pStyle w:val="105"/>
              <w:rPr>
                <w:rFonts w:cs="Arial"/>
              </w:rPr>
            </w:pPr>
          </w:p>
        </w:tc>
        <w:tc>
          <w:tcPr>
            <w:tcW w:w="1554" w:type="dxa"/>
          </w:tcPr>
          <w:p>
            <w:pPr>
              <w:pStyle w:val="105"/>
              <w:rPr>
                <w:rFonts w:cs="Arial"/>
              </w:rPr>
            </w:pPr>
            <w:r>
              <w:rPr>
                <w:rFonts w:cs="Aria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DFT-OFDM Symbols per Sub-Frame</w:t>
            </w:r>
          </w:p>
        </w:tc>
        <w:tc>
          <w:tcPr>
            <w:tcW w:w="2070" w:type="dxa"/>
          </w:tcPr>
          <w:p>
            <w:pPr>
              <w:pStyle w:val="105"/>
              <w:rPr>
                <w:rFonts w:cs="Arial"/>
              </w:rPr>
            </w:pPr>
          </w:p>
        </w:tc>
        <w:tc>
          <w:tcPr>
            <w:tcW w:w="1554"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534" w:type="dxa"/>
          </w:tcPr>
          <w:p>
            <w:pPr>
              <w:pStyle w:val="103"/>
              <w:rPr>
                <w:rFonts w:cs="Arial"/>
              </w:rPr>
            </w:pPr>
            <w:r>
              <w:rPr>
                <w:rFonts w:cs="Arial"/>
              </w:rPr>
              <w:t>Modulation</w:t>
            </w:r>
          </w:p>
        </w:tc>
        <w:tc>
          <w:tcPr>
            <w:tcW w:w="2070" w:type="dxa"/>
          </w:tcPr>
          <w:p>
            <w:pPr>
              <w:pStyle w:val="105"/>
              <w:rPr>
                <w:rFonts w:cs="Arial"/>
              </w:rPr>
            </w:pPr>
          </w:p>
        </w:tc>
        <w:tc>
          <w:tcPr>
            <w:tcW w:w="1554" w:type="dxa"/>
          </w:tcPr>
          <w:p>
            <w:pPr>
              <w:pStyle w:val="105"/>
              <w:rPr>
                <w:rFonts w:cs="Arial"/>
              </w:rPr>
            </w:pPr>
            <w:r>
              <w:rPr>
                <w:rFonts w:cs="Arial"/>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Target Coding rate</w:t>
            </w:r>
          </w:p>
        </w:tc>
        <w:tc>
          <w:tcPr>
            <w:tcW w:w="2070" w:type="dxa"/>
          </w:tcPr>
          <w:p>
            <w:pPr>
              <w:pStyle w:val="105"/>
              <w:rPr>
                <w:rFonts w:cs="Arial"/>
              </w:rPr>
            </w:pPr>
          </w:p>
        </w:tc>
        <w:tc>
          <w:tcPr>
            <w:tcW w:w="1554" w:type="dxa"/>
          </w:tcPr>
          <w:p>
            <w:pPr>
              <w:pStyle w:val="105"/>
              <w:rPr>
                <w:rFonts w:cs="Arial"/>
              </w:rPr>
            </w:pPr>
            <w:r>
              <w:rPr>
                <w:rFonts w:cs="Arial"/>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Payload size</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szCs w:val="22"/>
              </w:rPr>
            </w:pPr>
            <w:r>
              <w:rPr>
                <w:rFonts w:cs="Arial"/>
                <w:szCs w:val="22"/>
              </w:rPr>
              <w:t>Transport block CRC</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lang w:eastAsia="zh-CN"/>
              </w:rPr>
            </w:pPr>
            <w:r>
              <w:rPr>
                <w:rFonts w:cs="Arial"/>
              </w:rPr>
              <w:t xml:space="preserve">Number of code blocks </w:t>
            </w:r>
            <w:r>
              <w:rPr>
                <w:rFonts w:cs="Arial"/>
                <w:szCs w:val="22"/>
              </w:rPr>
              <w:t>per Sub-Frame</w:t>
            </w:r>
          </w:p>
        </w:tc>
        <w:tc>
          <w:tcPr>
            <w:tcW w:w="2070" w:type="dxa"/>
          </w:tcPr>
          <w:p>
            <w:pPr>
              <w:pStyle w:val="105"/>
              <w:rPr>
                <w:rFonts w:cs="Arial"/>
              </w:rPr>
            </w:pPr>
          </w:p>
        </w:tc>
        <w:tc>
          <w:tcPr>
            <w:tcW w:w="1554"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Total number of bits per Sub-Frame</w:t>
            </w:r>
          </w:p>
        </w:tc>
        <w:tc>
          <w:tcPr>
            <w:tcW w:w="2070" w:type="dxa"/>
          </w:tcPr>
          <w:p>
            <w:pPr>
              <w:pStyle w:val="105"/>
              <w:rPr>
                <w:rFonts w:cs="Arial"/>
              </w:rPr>
            </w:pPr>
            <w:r>
              <w:rPr>
                <w:rFonts w:cs="Arial"/>
              </w:rPr>
              <w:t>Bits</w:t>
            </w:r>
          </w:p>
        </w:tc>
        <w:tc>
          <w:tcPr>
            <w:tcW w:w="1554" w:type="dxa"/>
          </w:tcPr>
          <w:p>
            <w:pPr>
              <w:pStyle w:val="105"/>
              <w:rPr>
                <w:rFonts w:cs="Arial"/>
              </w:rPr>
            </w:pPr>
            <w:r>
              <w:rPr>
                <w:rFonts w:cs="Arial"/>
              </w:rPr>
              <w:t>1728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Total symbols per Sub-Frame</w:t>
            </w:r>
          </w:p>
        </w:tc>
        <w:tc>
          <w:tcPr>
            <w:tcW w:w="2070" w:type="dxa"/>
          </w:tcPr>
          <w:p>
            <w:pPr>
              <w:pStyle w:val="105"/>
              <w:rPr>
                <w:rFonts w:cs="Arial"/>
              </w:rPr>
            </w:pPr>
          </w:p>
        </w:tc>
        <w:tc>
          <w:tcPr>
            <w:tcW w:w="1554" w:type="dxa"/>
          </w:tcPr>
          <w:p>
            <w:pPr>
              <w:pStyle w:val="105"/>
              <w:rPr>
                <w:rFonts w:cs="Arial"/>
              </w:rPr>
            </w:pPr>
            <w:r>
              <w:rPr>
                <w:rFonts w:cs="Arial"/>
              </w:rPr>
              <w:t>864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34" w:type="dxa"/>
          </w:tcPr>
          <w:p>
            <w:pPr>
              <w:pStyle w:val="103"/>
              <w:rPr>
                <w:rFonts w:cs="Arial"/>
              </w:rPr>
            </w:pPr>
            <w:r>
              <w:rPr>
                <w:rFonts w:cs="Arial"/>
              </w:rPr>
              <w:t>UE Category</w:t>
            </w:r>
          </w:p>
        </w:tc>
        <w:tc>
          <w:tcPr>
            <w:tcW w:w="2070" w:type="dxa"/>
          </w:tcPr>
          <w:p>
            <w:pPr>
              <w:pStyle w:val="105"/>
              <w:rPr>
                <w:rFonts w:cs="Arial"/>
              </w:rPr>
            </w:pPr>
          </w:p>
        </w:tc>
        <w:tc>
          <w:tcPr>
            <w:tcW w:w="1554" w:type="dxa"/>
          </w:tcPr>
          <w:p>
            <w:pPr>
              <w:pStyle w:val="105"/>
              <w:rPr>
                <w:rFonts w:cs="Arial"/>
              </w:rPr>
            </w:pPr>
            <w:r>
              <w:rPr>
                <w:rFonts w:cs="Aria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58" w:type="dxa"/>
            <w:gridSpan w:val="3"/>
          </w:tcPr>
          <w:p>
            <w:pPr>
              <w:pStyle w:val="118"/>
              <w:rPr>
                <w:lang w:eastAsia="ko-KR"/>
              </w:rPr>
            </w:pPr>
            <w:r>
              <w:rPr>
                <w:lang w:eastAsia="ko-KR"/>
              </w:rPr>
              <w:t>NOTE 1:</w:t>
            </w:r>
            <w:r>
              <w:rPr>
                <w:lang w:eastAsia="ko-KR"/>
              </w:rPr>
              <w:tab/>
            </w:r>
            <w:r>
              <w:rPr>
                <w:lang w:eastAsia="ko-KR"/>
              </w:rPr>
              <w:t>If more than one Code Block is present, an additional CRC sequence of L = 24 Bits is attached to each Code Block (otherwise L = 0 Bit)</w:t>
            </w:r>
          </w:p>
          <w:p>
            <w:pPr>
              <w:pStyle w:val="118"/>
              <w:rPr>
                <w:lang w:eastAsia="ko-KR"/>
              </w:rPr>
            </w:pPr>
            <w:r>
              <w:rPr>
                <w:lang w:eastAsia="ko-KR"/>
              </w:rPr>
              <w:t>NOTE 2:</w:t>
            </w:r>
            <w:r>
              <w:rPr>
                <w:lang w:eastAsia="ko-KR"/>
              </w:rPr>
              <w:tab/>
            </w:r>
            <w:r>
              <w:rPr>
                <w:lang w:eastAsia="ko-KR"/>
              </w:rPr>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Pr>
                <w:lang w:eastAsia="ko-KR"/>
              </w:rPr>
              <w:object>
                <v:shape id="_x0000_i1092" o:spt="75" type="#_x0000_t75" style="height:19.1pt;width:38.75pt;" o:ole="t" filled="f" o:preferrelative="t" stroked="f" coordsize="21600,21600">
                  <v:path/>
                  <v:fill on="f" focussize="0,0"/>
                  <v:stroke on="f" joinstyle="miter"/>
                  <v:imagedata r:id="rId130" o:title=""/>
                  <o:lock v:ext="edit" aspectratio="t"/>
                  <w10:wrap type="none"/>
                  <w10:anchorlock/>
                </v:shape>
                <o:OLEObject Type="Embed" ProgID="Equation.3" ShapeID="_x0000_i1092" DrawAspect="Content" ObjectID="_1468075792" r:id="rId129">
                  <o:LockedField>false</o:LockedField>
                </o:OLEObject>
              </w:object>
            </w:r>
            <w:r>
              <w:rPr>
                <w:lang w:eastAsia="ko-KR"/>
              </w:rPr>
              <w:t xml:space="preserve"> is total number of absolute subframes a PUSCH with repetition spans [4].</w:t>
            </w:r>
          </w:p>
          <w:p>
            <w:pPr>
              <w:pStyle w:val="118"/>
              <w:rPr>
                <w:rFonts w:cs="Arial"/>
              </w:rPr>
            </w:pPr>
            <w:r>
              <w:rPr>
                <w:lang w:eastAsia="ko-KR"/>
              </w:rPr>
              <w:t>NOTE 3:</w:t>
            </w:r>
            <w:r>
              <w:rPr>
                <w:lang w:eastAsia="ko-KR"/>
              </w:rPr>
              <w:tab/>
            </w:r>
            <w:r>
              <w:rPr>
                <w:lang w:eastAsia="ko-KR"/>
              </w:rPr>
              <w:t xml:space="preserve">For HD-FDD UE with </w:t>
            </w:r>
            <w:r>
              <w:rPr>
                <w:lang w:eastAsia="ko-KR"/>
              </w:rPr>
              <w:object>
                <v:shape id="_x0000_i1093" o:spt="75" type="#_x0000_t75" style="height:19.1pt;width:55.1pt;" o:ole="t" filled="f" o:preferrelative="t" stroked="f" coordsize="21600,21600">
                  <v:path/>
                  <v:fill on="f" focussize="0,0"/>
                  <v:stroke on="f" joinstyle="miter"/>
                  <v:imagedata r:id="rId132" o:title=""/>
                  <o:lock v:ext="edit" aspectratio="t"/>
                  <w10:wrap type="none"/>
                  <w10:anchorlock/>
                </v:shape>
                <o:OLEObject Type="Embed" ProgID="Equation.3" ShapeID="_x0000_i1093" DrawAspect="Content" ObjectID="_1468075793" r:id="rId131">
                  <o:LockedField>false</o:LockedField>
                </o:OLEObject>
              </w:object>
            </w:r>
            <w:r>
              <w:rPr>
                <w:lang w:eastAsia="ko-KR"/>
              </w:rPr>
              <w:t xml:space="preserve">, MPDCCH are scheduled at 0th DL subframe every </w:t>
            </w:r>
            <w:r>
              <w:rPr>
                <w:lang w:eastAsia="ko-KR"/>
              </w:rPr>
              <w:object>
                <v:shape id="_x0000_i1094" o:spt="75" type="#_x0000_t75" style="height:19.1pt;width:38.75pt;" o:ole="t" filled="f" o:preferrelative="t" stroked="f" coordsize="21600,21600">
                  <v:path/>
                  <v:fill on="f" focussize="0,0"/>
                  <v:stroke on="f" joinstyle="miter"/>
                  <v:imagedata r:id="rId134" o:title=""/>
                  <o:lock v:ext="edit" aspectratio="t"/>
                  <w10:wrap type="none"/>
                  <w10:anchorlock/>
                </v:shape>
                <o:OLEObject Type="Embed" ProgID="Equation.3" ShapeID="_x0000_i1094" DrawAspect="Content" ObjectID="_1468075794" r:id="rId133">
                  <o:LockedField>false</o:LockedField>
                </o:OLEObject>
              </w:object>
            </w:r>
            <w:r>
              <w:rPr>
                <w:lang w:eastAsia="ko-KR"/>
              </w:rPr>
              <w:t>+5 subframes (starting from the 0th subframe). The associated PUSCH is scheduled at the 4th to (</w:t>
            </w:r>
            <w:r>
              <w:rPr>
                <w:lang w:eastAsia="ko-KR"/>
              </w:rPr>
              <w:object>
                <v:shape id="_x0000_i1095" o:spt="75" type="#_x0000_t75" style="height:19.1pt;width:38.75pt;" o:ole="t" filled="f" o:preferrelative="t" stroked="f" coordsize="21600,21600">
                  <v:path/>
                  <v:fill on="f" focussize="0,0"/>
                  <v:stroke on="f" joinstyle="miter"/>
                  <v:imagedata r:id="rId134" o:title=""/>
                  <o:lock v:ext="edit" aspectratio="t"/>
                  <w10:wrap type="none"/>
                  <w10:anchorlock/>
                </v:shape>
                <o:OLEObject Type="Embed" ProgID="Equation.3" ShapeID="_x0000_i1095" DrawAspect="Content" ObjectID="_1468075795" r:id="rId135">
                  <o:LockedField>false</o:LockedField>
                </o:OLEObject>
              </w:object>
            </w:r>
            <w:r>
              <w:rPr>
                <w:lang w:eastAsia="ko-KR"/>
              </w:rPr>
              <w:t xml:space="preserve">+3)-th UL subframes every </w:t>
            </w:r>
            <w:r>
              <w:rPr>
                <w:lang w:eastAsia="ko-KR"/>
              </w:rPr>
              <w:object>
                <v:shape id="_x0000_i1096" o:spt="75" type="#_x0000_t75" style="height:19.1pt;width:38.75pt;" o:ole="t" filled="f" o:preferrelative="t" stroked="f" coordsize="21600,21600">
                  <v:path/>
                  <v:fill on="f" focussize="0,0"/>
                  <v:stroke on="f" joinstyle="miter"/>
                  <v:imagedata r:id="rId134" o:title=""/>
                  <o:lock v:ext="edit" aspectratio="t"/>
                  <w10:wrap type="none"/>
                  <w10:anchorlock/>
                </v:shape>
                <o:OLEObject Type="Embed" ProgID="Equation.3" ShapeID="_x0000_i1096" DrawAspect="Content" ObjectID="_1468075796" r:id="rId136">
                  <o:LockedField>false</o:LockedField>
                </o:OLEObject>
              </w:object>
            </w:r>
            <w:r>
              <w:rPr>
                <w:lang w:eastAsia="ko-KR"/>
              </w:rPr>
              <w:t>+5 subframes. Information bit payload is available if uplink subframe is scheduled.</w:t>
            </w:r>
          </w:p>
        </w:tc>
      </w:tr>
    </w:tbl>
    <w:p/>
    <w:p>
      <w:pPr>
        <w:pStyle w:val="6"/>
      </w:pPr>
      <w:bookmarkStart w:id="1008" w:name="_Toc232582098"/>
      <w:bookmarkStart w:id="1009" w:name="_Toc11217"/>
      <w:r>
        <w:t>A.2.2.1.2</w:t>
      </w:r>
      <w:r>
        <w:tab/>
      </w:r>
      <w:r>
        <w:t>16-QAM</w:t>
      </w:r>
      <w:bookmarkEnd w:id="1008"/>
      <w:bookmarkEnd w:id="1009"/>
    </w:p>
    <w:p>
      <w:pPr>
        <w:pStyle w:val="113"/>
        <w:rPr>
          <w:snapToGrid w:val="0"/>
        </w:rPr>
      </w:pPr>
      <w:r>
        <w:t>Table A.2.2.1.2-1:</w:t>
      </w:r>
      <w:r>
        <w:rPr>
          <w:rFonts w:hint="eastAsia" w:eastAsia="宋体"/>
          <w:lang w:val="en-US" w:eastAsia="zh-CN"/>
        </w:rPr>
        <w:t xml:space="preserve"> </w:t>
      </w:r>
      <w:r>
        <w:t xml:space="preserve">Reference Channels for 16-QAM with </w:t>
      </w:r>
      <w:r>
        <w:rPr>
          <w:lang w:eastAsia="zh-CN"/>
        </w:rPr>
        <w:t>maximum</w:t>
      </w:r>
      <w:r>
        <w:t xml:space="preserve"> RB allocation</w:t>
      </w:r>
      <w:r>
        <w:rPr>
          <w:lang w:eastAsia="zh-CN"/>
        </w:rPr>
        <w:t xml:space="preserve"> for </w:t>
      </w:r>
      <w:r>
        <w:rPr>
          <w:snapToGrid w:val="0"/>
        </w:rPr>
        <w:t>UE category M1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25"/>
        <w:gridCol w:w="931"/>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25" w:type="dxa"/>
            <w:shd w:val="clear" w:color="auto" w:fill="auto"/>
          </w:tcPr>
          <w:p>
            <w:pPr>
              <w:pStyle w:val="104"/>
              <w:rPr>
                <w:rFonts w:cs="Arial"/>
                <w:lang w:eastAsia="zh-CN"/>
              </w:rPr>
            </w:pPr>
            <w:r>
              <w:rPr>
                <w:rFonts w:cs="Arial"/>
                <w:lang w:eastAsia="zh-CN"/>
              </w:rPr>
              <w:t>Parameter</w:t>
            </w:r>
          </w:p>
        </w:tc>
        <w:tc>
          <w:tcPr>
            <w:tcW w:w="931" w:type="dxa"/>
          </w:tcPr>
          <w:p>
            <w:pPr>
              <w:pStyle w:val="104"/>
              <w:rPr>
                <w:rFonts w:cs="Arial"/>
                <w:lang w:eastAsia="zh-CN"/>
              </w:rPr>
            </w:pPr>
            <w:r>
              <w:rPr>
                <w:rFonts w:cs="Arial"/>
                <w:lang w:eastAsia="zh-CN"/>
              </w:rPr>
              <w:t>Unit</w:t>
            </w:r>
          </w:p>
        </w:tc>
        <w:tc>
          <w:tcPr>
            <w:tcW w:w="5106" w:type="dxa"/>
          </w:tcPr>
          <w:p>
            <w:pPr>
              <w:pStyle w:val="104"/>
              <w:rPr>
                <w:rFonts w:cs="Arial"/>
                <w:lang w:eastAsia="zh-CN"/>
              </w:rPr>
            </w:pPr>
            <w:r>
              <w:rPr>
                <w:rFonts w:cs="Arial"/>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25" w:type="dxa"/>
            <w:shd w:val="clear" w:color="auto" w:fill="auto"/>
          </w:tcPr>
          <w:p>
            <w:pPr>
              <w:pStyle w:val="103"/>
              <w:rPr>
                <w:rFonts w:cs="Arial"/>
                <w:b/>
              </w:rPr>
            </w:pPr>
            <w:r>
              <w:rPr>
                <w:rFonts w:cs="Arial"/>
              </w:rPr>
              <w:t>Channel bandwidth</w:t>
            </w:r>
          </w:p>
        </w:tc>
        <w:tc>
          <w:tcPr>
            <w:tcW w:w="931" w:type="dxa"/>
          </w:tcPr>
          <w:p>
            <w:pPr>
              <w:pStyle w:val="105"/>
              <w:rPr>
                <w:rFonts w:cs="Arial"/>
              </w:rPr>
            </w:pPr>
            <w:r>
              <w:rPr>
                <w:rFonts w:cs="Arial"/>
              </w:rPr>
              <w:t>MHz</w:t>
            </w:r>
          </w:p>
        </w:tc>
        <w:tc>
          <w:tcPr>
            <w:tcW w:w="5106"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Allocated resource blocks</w:t>
            </w:r>
          </w:p>
        </w:tc>
        <w:tc>
          <w:tcPr>
            <w:tcW w:w="931" w:type="dxa"/>
          </w:tcPr>
          <w:p>
            <w:pPr>
              <w:pStyle w:val="105"/>
              <w:rPr>
                <w:rFonts w:cs="Arial"/>
              </w:rPr>
            </w:pPr>
          </w:p>
        </w:tc>
        <w:tc>
          <w:tcPr>
            <w:tcW w:w="5106" w:type="dxa"/>
          </w:tcPr>
          <w:p>
            <w:pPr>
              <w:pStyle w:val="105"/>
              <w:rPr>
                <w:rFonts w:eastAsia="宋体" w:cs="Arial"/>
                <w:lang w:eastAsia="zh-CN"/>
              </w:rPr>
            </w:pPr>
            <w:r>
              <w:rPr>
                <w:rFonts w:eastAsia="宋体" w:cs="Arial"/>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25" w:type="dxa"/>
          </w:tcPr>
          <w:p>
            <w:pPr>
              <w:pStyle w:val="103"/>
              <w:rPr>
                <w:rFonts w:cs="Arial"/>
              </w:rPr>
            </w:pPr>
            <w:r>
              <w:rPr>
                <w:rFonts w:cs="Arial"/>
              </w:rPr>
              <w:t>DFT-OFDM Symbols per Sub-Frame</w:t>
            </w:r>
          </w:p>
        </w:tc>
        <w:tc>
          <w:tcPr>
            <w:tcW w:w="931" w:type="dxa"/>
          </w:tcPr>
          <w:p>
            <w:pPr>
              <w:pStyle w:val="105"/>
              <w:rPr>
                <w:rFonts w:cs="Arial"/>
              </w:rPr>
            </w:pPr>
          </w:p>
        </w:tc>
        <w:tc>
          <w:tcPr>
            <w:tcW w:w="5106"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25" w:type="dxa"/>
          </w:tcPr>
          <w:p>
            <w:pPr>
              <w:pStyle w:val="103"/>
              <w:rPr>
                <w:rFonts w:cs="Arial"/>
              </w:rPr>
            </w:pPr>
            <w:r>
              <w:rPr>
                <w:rFonts w:cs="Arial"/>
              </w:rPr>
              <w:t>Modulation</w:t>
            </w:r>
          </w:p>
        </w:tc>
        <w:tc>
          <w:tcPr>
            <w:tcW w:w="931" w:type="dxa"/>
          </w:tcPr>
          <w:p>
            <w:pPr>
              <w:pStyle w:val="105"/>
              <w:rPr>
                <w:rFonts w:cs="Arial"/>
              </w:rPr>
            </w:pPr>
          </w:p>
        </w:tc>
        <w:tc>
          <w:tcPr>
            <w:tcW w:w="5106" w:type="dxa"/>
          </w:tcPr>
          <w:p>
            <w:pPr>
              <w:pStyle w:val="105"/>
              <w:rPr>
                <w:rFonts w:cs="Arial"/>
              </w:rPr>
            </w:pPr>
            <w:r>
              <w:rPr>
                <w:rFonts w:cs="Arial"/>
              </w:rPr>
              <w:t>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25" w:type="dxa"/>
          </w:tcPr>
          <w:p>
            <w:pPr>
              <w:pStyle w:val="103"/>
              <w:rPr>
                <w:rFonts w:cs="Arial"/>
              </w:rPr>
            </w:pPr>
            <w:r>
              <w:rPr>
                <w:rFonts w:cs="Arial"/>
              </w:rPr>
              <w:t>Target Coding rate</w:t>
            </w:r>
          </w:p>
        </w:tc>
        <w:tc>
          <w:tcPr>
            <w:tcW w:w="931" w:type="dxa"/>
          </w:tcPr>
          <w:p>
            <w:pPr>
              <w:pStyle w:val="105"/>
              <w:rPr>
                <w:rFonts w:cs="Arial"/>
              </w:rPr>
            </w:pPr>
          </w:p>
        </w:tc>
        <w:tc>
          <w:tcPr>
            <w:tcW w:w="5106" w:type="dxa"/>
          </w:tcPr>
          <w:p>
            <w:pPr>
              <w:pStyle w:val="105"/>
              <w:rPr>
                <w:rFonts w:cs="Arial"/>
              </w:rPr>
            </w:pPr>
            <w:r>
              <w:rPr>
                <w:rFonts w:cs="Arial"/>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25" w:type="dxa"/>
          </w:tcPr>
          <w:p>
            <w:pPr>
              <w:pStyle w:val="103"/>
              <w:rPr>
                <w:rFonts w:cs="Arial"/>
              </w:rPr>
            </w:pPr>
            <w:r>
              <w:rPr>
                <w:rFonts w:cs="Arial"/>
              </w:rPr>
              <w:t>Payload size</w:t>
            </w:r>
          </w:p>
        </w:tc>
        <w:tc>
          <w:tcPr>
            <w:tcW w:w="931" w:type="dxa"/>
          </w:tcPr>
          <w:p>
            <w:pPr>
              <w:pStyle w:val="105"/>
              <w:rPr>
                <w:rFonts w:cs="Arial"/>
              </w:rPr>
            </w:pPr>
            <w:r>
              <w:rPr>
                <w:rFonts w:cs="Arial"/>
              </w:rPr>
              <w:t>Bits</w:t>
            </w:r>
          </w:p>
        </w:tc>
        <w:tc>
          <w:tcPr>
            <w:tcW w:w="5106" w:type="dxa"/>
          </w:tcPr>
          <w:p>
            <w:pPr>
              <w:pStyle w:val="105"/>
              <w:rPr>
                <w:rFonts w:cs="Arial"/>
              </w:rPr>
            </w:pPr>
            <w:r>
              <w:rPr>
                <w:rFonts w:cs="Arial"/>
              </w:rPr>
              <w:t>872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szCs w:val="22"/>
              </w:rPr>
            </w:pPr>
            <w:r>
              <w:rPr>
                <w:rFonts w:cs="Arial"/>
                <w:szCs w:val="22"/>
              </w:rPr>
              <w:t>Transport block CRC</w:t>
            </w:r>
          </w:p>
        </w:tc>
        <w:tc>
          <w:tcPr>
            <w:tcW w:w="931" w:type="dxa"/>
          </w:tcPr>
          <w:p>
            <w:pPr>
              <w:pStyle w:val="105"/>
              <w:rPr>
                <w:rFonts w:cs="Arial"/>
              </w:rPr>
            </w:pPr>
            <w:r>
              <w:rPr>
                <w:rFonts w:cs="Arial"/>
              </w:rPr>
              <w:t>Bits</w:t>
            </w:r>
          </w:p>
        </w:tc>
        <w:tc>
          <w:tcPr>
            <w:tcW w:w="5106"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25" w:type="dxa"/>
          </w:tcPr>
          <w:p>
            <w:pPr>
              <w:pStyle w:val="103"/>
              <w:rPr>
                <w:rFonts w:cs="Arial"/>
                <w:lang w:eastAsia="zh-CN"/>
              </w:rPr>
            </w:pPr>
            <w:r>
              <w:rPr>
                <w:rFonts w:cs="Arial"/>
              </w:rPr>
              <w:t xml:space="preserve">Number of code blocks </w:t>
            </w:r>
            <w:r>
              <w:rPr>
                <w:rFonts w:cs="Arial"/>
                <w:szCs w:val="22"/>
              </w:rPr>
              <w:t>per Sub-Frame</w:t>
            </w:r>
          </w:p>
        </w:tc>
        <w:tc>
          <w:tcPr>
            <w:tcW w:w="931"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25" w:type="dxa"/>
          </w:tcPr>
          <w:p>
            <w:pPr>
              <w:pStyle w:val="103"/>
              <w:rPr>
                <w:rFonts w:cs="Arial"/>
              </w:rPr>
            </w:pPr>
            <w:r>
              <w:rPr>
                <w:rFonts w:cs="Arial"/>
              </w:rPr>
              <w:t>Total number of bits per Sub-Frame</w:t>
            </w:r>
          </w:p>
        </w:tc>
        <w:tc>
          <w:tcPr>
            <w:tcW w:w="931" w:type="dxa"/>
          </w:tcPr>
          <w:p>
            <w:pPr>
              <w:pStyle w:val="105"/>
              <w:rPr>
                <w:rFonts w:cs="Arial"/>
              </w:rPr>
            </w:pPr>
            <w:r>
              <w:rPr>
                <w:rFonts w:cs="Arial"/>
              </w:rPr>
              <w:t>Bits</w:t>
            </w:r>
          </w:p>
        </w:tc>
        <w:tc>
          <w:tcPr>
            <w:tcW w:w="5106" w:type="dxa"/>
          </w:tcPr>
          <w:p>
            <w:pPr>
              <w:pStyle w:val="105"/>
              <w:rPr>
                <w:rFonts w:cs="Arial"/>
              </w:rPr>
            </w:pPr>
            <w:r>
              <w:rPr>
                <w:rFonts w:cs="Arial"/>
              </w:rPr>
              <w:t>2880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425" w:type="dxa"/>
          </w:tcPr>
          <w:p>
            <w:pPr>
              <w:pStyle w:val="103"/>
              <w:rPr>
                <w:rFonts w:cs="Arial"/>
              </w:rPr>
            </w:pPr>
            <w:r>
              <w:rPr>
                <w:rFonts w:cs="Arial"/>
              </w:rPr>
              <w:t>Total symbols per Sub-Frame</w:t>
            </w:r>
          </w:p>
        </w:tc>
        <w:tc>
          <w:tcPr>
            <w:tcW w:w="931" w:type="dxa"/>
          </w:tcPr>
          <w:p>
            <w:pPr>
              <w:pStyle w:val="105"/>
              <w:rPr>
                <w:rFonts w:cs="Arial"/>
              </w:rPr>
            </w:pPr>
          </w:p>
        </w:tc>
        <w:tc>
          <w:tcPr>
            <w:tcW w:w="5106" w:type="dxa"/>
          </w:tcPr>
          <w:p>
            <w:pPr>
              <w:pStyle w:val="105"/>
              <w:rPr>
                <w:rFonts w:cs="Arial"/>
              </w:rPr>
            </w:pPr>
            <w:r>
              <w:rPr>
                <w:rFonts w:cs="Arial"/>
              </w:rPr>
              <w:t>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425" w:type="dxa"/>
          </w:tcPr>
          <w:p>
            <w:pPr>
              <w:pStyle w:val="103"/>
              <w:rPr>
                <w:rFonts w:cs="Arial"/>
              </w:rPr>
            </w:pPr>
            <w:r>
              <w:rPr>
                <w:rFonts w:cs="Arial"/>
              </w:rPr>
              <w:t>UE Category</w:t>
            </w:r>
          </w:p>
        </w:tc>
        <w:tc>
          <w:tcPr>
            <w:tcW w:w="931" w:type="dxa"/>
          </w:tcPr>
          <w:p>
            <w:pPr>
              <w:pStyle w:val="105"/>
              <w:rPr>
                <w:rFonts w:cs="Arial"/>
              </w:rPr>
            </w:pPr>
          </w:p>
        </w:tc>
        <w:tc>
          <w:tcPr>
            <w:tcW w:w="5106" w:type="dxa"/>
          </w:tcPr>
          <w:p>
            <w:pPr>
              <w:pStyle w:val="105"/>
              <w:rPr>
                <w:rFonts w:cs="Arial"/>
              </w:rPr>
            </w:pPr>
            <w:r>
              <w:rPr>
                <w:rFonts w:cs="Aria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9462" w:type="dxa"/>
            <w:gridSpan w:val="3"/>
          </w:tcPr>
          <w:p>
            <w:pPr>
              <w:pStyle w:val="118"/>
              <w:rPr>
                <w:rFonts w:cs="Arial"/>
              </w:rPr>
            </w:pPr>
            <w:r>
              <w:rPr>
                <w:rFonts w:cs="Arial"/>
              </w:rPr>
              <w:t>NOTE 1:</w:t>
            </w:r>
            <w:r>
              <w:rPr>
                <w:rFonts w:cs="Arial"/>
              </w:rPr>
              <w:tab/>
            </w:r>
            <w:r>
              <w:rPr>
                <w:rFonts w:cs="Arial"/>
              </w:rPr>
              <w:t>If more than one Code Block is present, an additional CRC sequence of L = 24 Bits is attached to each Code Block (otherwise L = 0 Bit)</w:t>
            </w:r>
          </w:p>
          <w:p>
            <w:pPr>
              <w:pStyle w:val="118"/>
              <w:rPr>
                <w:rFonts w:cs="Arial"/>
                <w:lang w:eastAsia="zh-CN"/>
              </w:rPr>
            </w:pPr>
            <w:r>
              <w:rPr>
                <w:rFonts w:cs="Arial"/>
              </w:rPr>
              <w:t>NOTE 2:</w:t>
            </w:r>
            <w:r>
              <w:rPr>
                <w:rFonts w:cs="Arial"/>
              </w:rPr>
              <w:tab/>
            </w:r>
            <w:r>
              <w:rPr>
                <w:rFonts w:cs="Arial"/>
              </w:rPr>
              <w:t>For HD-FDD UE, the uplink subframes are scheduled at the 5th, 6th, and 7th subframes every 10ms for the channel bandwidth 1.4MHz. Information bit payload is available if uplink subframe is scheduled.</w:t>
            </w:r>
          </w:p>
        </w:tc>
      </w:tr>
    </w:tbl>
    <w:p>
      <w:pPr>
        <w:rPr>
          <w:lang w:eastAsia="zh-TW"/>
        </w:rPr>
      </w:pPr>
    </w:p>
    <w:p>
      <w:pPr>
        <w:pStyle w:val="5"/>
        <w:rPr>
          <w:snapToGrid w:val="0"/>
        </w:rPr>
      </w:pPr>
      <w:bookmarkStart w:id="1010" w:name="_Toc232582100"/>
      <w:bookmarkStart w:id="1011" w:name="_Toc14160"/>
      <w:r>
        <w:rPr>
          <w:snapToGrid w:val="0"/>
        </w:rPr>
        <w:t>A.2.2.2</w:t>
      </w:r>
      <w:r>
        <w:rPr>
          <w:snapToGrid w:val="0"/>
        </w:rPr>
        <w:tab/>
      </w:r>
      <w:r>
        <w:rPr>
          <w:snapToGrid w:val="0"/>
        </w:rPr>
        <w:t>Partial RB allocation</w:t>
      </w:r>
      <w:bookmarkEnd w:id="1010"/>
      <w:bookmarkEnd w:id="1011"/>
    </w:p>
    <w:p>
      <w:r>
        <w:t>For each channel bandwidth, various partial RB allocations are specified. The number of allocated RBs is chosen according to values specified in the Tx and Rx requirements. The single allocated RB case is included.</w:t>
      </w:r>
    </w:p>
    <w:p>
      <w:r>
        <w:t>The allocated RBs are contiguous and start from one end of the channel bandwidth. A single allocated RB is at one end of the channel bandwidth.</w:t>
      </w:r>
    </w:p>
    <w:p>
      <w:pPr>
        <w:pStyle w:val="6"/>
      </w:pPr>
      <w:bookmarkStart w:id="1012" w:name="_Toc232582101"/>
      <w:bookmarkStart w:id="1013" w:name="_Toc9904"/>
      <w:r>
        <w:t>A.2.2.2.1</w:t>
      </w:r>
      <w:r>
        <w:tab/>
      </w:r>
      <w:r>
        <w:t>QPSK</w:t>
      </w:r>
      <w:bookmarkEnd w:id="1012"/>
      <w:bookmarkEnd w:id="1013"/>
    </w:p>
    <w:p>
      <w:pPr>
        <w:pStyle w:val="113"/>
        <w:rPr>
          <w:snapToGrid w:val="0"/>
        </w:rPr>
      </w:pPr>
      <w:r>
        <w:t>Table A.2.2.2.1-1: Reference Channels for QK with partial RB allocation</w:t>
      </w:r>
      <w:r>
        <w:rPr>
          <w:lang w:eastAsia="zh-CN"/>
        </w:rPr>
        <w:t xml:space="preserve"> for </w:t>
      </w:r>
      <w:r>
        <w:rPr>
          <w:snapToGrid w:val="0"/>
        </w:rPr>
        <w:t>UE category M1</w:t>
      </w:r>
    </w:p>
    <w:tbl>
      <w:tblPr>
        <w:tblStyle w:val="89"/>
        <w:tblW w:w="1030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932"/>
        <w:gridCol w:w="810"/>
        <w:gridCol w:w="810"/>
        <w:gridCol w:w="951"/>
        <w:gridCol w:w="810"/>
        <w:gridCol w:w="932"/>
        <w:gridCol w:w="810"/>
        <w:gridCol w:w="891"/>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rFonts w:cs="Arial"/>
                <w:sz w:val="16"/>
                <w:szCs w:val="16"/>
                <w:lang w:eastAsia="zh-CN"/>
              </w:rPr>
            </w:pPr>
            <w:r>
              <w:rPr>
                <w:rFonts w:cs="Arial"/>
                <w:sz w:val="16"/>
                <w:szCs w:val="16"/>
                <w:lang w:eastAsia="zh-CN"/>
              </w:rPr>
              <w:t>Parameter</w:t>
            </w:r>
          </w:p>
        </w:tc>
        <w:tc>
          <w:tcPr>
            <w:tcW w:w="810" w:type="dxa"/>
          </w:tcPr>
          <w:p>
            <w:pPr>
              <w:pStyle w:val="104"/>
              <w:rPr>
                <w:rFonts w:cs="Arial"/>
                <w:sz w:val="16"/>
                <w:szCs w:val="16"/>
                <w:lang w:eastAsia="zh-CN"/>
              </w:rPr>
            </w:pPr>
            <w:r>
              <w:rPr>
                <w:rFonts w:cs="Arial"/>
                <w:sz w:val="16"/>
                <w:szCs w:val="16"/>
                <w:lang w:eastAsia="zh-CN"/>
              </w:rPr>
              <w:t>Ch BW</w:t>
            </w:r>
          </w:p>
        </w:tc>
        <w:tc>
          <w:tcPr>
            <w:tcW w:w="810" w:type="dxa"/>
          </w:tcPr>
          <w:p>
            <w:pPr>
              <w:pStyle w:val="104"/>
              <w:rPr>
                <w:rFonts w:cs="Arial"/>
                <w:sz w:val="16"/>
                <w:szCs w:val="16"/>
                <w:lang w:eastAsia="zh-CN"/>
              </w:rPr>
            </w:pPr>
            <w:r>
              <w:rPr>
                <w:rFonts w:cs="Arial"/>
                <w:sz w:val="16"/>
                <w:szCs w:val="16"/>
                <w:lang w:eastAsia="zh-CN"/>
              </w:rPr>
              <w:t>Allocated RBs</w:t>
            </w:r>
          </w:p>
        </w:tc>
        <w:tc>
          <w:tcPr>
            <w:tcW w:w="932" w:type="dxa"/>
          </w:tcPr>
          <w:p>
            <w:pPr>
              <w:pStyle w:val="104"/>
              <w:rPr>
                <w:rFonts w:cs="Arial"/>
                <w:sz w:val="16"/>
                <w:szCs w:val="16"/>
                <w:lang w:eastAsia="zh-CN"/>
              </w:rPr>
            </w:pPr>
            <w:r>
              <w:rPr>
                <w:rFonts w:cs="Arial"/>
                <w:sz w:val="16"/>
                <w:szCs w:val="16"/>
                <w:lang w:eastAsia="zh-CN"/>
              </w:rPr>
              <w:t>DFT-OFDM Symbols per Sub-Frame</w:t>
            </w:r>
          </w:p>
        </w:tc>
        <w:tc>
          <w:tcPr>
            <w:tcW w:w="810" w:type="dxa"/>
          </w:tcPr>
          <w:p>
            <w:pPr>
              <w:pStyle w:val="104"/>
              <w:rPr>
                <w:rFonts w:cs="Arial"/>
                <w:sz w:val="16"/>
                <w:szCs w:val="16"/>
                <w:lang w:eastAsia="zh-CN"/>
              </w:rPr>
            </w:pPr>
            <w:r>
              <w:rPr>
                <w:rFonts w:cs="Arial"/>
                <w:sz w:val="16"/>
                <w:szCs w:val="16"/>
                <w:lang w:eastAsia="zh-CN"/>
              </w:rPr>
              <w:t>Mod’n</w:t>
            </w:r>
          </w:p>
        </w:tc>
        <w:tc>
          <w:tcPr>
            <w:tcW w:w="810" w:type="dxa"/>
          </w:tcPr>
          <w:p>
            <w:pPr>
              <w:pStyle w:val="104"/>
              <w:rPr>
                <w:rFonts w:cs="Arial"/>
                <w:sz w:val="16"/>
                <w:szCs w:val="16"/>
                <w:lang w:eastAsia="zh-CN"/>
              </w:rPr>
            </w:pPr>
            <w:r>
              <w:rPr>
                <w:rFonts w:cs="Arial"/>
                <w:sz w:val="16"/>
                <w:szCs w:val="16"/>
                <w:lang w:eastAsia="zh-CN"/>
              </w:rPr>
              <w:t>Target Coding rate</w:t>
            </w:r>
          </w:p>
        </w:tc>
        <w:tc>
          <w:tcPr>
            <w:tcW w:w="951" w:type="dxa"/>
          </w:tcPr>
          <w:p>
            <w:pPr>
              <w:pStyle w:val="104"/>
              <w:rPr>
                <w:rFonts w:cs="Arial"/>
                <w:sz w:val="16"/>
                <w:szCs w:val="16"/>
                <w:lang w:eastAsia="zh-CN"/>
              </w:rPr>
            </w:pPr>
            <w:r>
              <w:rPr>
                <w:rFonts w:cs="Arial"/>
                <w:sz w:val="16"/>
                <w:szCs w:val="16"/>
                <w:lang w:eastAsia="zh-CN"/>
              </w:rPr>
              <w:t>Payload size</w:t>
            </w:r>
          </w:p>
        </w:tc>
        <w:tc>
          <w:tcPr>
            <w:tcW w:w="810" w:type="dxa"/>
          </w:tcPr>
          <w:p>
            <w:pPr>
              <w:pStyle w:val="104"/>
              <w:rPr>
                <w:rFonts w:cs="Arial"/>
                <w:sz w:val="16"/>
                <w:szCs w:val="16"/>
                <w:lang w:eastAsia="zh-CN"/>
              </w:rPr>
            </w:pPr>
            <w:r>
              <w:rPr>
                <w:rFonts w:cs="Arial"/>
                <w:sz w:val="16"/>
                <w:szCs w:val="16"/>
                <w:lang w:eastAsia="zh-CN"/>
              </w:rPr>
              <w:t>Trans-port block CRC</w:t>
            </w:r>
          </w:p>
        </w:tc>
        <w:tc>
          <w:tcPr>
            <w:tcW w:w="932" w:type="dxa"/>
          </w:tcPr>
          <w:p>
            <w:pPr>
              <w:pStyle w:val="104"/>
              <w:rPr>
                <w:rFonts w:cs="Arial"/>
                <w:sz w:val="16"/>
                <w:szCs w:val="16"/>
                <w:lang w:eastAsia="zh-CN"/>
              </w:rPr>
            </w:pPr>
            <w:r>
              <w:rPr>
                <w:rFonts w:cs="Arial"/>
                <w:sz w:val="16"/>
                <w:szCs w:val="16"/>
                <w:lang w:eastAsia="zh-CN"/>
              </w:rPr>
              <w:t>Number of code blocks per Sub-Frame (Note 1)</w:t>
            </w:r>
          </w:p>
        </w:tc>
        <w:tc>
          <w:tcPr>
            <w:tcW w:w="810" w:type="dxa"/>
          </w:tcPr>
          <w:p>
            <w:pPr>
              <w:pStyle w:val="104"/>
              <w:rPr>
                <w:rFonts w:cs="Arial"/>
                <w:sz w:val="16"/>
                <w:szCs w:val="16"/>
                <w:lang w:eastAsia="zh-CN"/>
              </w:rPr>
            </w:pPr>
            <w:r>
              <w:rPr>
                <w:rFonts w:cs="Arial"/>
                <w:sz w:val="16"/>
                <w:szCs w:val="16"/>
                <w:lang w:eastAsia="zh-CN"/>
              </w:rPr>
              <w:t>Total number of bits per Sub-Frame</w:t>
            </w:r>
          </w:p>
        </w:tc>
        <w:tc>
          <w:tcPr>
            <w:tcW w:w="891" w:type="dxa"/>
          </w:tcPr>
          <w:p>
            <w:pPr>
              <w:pStyle w:val="104"/>
              <w:rPr>
                <w:rFonts w:cs="Arial"/>
                <w:sz w:val="16"/>
                <w:szCs w:val="16"/>
                <w:lang w:eastAsia="zh-CN"/>
              </w:rPr>
            </w:pPr>
            <w:r>
              <w:rPr>
                <w:rFonts w:cs="Arial"/>
                <w:sz w:val="16"/>
                <w:szCs w:val="16"/>
                <w:lang w:eastAsia="zh-CN"/>
              </w:rPr>
              <w:t>Total symbols per Sub-Frame</w:t>
            </w:r>
          </w:p>
        </w:tc>
        <w:tc>
          <w:tcPr>
            <w:tcW w:w="932" w:type="dxa"/>
          </w:tcPr>
          <w:p>
            <w:pPr>
              <w:pStyle w:val="104"/>
              <w:rPr>
                <w:rFonts w:cs="Arial"/>
                <w:sz w:val="16"/>
                <w:szCs w:val="16"/>
                <w:lang w:eastAsia="zh-CN"/>
              </w:rPr>
            </w:pPr>
            <w:r>
              <w:rPr>
                <w:rFonts w:cs="Arial"/>
                <w:sz w:val="16"/>
                <w:szCs w:val="16"/>
                <w:lang w:eastAsia="zh-CN"/>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rFonts w:cs="Arial"/>
                <w:sz w:val="16"/>
                <w:szCs w:val="16"/>
                <w:lang w:eastAsia="zh-CN"/>
              </w:rPr>
            </w:pPr>
            <w:r>
              <w:rPr>
                <w:rFonts w:cs="Arial"/>
                <w:sz w:val="16"/>
                <w:szCs w:val="16"/>
                <w:lang w:eastAsia="zh-CN"/>
              </w:rPr>
              <w:t>Unit</w:t>
            </w:r>
          </w:p>
        </w:tc>
        <w:tc>
          <w:tcPr>
            <w:tcW w:w="810" w:type="dxa"/>
          </w:tcPr>
          <w:p>
            <w:pPr>
              <w:pStyle w:val="104"/>
              <w:rPr>
                <w:rFonts w:cs="Arial"/>
                <w:sz w:val="16"/>
                <w:szCs w:val="16"/>
                <w:lang w:eastAsia="zh-CN"/>
              </w:rPr>
            </w:pPr>
            <w:r>
              <w:rPr>
                <w:rFonts w:cs="Arial"/>
                <w:sz w:val="16"/>
                <w:szCs w:val="16"/>
                <w:lang w:eastAsia="zh-CN"/>
              </w:rPr>
              <w:t>MHz</w:t>
            </w:r>
          </w:p>
        </w:tc>
        <w:tc>
          <w:tcPr>
            <w:tcW w:w="810" w:type="dxa"/>
          </w:tcPr>
          <w:p>
            <w:pPr>
              <w:pStyle w:val="104"/>
              <w:rPr>
                <w:rFonts w:cs="Arial"/>
                <w:sz w:val="16"/>
                <w:szCs w:val="16"/>
                <w:lang w:eastAsia="zh-CN"/>
              </w:rPr>
            </w:pPr>
          </w:p>
        </w:tc>
        <w:tc>
          <w:tcPr>
            <w:tcW w:w="932" w:type="dxa"/>
          </w:tcPr>
          <w:p>
            <w:pPr>
              <w:pStyle w:val="104"/>
              <w:rPr>
                <w:rFonts w:cs="Arial"/>
                <w:sz w:val="16"/>
                <w:szCs w:val="16"/>
                <w:lang w:eastAsia="zh-CN"/>
              </w:rPr>
            </w:pPr>
          </w:p>
        </w:tc>
        <w:tc>
          <w:tcPr>
            <w:tcW w:w="810" w:type="dxa"/>
          </w:tcPr>
          <w:p>
            <w:pPr>
              <w:pStyle w:val="104"/>
              <w:rPr>
                <w:rFonts w:cs="Arial"/>
                <w:sz w:val="16"/>
                <w:szCs w:val="16"/>
                <w:lang w:eastAsia="zh-CN"/>
              </w:rPr>
            </w:pPr>
          </w:p>
        </w:tc>
        <w:tc>
          <w:tcPr>
            <w:tcW w:w="810" w:type="dxa"/>
          </w:tcPr>
          <w:p>
            <w:pPr>
              <w:pStyle w:val="104"/>
              <w:rPr>
                <w:rFonts w:cs="Arial"/>
                <w:sz w:val="16"/>
                <w:szCs w:val="16"/>
                <w:lang w:eastAsia="zh-CN"/>
              </w:rPr>
            </w:pPr>
          </w:p>
        </w:tc>
        <w:tc>
          <w:tcPr>
            <w:tcW w:w="951" w:type="dxa"/>
          </w:tcPr>
          <w:p>
            <w:pPr>
              <w:pStyle w:val="104"/>
              <w:rPr>
                <w:rFonts w:cs="Arial"/>
                <w:sz w:val="16"/>
                <w:szCs w:val="16"/>
                <w:lang w:eastAsia="zh-CN"/>
              </w:rPr>
            </w:pPr>
            <w:r>
              <w:rPr>
                <w:rFonts w:cs="Arial"/>
                <w:sz w:val="16"/>
                <w:szCs w:val="16"/>
                <w:lang w:eastAsia="zh-CN"/>
              </w:rPr>
              <w:t>Bits</w:t>
            </w:r>
          </w:p>
        </w:tc>
        <w:tc>
          <w:tcPr>
            <w:tcW w:w="810" w:type="dxa"/>
          </w:tcPr>
          <w:p>
            <w:pPr>
              <w:pStyle w:val="104"/>
              <w:rPr>
                <w:rFonts w:cs="Arial"/>
                <w:sz w:val="16"/>
                <w:szCs w:val="16"/>
                <w:lang w:eastAsia="zh-CN"/>
              </w:rPr>
            </w:pPr>
            <w:r>
              <w:rPr>
                <w:rFonts w:cs="Arial"/>
                <w:sz w:val="16"/>
                <w:szCs w:val="16"/>
                <w:lang w:eastAsia="zh-CN"/>
              </w:rPr>
              <w:t>Bits</w:t>
            </w:r>
          </w:p>
        </w:tc>
        <w:tc>
          <w:tcPr>
            <w:tcW w:w="932" w:type="dxa"/>
          </w:tcPr>
          <w:p>
            <w:pPr>
              <w:pStyle w:val="104"/>
              <w:rPr>
                <w:rFonts w:cs="Arial"/>
                <w:sz w:val="16"/>
                <w:szCs w:val="16"/>
                <w:lang w:eastAsia="zh-CN"/>
              </w:rPr>
            </w:pPr>
          </w:p>
        </w:tc>
        <w:tc>
          <w:tcPr>
            <w:tcW w:w="810" w:type="dxa"/>
          </w:tcPr>
          <w:p>
            <w:pPr>
              <w:pStyle w:val="104"/>
              <w:rPr>
                <w:rFonts w:cs="Arial"/>
                <w:sz w:val="16"/>
                <w:szCs w:val="16"/>
                <w:lang w:eastAsia="zh-CN"/>
              </w:rPr>
            </w:pPr>
            <w:r>
              <w:rPr>
                <w:rFonts w:cs="Arial"/>
                <w:sz w:val="16"/>
                <w:szCs w:val="16"/>
                <w:lang w:eastAsia="zh-CN"/>
              </w:rPr>
              <w:t>Bits</w:t>
            </w:r>
          </w:p>
        </w:tc>
        <w:tc>
          <w:tcPr>
            <w:tcW w:w="891" w:type="dxa"/>
          </w:tcPr>
          <w:p>
            <w:pPr>
              <w:pStyle w:val="104"/>
              <w:rPr>
                <w:rFonts w:cs="Arial"/>
                <w:sz w:val="16"/>
                <w:szCs w:val="16"/>
                <w:lang w:eastAsia="zh-CN"/>
              </w:rPr>
            </w:pPr>
          </w:p>
        </w:tc>
        <w:tc>
          <w:tcPr>
            <w:tcW w:w="932" w:type="dxa"/>
          </w:tcPr>
          <w:p>
            <w:pPr>
              <w:pStyle w:val="104"/>
              <w:rPr>
                <w:rFonts w:cs="Arial"/>
                <w:sz w:val="16"/>
                <w:szCs w:val="16"/>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op w:val="single" w:color="auto" w:sz="4" w:space="0"/>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72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256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864</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432</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392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1152</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1440</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720</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6</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QPSK</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1/3</w:t>
            </w:r>
          </w:p>
        </w:tc>
        <w:tc>
          <w:tcPr>
            <w:tcW w:w="95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600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1728</w:t>
            </w:r>
          </w:p>
        </w:tc>
        <w:tc>
          <w:tcPr>
            <w:tcW w:w="891"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864</w:t>
            </w:r>
          </w:p>
        </w:tc>
        <w:tc>
          <w:tcPr>
            <w:tcW w:w="932"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07" w:type="dxa"/>
            <w:gridSpan w:val="12"/>
            <w:tcBorders>
              <w:left w:val="single" w:color="auto" w:sz="4" w:space="0"/>
              <w:right w:val="single" w:color="auto" w:sz="4" w:space="0"/>
            </w:tcBorders>
          </w:tcPr>
          <w:p>
            <w:pPr>
              <w:pStyle w:val="118"/>
              <w:rPr>
                <w:rFonts w:cs="Arial"/>
              </w:rPr>
            </w:pPr>
            <w:r>
              <w:rPr>
                <w:rFonts w:cs="Arial"/>
              </w:rPr>
              <w:t>Note 1:</w:t>
            </w:r>
            <w:r>
              <w:rPr>
                <w:rFonts w:cs="Arial"/>
              </w:rPr>
              <w:tab/>
            </w:r>
            <w:r>
              <w:rPr>
                <w:rFonts w:cs="Arial"/>
              </w:rPr>
              <w:t>If more than one Code Block is present, an additional CRC sequence of L = 24 Bits is attached to each Code Block (otherwise L = 0 Bit)</w:t>
            </w:r>
          </w:p>
          <w:p>
            <w:pPr>
              <w:pStyle w:val="118"/>
              <w:rPr>
                <w:rFonts w:cs="Arial"/>
                <w:sz w:val="14"/>
                <w:szCs w:val="14"/>
                <w:lang w:eastAsia="zh-CN"/>
              </w:rPr>
            </w:pPr>
            <w:r>
              <w:rPr>
                <w:rFonts w:cs="Arial"/>
              </w:rPr>
              <w:t>Note 2:</w:t>
            </w:r>
            <w:r>
              <w:rPr>
                <w:rFonts w:cs="Arial"/>
              </w:rPr>
              <w:tab/>
            </w:r>
            <w:r>
              <w:rPr>
                <w:rFonts w:cs="Arial"/>
              </w:rP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p>
      <w:pPr>
        <w:pStyle w:val="6"/>
      </w:pPr>
      <w:bookmarkStart w:id="1014" w:name="_Toc5546"/>
      <w:bookmarkStart w:id="1015" w:name="_Toc232582102"/>
      <w:r>
        <w:t>A.2.2.2.2</w:t>
      </w:r>
      <w:r>
        <w:tab/>
      </w:r>
      <w:r>
        <w:t>16-QAM</w:t>
      </w:r>
      <w:bookmarkEnd w:id="1014"/>
      <w:bookmarkEnd w:id="1015"/>
    </w:p>
    <w:p>
      <w:pPr>
        <w:pStyle w:val="113"/>
        <w:rPr>
          <w:snapToGrid w:val="0"/>
        </w:rPr>
      </w:pPr>
      <w:r>
        <w:t>Table A.2.2.2.2-1: Reference Channels for 16-QAM with partial RB allocation</w:t>
      </w:r>
      <w:r>
        <w:rPr>
          <w:lang w:eastAsia="zh-CN"/>
        </w:rPr>
        <w:t xml:space="preserve"> for </w:t>
      </w:r>
      <w:r>
        <w:rPr>
          <w:snapToGrid w:val="0"/>
        </w:rPr>
        <w:t>UE category M1</w:t>
      </w:r>
    </w:p>
    <w:tbl>
      <w:tblPr>
        <w:tblStyle w:val="89"/>
        <w:tblW w:w="97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
        <w:gridCol w:w="810"/>
        <w:gridCol w:w="810"/>
        <w:gridCol w:w="810"/>
        <w:gridCol w:w="810"/>
        <w:gridCol w:w="810"/>
        <w:gridCol w:w="850"/>
        <w:gridCol w:w="810"/>
        <w:gridCol w:w="810"/>
        <w:gridCol w:w="810"/>
        <w:gridCol w:w="810"/>
        <w:gridCol w:w="8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lang w:eastAsia="zh-CN"/>
              </w:rPr>
            </w:pPr>
            <w:r>
              <w:rPr>
                <w:lang w:eastAsia="zh-CN"/>
              </w:rPr>
              <w:t>Parameter</w:t>
            </w:r>
          </w:p>
        </w:tc>
        <w:tc>
          <w:tcPr>
            <w:tcW w:w="810" w:type="dxa"/>
          </w:tcPr>
          <w:p>
            <w:pPr>
              <w:pStyle w:val="104"/>
              <w:rPr>
                <w:lang w:eastAsia="zh-CN"/>
              </w:rPr>
            </w:pPr>
            <w:r>
              <w:rPr>
                <w:lang w:eastAsia="zh-CN"/>
              </w:rPr>
              <w:t>Ch BW</w:t>
            </w:r>
          </w:p>
        </w:tc>
        <w:tc>
          <w:tcPr>
            <w:tcW w:w="810" w:type="dxa"/>
          </w:tcPr>
          <w:p>
            <w:pPr>
              <w:pStyle w:val="104"/>
              <w:rPr>
                <w:lang w:eastAsia="zh-CN"/>
              </w:rPr>
            </w:pPr>
            <w:r>
              <w:rPr>
                <w:lang w:eastAsia="zh-CN"/>
              </w:rPr>
              <w:t>Allocated RBs</w:t>
            </w:r>
          </w:p>
        </w:tc>
        <w:tc>
          <w:tcPr>
            <w:tcW w:w="810" w:type="dxa"/>
          </w:tcPr>
          <w:p>
            <w:pPr>
              <w:pStyle w:val="104"/>
              <w:rPr>
                <w:lang w:eastAsia="zh-CN"/>
              </w:rPr>
            </w:pPr>
            <w:r>
              <w:rPr>
                <w:lang w:eastAsia="zh-CN"/>
              </w:rPr>
              <w:t>DFT-OFDM Symbols per Sub-Frame</w:t>
            </w:r>
          </w:p>
        </w:tc>
        <w:tc>
          <w:tcPr>
            <w:tcW w:w="810" w:type="dxa"/>
          </w:tcPr>
          <w:p>
            <w:pPr>
              <w:pStyle w:val="104"/>
              <w:rPr>
                <w:lang w:eastAsia="zh-CN"/>
              </w:rPr>
            </w:pPr>
            <w:r>
              <w:rPr>
                <w:lang w:eastAsia="zh-CN"/>
              </w:rPr>
              <w:t>Mod’n</w:t>
            </w:r>
          </w:p>
        </w:tc>
        <w:tc>
          <w:tcPr>
            <w:tcW w:w="810" w:type="dxa"/>
          </w:tcPr>
          <w:p>
            <w:pPr>
              <w:pStyle w:val="104"/>
              <w:rPr>
                <w:lang w:eastAsia="zh-CN"/>
              </w:rPr>
            </w:pPr>
            <w:r>
              <w:rPr>
                <w:lang w:eastAsia="zh-CN"/>
              </w:rPr>
              <w:t>Target Coding rate</w:t>
            </w:r>
          </w:p>
        </w:tc>
        <w:tc>
          <w:tcPr>
            <w:tcW w:w="850" w:type="dxa"/>
          </w:tcPr>
          <w:p>
            <w:pPr>
              <w:pStyle w:val="104"/>
              <w:rPr>
                <w:lang w:eastAsia="zh-CN"/>
              </w:rPr>
            </w:pPr>
            <w:r>
              <w:rPr>
                <w:lang w:eastAsia="zh-CN"/>
              </w:rPr>
              <w:t>Payload size</w:t>
            </w:r>
          </w:p>
        </w:tc>
        <w:tc>
          <w:tcPr>
            <w:tcW w:w="810" w:type="dxa"/>
          </w:tcPr>
          <w:p>
            <w:pPr>
              <w:pStyle w:val="104"/>
              <w:rPr>
                <w:lang w:eastAsia="zh-CN"/>
              </w:rPr>
            </w:pPr>
            <w:r>
              <w:rPr>
                <w:lang w:eastAsia="zh-CN"/>
              </w:rPr>
              <w:t>Transport block CRC</w:t>
            </w:r>
          </w:p>
        </w:tc>
        <w:tc>
          <w:tcPr>
            <w:tcW w:w="810" w:type="dxa"/>
          </w:tcPr>
          <w:p>
            <w:pPr>
              <w:pStyle w:val="104"/>
              <w:rPr>
                <w:lang w:eastAsia="zh-CN"/>
              </w:rPr>
            </w:pPr>
            <w:r>
              <w:rPr>
                <w:lang w:eastAsia="zh-CN"/>
              </w:rPr>
              <w:t>Number of code blocks per Sub-Frame (Note 1)</w:t>
            </w:r>
          </w:p>
        </w:tc>
        <w:tc>
          <w:tcPr>
            <w:tcW w:w="810" w:type="dxa"/>
          </w:tcPr>
          <w:p>
            <w:pPr>
              <w:pStyle w:val="104"/>
              <w:rPr>
                <w:lang w:eastAsia="zh-CN"/>
              </w:rPr>
            </w:pPr>
            <w:r>
              <w:rPr>
                <w:lang w:eastAsia="zh-CN"/>
              </w:rPr>
              <w:t>Total number of bits per Sub-Frame</w:t>
            </w:r>
          </w:p>
        </w:tc>
        <w:tc>
          <w:tcPr>
            <w:tcW w:w="810" w:type="dxa"/>
          </w:tcPr>
          <w:p>
            <w:pPr>
              <w:pStyle w:val="104"/>
              <w:rPr>
                <w:lang w:eastAsia="zh-CN"/>
              </w:rPr>
            </w:pPr>
            <w:r>
              <w:rPr>
                <w:lang w:eastAsia="zh-CN"/>
              </w:rPr>
              <w:t>Total symbols per Sub-Frame</w:t>
            </w:r>
          </w:p>
        </w:tc>
        <w:tc>
          <w:tcPr>
            <w:tcW w:w="810" w:type="dxa"/>
          </w:tcPr>
          <w:p>
            <w:pPr>
              <w:pStyle w:val="104"/>
              <w:rPr>
                <w:lang w:eastAsia="zh-CN"/>
              </w:rPr>
            </w:pPr>
            <w:r>
              <w:rPr>
                <w:lang w:eastAsia="zh-CN"/>
              </w:rPr>
              <w:t>UE Category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Pr>
          <w:p>
            <w:pPr>
              <w:pStyle w:val="104"/>
              <w:rPr>
                <w:lang w:eastAsia="zh-CN"/>
              </w:rPr>
            </w:pPr>
            <w:r>
              <w:rPr>
                <w:lang w:eastAsia="zh-CN"/>
              </w:rPr>
              <w:t>Unit</w:t>
            </w:r>
          </w:p>
        </w:tc>
        <w:tc>
          <w:tcPr>
            <w:tcW w:w="810" w:type="dxa"/>
          </w:tcPr>
          <w:p>
            <w:pPr>
              <w:pStyle w:val="104"/>
              <w:rPr>
                <w:lang w:eastAsia="zh-CN"/>
              </w:rPr>
            </w:pPr>
            <w:r>
              <w:rPr>
                <w:lang w:eastAsia="zh-CN"/>
              </w:rPr>
              <w:t>MHz</w:t>
            </w:r>
          </w:p>
        </w:tc>
        <w:tc>
          <w:tcPr>
            <w:tcW w:w="810" w:type="dxa"/>
          </w:tcPr>
          <w:p>
            <w:pPr>
              <w:pStyle w:val="104"/>
              <w:rPr>
                <w:lang w:eastAsia="zh-CN"/>
              </w:rPr>
            </w:pPr>
          </w:p>
        </w:tc>
        <w:tc>
          <w:tcPr>
            <w:tcW w:w="810" w:type="dxa"/>
          </w:tcPr>
          <w:p>
            <w:pPr>
              <w:pStyle w:val="104"/>
              <w:rPr>
                <w:lang w:eastAsia="zh-CN"/>
              </w:rPr>
            </w:pPr>
          </w:p>
        </w:tc>
        <w:tc>
          <w:tcPr>
            <w:tcW w:w="810" w:type="dxa"/>
          </w:tcPr>
          <w:p>
            <w:pPr>
              <w:pStyle w:val="104"/>
              <w:rPr>
                <w:lang w:eastAsia="zh-CN"/>
              </w:rPr>
            </w:pPr>
          </w:p>
        </w:tc>
        <w:tc>
          <w:tcPr>
            <w:tcW w:w="810" w:type="dxa"/>
          </w:tcPr>
          <w:p>
            <w:pPr>
              <w:pStyle w:val="104"/>
              <w:rPr>
                <w:lang w:eastAsia="zh-CN"/>
              </w:rPr>
            </w:pPr>
          </w:p>
        </w:tc>
        <w:tc>
          <w:tcPr>
            <w:tcW w:w="850" w:type="dxa"/>
          </w:tcPr>
          <w:p>
            <w:pPr>
              <w:pStyle w:val="104"/>
              <w:rPr>
                <w:lang w:eastAsia="zh-CN"/>
              </w:rPr>
            </w:pPr>
            <w:r>
              <w:rPr>
                <w:lang w:eastAsia="zh-CN"/>
              </w:rPr>
              <w:t>Bits</w:t>
            </w:r>
          </w:p>
        </w:tc>
        <w:tc>
          <w:tcPr>
            <w:tcW w:w="810" w:type="dxa"/>
          </w:tcPr>
          <w:p>
            <w:pPr>
              <w:pStyle w:val="104"/>
              <w:rPr>
                <w:lang w:eastAsia="zh-CN"/>
              </w:rPr>
            </w:pPr>
            <w:r>
              <w:rPr>
                <w:lang w:eastAsia="zh-CN"/>
              </w:rPr>
              <w:t>Bits</w:t>
            </w:r>
          </w:p>
        </w:tc>
        <w:tc>
          <w:tcPr>
            <w:tcW w:w="810" w:type="dxa"/>
          </w:tcPr>
          <w:p>
            <w:pPr>
              <w:pStyle w:val="104"/>
              <w:rPr>
                <w:lang w:eastAsia="zh-CN"/>
              </w:rPr>
            </w:pPr>
          </w:p>
        </w:tc>
        <w:tc>
          <w:tcPr>
            <w:tcW w:w="810" w:type="dxa"/>
          </w:tcPr>
          <w:p>
            <w:pPr>
              <w:pStyle w:val="104"/>
              <w:rPr>
                <w:lang w:eastAsia="zh-CN"/>
              </w:rPr>
            </w:pPr>
            <w:r>
              <w:rPr>
                <w:lang w:eastAsia="zh-CN"/>
              </w:rPr>
              <w:t>Bits</w:t>
            </w:r>
          </w:p>
        </w:tc>
        <w:tc>
          <w:tcPr>
            <w:tcW w:w="810" w:type="dxa"/>
          </w:tcPr>
          <w:p>
            <w:pPr>
              <w:pStyle w:val="104"/>
              <w:rPr>
                <w:lang w:eastAsia="zh-CN"/>
              </w:rPr>
            </w:pPr>
          </w:p>
        </w:tc>
        <w:tc>
          <w:tcPr>
            <w:tcW w:w="810"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top w:val="single" w:color="auto" w:sz="4" w:space="0"/>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256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552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1152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288</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3</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1/2</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lang w:eastAsia="ja-JP"/>
              </w:rPr>
              <w:t>840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1728</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432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9" w:type="dxa"/>
            <w:tcBorders>
              <w:left w:val="single" w:color="auto" w:sz="4" w:space="0"/>
              <w:right w:val="single" w:color="auto" w:sz="4" w:space="0"/>
            </w:tcBorders>
          </w:tcPr>
          <w:p>
            <w:pPr>
              <w:pStyle w:val="105"/>
              <w:rPr>
                <w:rFonts w:cs="Arial"/>
                <w:sz w:val="16"/>
                <w:szCs w:val="16"/>
              </w:rPr>
            </w:pP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1.4 - 20</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12</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16QAM</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2/5</w:t>
            </w:r>
          </w:p>
        </w:tc>
        <w:tc>
          <w:tcPr>
            <w:tcW w:w="85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904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1</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2304</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576</w:t>
            </w:r>
          </w:p>
        </w:tc>
        <w:tc>
          <w:tcPr>
            <w:tcW w:w="810" w:type="dxa"/>
            <w:tcBorders>
              <w:top w:val="single" w:color="auto" w:sz="4" w:space="0"/>
              <w:left w:val="single" w:color="auto" w:sz="4" w:space="0"/>
              <w:bottom w:val="single" w:color="auto" w:sz="4" w:space="0"/>
              <w:right w:val="single" w:color="auto" w:sz="4" w:space="0"/>
            </w:tcBorders>
            <w:vAlign w:val="center"/>
          </w:tcPr>
          <w:p>
            <w:pPr>
              <w:pStyle w:val="105"/>
              <w:rPr>
                <w:rFonts w:cs="Arial"/>
                <w:sz w:val="16"/>
                <w:szCs w:val="16"/>
              </w:rPr>
            </w:pPr>
            <w:r>
              <w:rPr>
                <w:rFonts w:cs="Arial"/>
                <w:sz w:val="16"/>
                <w:szCs w:val="16"/>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759" w:type="dxa"/>
            <w:gridSpan w:val="12"/>
            <w:tcBorders>
              <w:left w:val="single" w:color="auto" w:sz="4" w:space="0"/>
              <w:right w:val="single" w:color="auto" w:sz="4" w:space="0"/>
            </w:tcBorders>
          </w:tcPr>
          <w:p>
            <w:pPr>
              <w:pStyle w:val="118"/>
            </w:pPr>
            <w:r>
              <w:t>Note 1:</w:t>
            </w:r>
            <w:r>
              <w:tab/>
            </w:r>
            <w:r>
              <w:t>If more than one Code Block is present, an additional CRC sequence of L = 24 Bits is attached to each Code Block (otherwise L = 0 Bit).</w:t>
            </w:r>
          </w:p>
          <w:p>
            <w:pPr>
              <w:pStyle w:val="118"/>
            </w:pPr>
            <w:r>
              <w:t>Note 2:</w:t>
            </w:r>
            <w:r>
              <w:tab/>
            </w:r>
            <w:r>
              <w:t>For HD-FDD UE, the uplink subframes are scheduled at the 4th, 5th and 6thsubframes every 10ms for the channel bandwidth 5MHz/10MHz/15MHz/20MHz. For HD-FDD UE, the uplink subframes are scheduled at the 5th, 6th, and 7th subframes every 10ms for the channel bandwidth 1.4MHz/3MHz. Information bit payload is available if uplink subframe is scheduled.</w:t>
            </w:r>
          </w:p>
        </w:tc>
      </w:tr>
    </w:tbl>
    <w:p/>
    <w:p>
      <w:pPr>
        <w:pStyle w:val="5"/>
        <w:rPr>
          <w:rFonts w:eastAsia="宋体"/>
          <w:snapToGrid w:val="0"/>
          <w:lang w:val="en-US" w:eastAsia="zh-CN"/>
        </w:rPr>
      </w:pPr>
      <w:bookmarkStart w:id="1016" w:name="_Toc31071"/>
      <w:r>
        <w:rPr>
          <w:snapToGrid w:val="0"/>
        </w:rPr>
        <w:t>A.2.2.3</w:t>
      </w:r>
      <w:r>
        <w:rPr>
          <w:snapToGrid w:val="0"/>
        </w:rPr>
        <w:tab/>
      </w:r>
      <w:r>
        <w:rPr>
          <w:rFonts w:hint="eastAsia" w:eastAsia="宋体"/>
          <w:snapToGrid w:val="0"/>
          <w:lang w:val="en-US" w:eastAsia="zh-CN"/>
        </w:rPr>
        <w:t>FFS</w:t>
      </w:r>
      <w:bookmarkEnd w:id="1016"/>
    </w:p>
    <w:p>
      <w:pPr>
        <w:rPr>
          <w:snapToGrid w:val="0"/>
          <w:lang w:eastAsia="en-GB"/>
        </w:rPr>
      </w:pPr>
      <w:bookmarkStart w:id="1017" w:name="_Toc368026644"/>
    </w:p>
    <w:p>
      <w:pPr>
        <w:pStyle w:val="5"/>
        <w:rPr>
          <w:snapToGrid w:val="0"/>
        </w:rPr>
      </w:pPr>
      <w:bookmarkStart w:id="1018" w:name="_Toc17539"/>
      <w:r>
        <w:rPr>
          <w:snapToGrid w:val="0"/>
        </w:rPr>
        <w:t>A.2.2.4</w:t>
      </w:r>
      <w:r>
        <w:rPr>
          <w:snapToGrid w:val="0"/>
        </w:rPr>
        <w:tab/>
      </w:r>
      <w:bookmarkEnd w:id="1017"/>
      <w:r>
        <w:rPr>
          <w:snapToGrid w:val="0"/>
        </w:rPr>
        <w:t>subPRB allocation</w:t>
      </w:r>
      <w:bookmarkEnd w:id="1018"/>
    </w:p>
    <w:p>
      <w:r>
        <w:t>The location of allocated RB for subPRB allocation is chosen according to values specified in the Tx requirements.</w:t>
      </w:r>
    </w:p>
    <w:p>
      <w:pPr>
        <w:pStyle w:val="113"/>
        <w:rPr>
          <w:lang w:eastAsia="en-GB"/>
        </w:rPr>
      </w:pPr>
      <w:r>
        <w:rPr>
          <w:lang w:eastAsia="en-GB"/>
        </w:rPr>
        <w:t>Table A.2.2.4-1: Reference Channels for SubPRB allocation</w:t>
      </w:r>
    </w:p>
    <w:tbl>
      <w:tblPr>
        <w:tblStyle w:val="89"/>
        <w:tblW w:w="0" w:type="auto"/>
        <w:jc w:val="center"/>
        <w:tblLayout w:type="autofit"/>
        <w:tblCellMar>
          <w:top w:w="0" w:type="dxa"/>
          <w:left w:w="0" w:type="dxa"/>
          <w:bottom w:w="0" w:type="dxa"/>
          <w:right w:w="0" w:type="dxa"/>
        </w:tblCellMar>
      </w:tblPr>
      <w:tblGrid>
        <w:gridCol w:w="3970"/>
        <w:gridCol w:w="931"/>
        <w:gridCol w:w="1105"/>
        <w:gridCol w:w="1105"/>
        <w:gridCol w:w="1106"/>
      </w:tblGrid>
      <w:tr>
        <w:tblPrEx>
          <w:tblCellMar>
            <w:top w:w="0" w:type="dxa"/>
            <w:left w:w="0" w:type="dxa"/>
            <w:bottom w:w="0" w:type="dxa"/>
            <w:right w:w="0" w:type="dxa"/>
          </w:tblCellMar>
        </w:tblPrEx>
        <w:trPr>
          <w:jc w:val="center"/>
        </w:trPr>
        <w:tc>
          <w:tcPr>
            <w:tcW w:w="397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tcPr>
          <w:p>
            <w:pPr>
              <w:pStyle w:val="104"/>
              <w:rPr>
                <w:lang w:val="sv-SE"/>
              </w:rPr>
            </w:pPr>
            <w:r>
              <w:rPr>
                <w:lang w:val="fr-FR"/>
              </w:rPr>
              <w:t>Parameter</w:t>
            </w:r>
          </w:p>
        </w:tc>
        <w:tc>
          <w:tcPr>
            <w:tcW w:w="931" w:type="dxa"/>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lang w:val="fr-FR"/>
              </w:rPr>
            </w:pPr>
            <w:r>
              <w:rPr>
                <w:lang w:val="fr-FR"/>
              </w:rPr>
              <w:t>Unit</w:t>
            </w:r>
          </w:p>
        </w:tc>
        <w:tc>
          <w:tcPr>
            <w:tcW w:w="3316" w:type="dxa"/>
            <w:gridSpan w:val="3"/>
            <w:tcBorders>
              <w:top w:val="single" w:color="auto" w:sz="8" w:space="0"/>
              <w:left w:val="nil"/>
              <w:bottom w:val="single" w:color="auto" w:sz="8" w:space="0"/>
              <w:right w:val="single" w:color="auto" w:sz="8" w:space="0"/>
            </w:tcBorders>
            <w:tcMar>
              <w:top w:w="0" w:type="dxa"/>
              <w:left w:w="108" w:type="dxa"/>
              <w:bottom w:w="0" w:type="dxa"/>
              <w:right w:w="108" w:type="dxa"/>
            </w:tcMar>
          </w:tcPr>
          <w:p>
            <w:pPr>
              <w:pStyle w:val="104"/>
              <w:rPr>
                <w:lang w:val="fr-FR"/>
              </w:rPr>
            </w:pPr>
            <w:r>
              <w:rPr>
                <w:lang w:val="fr-FR"/>
              </w:rPr>
              <w:t>Value</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b/>
                <w:bCs/>
                <w:lang w:val="fr-FR"/>
              </w:rPr>
            </w:pPr>
            <w:r>
              <w:rPr>
                <w:lang w:val="fr-FR"/>
              </w:rPr>
              <w:t>Channel bandwidth</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MHz</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Allocated resource blocks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Number of subcarriers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 out of 3</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3</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6</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DFT-OFDM Symbols per Sub-Frame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Modulation</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π/2 BPSK</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QPSK</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QPSK</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Target Coding rate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1/3</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Payload size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32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72</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72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Transport block CRC</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Number of code blocks</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Total number of bits per resource unit</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Bits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192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288</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288</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Total symbols per resource unit</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192</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144</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Tx time</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ms</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8</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4</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2</w:t>
            </w:r>
          </w:p>
        </w:tc>
      </w:tr>
      <w:tr>
        <w:tblPrEx>
          <w:tblCellMar>
            <w:top w:w="0" w:type="dxa"/>
            <w:left w:w="0" w:type="dxa"/>
            <w:bottom w:w="0" w:type="dxa"/>
            <w:right w:w="0" w:type="dxa"/>
          </w:tblCellMar>
        </w:tblPrEx>
        <w:trPr>
          <w:jc w:val="center"/>
        </w:trPr>
        <w:tc>
          <w:tcPr>
            <w:tcW w:w="3970" w:type="dxa"/>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03"/>
              <w:rPr>
                <w:lang w:val="fr-FR"/>
              </w:rPr>
            </w:pPr>
            <w:r>
              <w:rPr>
                <w:lang w:val="fr-FR"/>
              </w:rPr>
              <w:t>UE UL Category</w:t>
            </w:r>
          </w:p>
        </w:tc>
        <w:tc>
          <w:tcPr>
            <w:tcW w:w="931"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c>
          <w:tcPr>
            <w:tcW w:w="1105"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c>
          <w:tcPr>
            <w:tcW w:w="1106" w:type="dxa"/>
            <w:tcBorders>
              <w:top w:val="nil"/>
              <w:left w:val="nil"/>
              <w:bottom w:val="single" w:color="auto" w:sz="8" w:space="0"/>
              <w:right w:val="single" w:color="auto" w:sz="8" w:space="0"/>
            </w:tcBorders>
            <w:tcMar>
              <w:top w:w="0" w:type="dxa"/>
              <w:left w:w="108" w:type="dxa"/>
              <w:bottom w:w="0" w:type="dxa"/>
              <w:right w:w="108" w:type="dxa"/>
            </w:tcMar>
          </w:tcPr>
          <w:p>
            <w:pPr>
              <w:pStyle w:val="105"/>
              <w:rPr>
                <w:lang w:val="fr-FR"/>
              </w:rPr>
            </w:pPr>
            <w:r>
              <w:rPr>
                <w:lang w:val="fr-FR"/>
              </w:rPr>
              <w:t>M1</w:t>
            </w:r>
          </w:p>
        </w:tc>
      </w:tr>
      <w:tr>
        <w:tblPrEx>
          <w:tblCellMar>
            <w:top w:w="0" w:type="dxa"/>
            <w:left w:w="0" w:type="dxa"/>
            <w:bottom w:w="0" w:type="dxa"/>
            <w:right w:w="0" w:type="dxa"/>
          </w:tblCellMar>
        </w:tblPrEx>
        <w:trPr>
          <w:jc w:val="center"/>
        </w:trPr>
        <w:tc>
          <w:tcPr>
            <w:tcW w:w="8217" w:type="dxa"/>
            <w:gridSpan w:val="5"/>
            <w:tcBorders>
              <w:top w:val="nil"/>
              <w:left w:val="single" w:color="auto" w:sz="8" w:space="0"/>
              <w:bottom w:val="single" w:color="auto" w:sz="8" w:space="0"/>
              <w:right w:val="single" w:color="auto" w:sz="8" w:space="0"/>
            </w:tcBorders>
            <w:tcMar>
              <w:top w:w="0" w:type="dxa"/>
              <w:left w:w="108" w:type="dxa"/>
              <w:bottom w:w="0" w:type="dxa"/>
              <w:right w:w="108" w:type="dxa"/>
            </w:tcMar>
          </w:tcPr>
          <w:p>
            <w:pPr>
              <w:pStyle w:val="118"/>
              <w:rPr>
                <w:lang w:val="fr-FR"/>
              </w:rPr>
            </w:pPr>
            <w:r>
              <w:rPr>
                <w:lang w:val="fr-FR"/>
              </w:rPr>
              <w:t> NOTE 1:  If more than one Code Block is present, an additional CRC sequence of L = 24 Bits is attached to each Code Block (otherwise L = 0 Bit)</w:t>
            </w:r>
          </w:p>
        </w:tc>
      </w:tr>
    </w:tbl>
    <w:p/>
    <w:p>
      <w:pPr>
        <w:pStyle w:val="4"/>
        <w:rPr>
          <w:rFonts w:eastAsia="宋体"/>
          <w:lang w:val="en-US" w:eastAsia="zh-CN"/>
        </w:rPr>
      </w:pPr>
      <w:bookmarkStart w:id="1019" w:name="_Toc232582104"/>
      <w:bookmarkStart w:id="1020" w:name="_Toc10174"/>
      <w:r>
        <w:t>A.2.3</w:t>
      </w:r>
      <w:r>
        <w:tab/>
      </w:r>
      <w:bookmarkEnd w:id="1019"/>
      <w:r>
        <w:t>FFS</w:t>
      </w:r>
      <w:bookmarkEnd w:id="1020"/>
    </w:p>
    <w:p/>
    <w:p>
      <w:pPr>
        <w:pStyle w:val="4"/>
        <w:rPr>
          <w:lang w:eastAsia="zh-CN"/>
        </w:rPr>
      </w:pPr>
      <w:bookmarkStart w:id="1021" w:name="_Toc368026645"/>
      <w:bookmarkStart w:id="1022" w:name="_Toc31176"/>
      <w:bookmarkStart w:id="1023" w:name="_Toc368026635"/>
      <w:r>
        <w:t>A.2.</w:t>
      </w:r>
      <w:r>
        <w:rPr>
          <w:lang w:eastAsia="zh-CN"/>
        </w:rPr>
        <w:t>4</w:t>
      </w:r>
      <w:r>
        <w:tab/>
      </w:r>
      <w:bookmarkEnd w:id="1021"/>
      <w:r>
        <w:t>Reference measurement channels for category NB1</w:t>
      </w:r>
      <w:bookmarkEnd w:id="1022"/>
    </w:p>
    <w:bookmarkEnd w:id="1023"/>
    <w:p>
      <w:pPr>
        <w:pStyle w:val="113"/>
        <w:rPr>
          <w:lang w:eastAsia="zh-CN"/>
        </w:rPr>
      </w:pPr>
      <w:r>
        <w:t>Table A.</w:t>
      </w:r>
      <w:r>
        <w:rPr>
          <w:lang w:eastAsia="zh-CN"/>
        </w:rPr>
        <w:t>2</w:t>
      </w:r>
      <w:r>
        <w:t>.</w:t>
      </w:r>
      <w:r>
        <w:rPr>
          <w:lang w:eastAsia="zh-CN"/>
        </w:rPr>
        <w:t>4</w:t>
      </w:r>
      <w:r>
        <w:t>-1 Reference Channel</w:t>
      </w:r>
      <w:r>
        <w:rPr>
          <w:lang w:eastAsia="zh-CN"/>
        </w:rPr>
        <w:t>s</w:t>
      </w:r>
      <w:r>
        <w:t xml:space="preserve"> for</w:t>
      </w:r>
      <w:r>
        <w:rPr>
          <w:lang w:eastAsia="zh-CN"/>
        </w:rPr>
        <w:t xml:space="preserve"> category </w:t>
      </w:r>
      <w:r>
        <w:t>NB1</w:t>
      </w:r>
    </w:p>
    <w:tbl>
      <w:tblPr>
        <w:tblStyle w:val="89"/>
        <w:tblW w:w="99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0"/>
        <w:gridCol w:w="1134"/>
        <w:gridCol w:w="1134"/>
        <w:gridCol w:w="1134"/>
        <w:gridCol w:w="1134"/>
        <w:gridCol w:w="993"/>
        <w:gridCol w:w="992"/>
        <w:gridCol w:w="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jc w:val="center"/>
              <w:rPr>
                <w:rFonts w:ascii="Arial" w:hAnsi="Arial" w:cs="Arial"/>
                <w:b/>
                <w:sz w:val="18"/>
              </w:rPr>
            </w:pPr>
            <w:r>
              <w:rPr>
                <w:rFonts w:ascii="Arial" w:hAnsi="Arial" w:cs="Arial"/>
                <w:b/>
                <w:sz w:val="18"/>
                <w:lang w:eastAsia="ja-JP"/>
              </w:rPr>
              <w:t>Parameter</w:t>
            </w:r>
          </w:p>
        </w:tc>
        <w:tc>
          <w:tcPr>
            <w:tcW w:w="7513" w:type="dxa"/>
            <w:gridSpan w:val="7"/>
          </w:tcPr>
          <w:p>
            <w:pPr>
              <w:keepNext/>
              <w:spacing w:after="0"/>
              <w:jc w:val="center"/>
              <w:rPr>
                <w:rFonts w:ascii="Arial" w:hAnsi="Arial" w:cs="Arial"/>
                <w:b/>
                <w:sz w:val="18"/>
                <w:lang w:eastAsia="zh-CN"/>
              </w:rPr>
            </w:pPr>
            <w:r>
              <w:rPr>
                <w:rFonts w:ascii="Arial" w:hAnsi="Arial" w:cs="Arial"/>
                <w:b/>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Sub-carrier spacing (kHz)</w:t>
            </w:r>
          </w:p>
        </w:tc>
        <w:tc>
          <w:tcPr>
            <w:tcW w:w="1134" w:type="dxa"/>
          </w:tcPr>
          <w:p>
            <w:pPr>
              <w:keepNext/>
              <w:spacing w:after="0"/>
              <w:jc w:val="center"/>
              <w:rPr>
                <w:rFonts w:ascii="Arial" w:hAnsi="Arial" w:cs="Arial"/>
                <w:sz w:val="18"/>
              </w:rPr>
            </w:pPr>
            <w:r>
              <w:rPr>
                <w:rFonts w:ascii="Arial" w:hAnsi="Arial" w:cs="Arial"/>
                <w:sz w:val="18"/>
              </w:rPr>
              <w:t>3.75</w:t>
            </w:r>
          </w:p>
        </w:tc>
        <w:tc>
          <w:tcPr>
            <w:tcW w:w="1134" w:type="dxa"/>
          </w:tcPr>
          <w:p>
            <w:pPr>
              <w:keepNext/>
              <w:spacing w:after="0"/>
              <w:jc w:val="center"/>
              <w:rPr>
                <w:rFonts w:ascii="Arial" w:hAnsi="Arial" w:cs="Arial"/>
                <w:sz w:val="18"/>
              </w:rPr>
            </w:pPr>
            <w:r>
              <w:rPr>
                <w:rFonts w:ascii="Arial" w:hAnsi="Arial" w:cs="Arial"/>
                <w:sz w:val="18"/>
              </w:rPr>
              <w:t>3.75</w:t>
            </w:r>
          </w:p>
        </w:tc>
        <w:tc>
          <w:tcPr>
            <w:tcW w:w="1134" w:type="dxa"/>
          </w:tcPr>
          <w:p>
            <w:pPr>
              <w:keepNext/>
              <w:spacing w:after="0"/>
              <w:jc w:val="center"/>
              <w:rPr>
                <w:rFonts w:ascii="Arial" w:hAnsi="Arial" w:cs="Arial"/>
                <w:sz w:val="18"/>
                <w:lang w:eastAsia="zh-CN"/>
              </w:rPr>
            </w:pPr>
            <w:r>
              <w:rPr>
                <w:rFonts w:ascii="Arial" w:hAnsi="Arial" w:cs="Arial"/>
                <w:sz w:val="18"/>
              </w:rPr>
              <w:t>15</w:t>
            </w:r>
          </w:p>
        </w:tc>
        <w:tc>
          <w:tcPr>
            <w:tcW w:w="1134" w:type="dxa"/>
          </w:tcPr>
          <w:p>
            <w:pPr>
              <w:keepNext/>
              <w:spacing w:after="0"/>
              <w:jc w:val="center"/>
              <w:rPr>
                <w:rFonts w:ascii="Arial" w:hAnsi="Arial" w:cs="Arial"/>
                <w:sz w:val="18"/>
                <w:lang w:eastAsia="zh-CN"/>
              </w:rPr>
            </w:pPr>
            <w:r>
              <w:rPr>
                <w:rFonts w:ascii="Arial" w:hAnsi="Arial" w:cs="Arial"/>
                <w:sz w:val="18"/>
              </w:rPr>
              <w:t>15</w:t>
            </w:r>
          </w:p>
        </w:tc>
        <w:tc>
          <w:tcPr>
            <w:tcW w:w="993" w:type="dxa"/>
          </w:tcPr>
          <w:p>
            <w:pPr>
              <w:keepNext/>
              <w:spacing w:after="0"/>
              <w:jc w:val="center"/>
              <w:rPr>
                <w:rFonts w:ascii="Arial" w:hAnsi="Arial" w:cs="Arial"/>
                <w:sz w:val="18"/>
                <w:lang w:eastAsia="zh-CN"/>
              </w:rPr>
            </w:pPr>
            <w:r>
              <w:rPr>
                <w:rFonts w:ascii="Arial" w:hAnsi="Arial" w:cs="Arial"/>
                <w:sz w:val="18"/>
              </w:rPr>
              <w:t>15</w:t>
            </w:r>
          </w:p>
        </w:tc>
        <w:tc>
          <w:tcPr>
            <w:tcW w:w="992" w:type="dxa"/>
          </w:tcPr>
          <w:p>
            <w:pPr>
              <w:keepNext/>
              <w:spacing w:after="0"/>
              <w:jc w:val="center"/>
              <w:rPr>
                <w:rFonts w:ascii="Arial" w:hAnsi="Arial" w:cs="Arial"/>
                <w:sz w:val="18"/>
                <w:lang w:eastAsia="zh-CN"/>
              </w:rPr>
            </w:pPr>
            <w:r>
              <w:rPr>
                <w:rFonts w:ascii="Arial" w:hAnsi="Arial" w:cs="Arial"/>
                <w:sz w:val="18"/>
              </w:rPr>
              <w:t>15</w:t>
            </w:r>
          </w:p>
        </w:tc>
        <w:tc>
          <w:tcPr>
            <w:tcW w:w="992" w:type="dxa"/>
          </w:tcPr>
          <w:p>
            <w:pPr>
              <w:keepNext/>
              <w:spacing w:after="0"/>
              <w:jc w:val="center"/>
              <w:rPr>
                <w:rFonts w:ascii="Arial" w:hAnsi="Arial" w:cs="Arial"/>
                <w:sz w:val="18"/>
                <w:lang w:eastAsia="zh-CN"/>
              </w:rPr>
            </w:pPr>
            <w:r>
              <w:rPr>
                <w:rFonts w:ascii="Arial" w:hAnsi="Arial" w:cs="Arial"/>
                <w:sz w:val="18"/>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tone</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lang w:eastAsia="zh-CN"/>
              </w:rPr>
            </w:pPr>
            <w:r>
              <w:rPr>
                <w:rFonts w:ascii="Arial" w:hAnsi="Arial" w:cs="Arial"/>
                <w:sz w:val="18"/>
                <w:lang w:eastAsia="zh-CN"/>
              </w:rPr>
              <w:t>3</w:t>
            </w:r>
          </w:p>
        </w:tc>
        <w:tc>
          <w:tcPr>
            <w:tcW w:w="992" w:type="dxa"/>
          </w:tcPr>
          <w:p>
            <w:pPr>
              <w:keepNext/>
              <w:spacing w:after="0"/>
              <w:jc w:val="center"/>
              <w:rPr>
                <w:rFonts w:ascii="Arial" w:hAnsi="Arial" w:cs="Arial"/>
                <w:sz w:val="18"/>
                <w:lang w:eastAsia="zh-CN"/>
              </w:rPr>
            </w:pPr>
            <w:r>
              <w:rPr>
                <w:rFonts w:ascii="Arial" w:hAnsi="Arial" w:cs="Arial"/>
                <w:sz w:val="18"/>
                <w:lang w:eastAsia="zh-CN"/>
              </w:rPr>
              <w:t>6</w:t>
            </w:r>
          </w:p>
        </w:tc>
        <w:tc>
          <w:tcPr>
            <w:tcW w:w="992" w:type="dxa"/>
          </w:tcPr>
          <w:p>
            <w:pPr>
              <w:keepNext/>
              <w:spacing w:after="0"/>
              <w:jc w:val="center"/>
              <w:rPr>
                <w:rFonts w:ascii="Arial" w:hAnsi="Arial" w:cs="Arial"/>
                <w:sz w:val="18"/>
                <w:lang w:eastAsia="zh-CN"/>
              </w:rPr>
            </w:pPr>
            <w:r>
              <w:rPr>
                <w:rFonts w:ascii="Arial" w:hAnsi="Arial" w:cs="Arial"/>
                <w:sz w:val="18"/>
                <w:lang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Modulation</w:t>
            </w:r>
          </w:p>
        </w:tc>
        <w:tc>
          <w:tcPr>
            <w:tcW w:w="1134" w:type="dxa"/>
          </w:tcPr>
          <w:p>
            <w:pPr>
              <w:keepNext/>
              <w:spacing w:after="0"/>
              <w:jc w:val="center"/>
              <w:rPr>
                <w:rFonts w:ascii="Arial" w:hAnsi="Arial" w:cs="Arial"/>
                <w:sz w:val="18"/>
              </w:rPr>
            </w:pPr>
            <w:r>
              <w:rPr>
                <w:rFonts w:ascii="Arial" w:hAnsi="Arial" w:cs="Arial"/>
                <w:color w:val="000000"/>
                <w:sz w:val="18"/>
                <w:szCs w:val="32"/>
              </w:rPr>
              <w:t>π/2 BPSK</w:t>
            </w:r>
          </w:p>
        </w:tc>
        <w:tc>
          <w:tcPr>
            <w:tcW w:w="1134" w:type="dxa"/>
          </w:tcPr>
          <w:p>
            <w:pPr>
              <w:keepNext/>
              <w:spacing w:after="0"/>
              <w:jc w:val="center"/>
              <w:rPr>
                <w:rFonts w:ascii="Arial" w:hAnsi="Arial" w:cs="Arial"/>
                <w:sz w:val="18"/>
              </w:rPr>
            </w:pPr>
            <w:r>
              <w:rPr>
                <w:rFonts w:ascii="Arial" w:hAnsi="Arial" w:cs="Arial"/>
                <w:color w:val="000000"/>
                <w:sz w:val="18"/>
                <w:szCs w:val="32"/>
              </w:rPr>
              <w:t>π/</w:t>
            </w:r>
            <w:r>
              <w:rPr>
                <w:rFonts w:ascii="Arial" w:hAnsi="Arial" w:cs="Arial"/>
                <w:color w:val="000000"/>
                <w:sz w:val="18"/>
                <w:szCs w:val="32"/>
                <w:lang w:eastAsia="zh-CN"/>
              </w:rPr>
              <w:t>4</w:t>
            </w:r>
            <w:r>
              <w:rPr>
                <w:rFonts w:ascii="Arial" w:hAnsi="Arial" w:cs="Arial"/>
                <w:color w:val="000000"/>
                <w:sz w:val="18"/>
                <w:szCs w:val="32"/>
              </w:rPr>
              <w:t xml:space="preserve"> </w:t>
            </w:r>
            <w:r>
              <w:rPr>
                <w:rFonts w:ascii="Arial" w:hAnsi="Arial" w:cs="Arial"/>
                <w:color w:val="000000"/>
                <w:sz w:val="18"/>
                <w:szCs w:val="32"/>
                <w:lang w:eastAsia="zh-CN"/>
              </w:rPr>
              <w:t>Q</w:t>
            </w:r>
            <w:r>
              <w:rPr>
                <w:rFonts w:ascii="Arial" w:hAnsi="Arial" w:cs="Arial"/>
                <w:color w:val="000000"/>
                <w:sz w:val="18"/>
                <w:szCs w:val="32"/>
              </w:rPr>
              <w:t>PSK</w:t>
            </w:r>
          </w:p>
        </w:tc>
        <w:tc>
          <w:tcPr>
            <w:tcW w:w="1134" w:type="dxa"/>
          </w:tcPr>
          <w:p>
            <w:pPr>
              <w:keepNext/>
              <w:spacing w:after="0"/>
              <w:jc w:val="center"/>
              <w:rPr>
                <w:rFonts w:ascii="Arial" w:hAnsi="Arial" w:cs="Arial"/>
                <w:sz w:val="18"/>
              </w:rPr>
            </w:pPr>
            <w:r>
              <w:rPr>
                <w:rFonts w:ascii="Arial" w:hAnsi="Arial" w:cs="Arial"/>
                <w:color w:val="000000"/>
                <w:sz w:val="18"/>
                <w:szCs w:val="32"/>
              </w:rPr>
              <w:t>π/2 BPSK</w:t>
            </w:r>
          </w:p>
        </w:tc>
        <w:tc>
          <w:tcPr>
            <w:tcW w:w="1134" w:type="dxa"/>
          </w:tcPr>
          <w:p>
            <w:pPr>
              <w:keepNext/>
              <w:spacing w:after="0"/>
              <w:jc w:val="center"/>
              <w:rPr>
                <w:rFonts w:ascii="Arial" w:hAnsi="Arial" w:cs="Arial"/>
                <w:sz w:val="18"/>
              </w:rPr>
            </w:pPr>
            <w:r>
              <w:rPr>
                <w:rFonts w:ascii="Arial" w:hAnsi="Arial" w:cs="Arial"/>
                <w:color w:val="000000"/>
                <w:sz w:val="18"/>
                <w:szCs w:val="32"/>
              </w:rPr>
              <w:t>π/</w:t>
            </w:r>
            <w:r>
              <w:rPr>
                <w:rFonts w:ascii="Arial" w:hAnsi="Arial" w:cs="Arial"/>
                <w:color w:val="000000"/>
                <w:sz w:val="18"/>
                <w:szCs w:val="32"/>
                <w:lang w:eastAsia="zh-CN"/>
              </w:rPr>
              <w:t>4</w:t>
            </w:r>
            <w:r>
              <w:rPr>
                <w:rFonts w:ascii="Arial" w:hAnsi="Arial" w:cs="Arial"/>
                <w:color w:val="000000"/>
                <w:sz w:val="18"/>
                <w:szCs w:val="32"/>
              </w:rPr>
              <w:t xml:space="preserve"> </w:t>
            </w:r>
            <w:r>
              <w:rPr>
                <w:rFonts w:ascii="Arial" w:hAnsi="Arial" w:cs="Arial"/>
                <w:color w:val="000000"/>
                <w:sz w:val="18"/>
                <w:szCs w:val="32"/>
                <w:lang w:eastAsia="zh-CN"/>
              </w:rPr>
              <w:t>Q</w:t>
            </w:r>
            <w:r>
              <w:rPr>
                <w:rFonts w:ascii="Arial" w:hAnsi="Arial" w:cs="Arial"/>
                <w:color w:val="000000"/>
                <w:sz w:val="18"/>
                <w:szCs w:val="32"/>
              </w:rPr>
              <w:t>PSK</w:t>
            </w:r>
          </w:p>
        </w:tc>
        <w:tc>
          <w:tcPr>
            <w:tcW w:w="993"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c>
          <w:tcPr>
            <w:tcW w:w="992"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c>
          <w:tcPr>
            <w:tcW w:w="992" w:type="dxa"/>
          </w:tcPr>
          <w:p>
            <w:pPr>
              <w:keepNext/>
              <w:spacing w:after="0"/>
              <w:jc w:val="center"/>
              <w:rPr>
                <w:rFonts w:ascii="Arial" w:hAnsi="Arial" w:cs="Arial"/>
                <w:sz w:val="18"/>
              </w:rPr>
            </w:pPr>
            <w:r>
              <w:rPr>
                <w:rFonts w:ascii="Arial" w:hAnsi="Arial" w:cs="Arial"/>
                <w:color w:val="000000"/>
                <w:sz w:val="18"/>
                <w:szCs w:val="32"/>
                <w:lang w:eastAsia="zh-CN"/>
              </w:rPr>
              <w:t>Q</w:t>
            </w:r>
            <w:r>
              <w:rPr>
                <w:rFonts w:ascii="Arial" w:hAnsi="Arial" w:cs="Arial"/>
                <w:color w:val="000000"/>
                <w:sz w:val="18"/>
                <w:szCs w:val="32"/>
              </w:rPr>
              <w:t>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NPUSCH repetition (NOTE 5)</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 xml:space="preserve">IMCS / </w:t>
            </w:r>
            <w:r>
              <w:rPr>
                <w:rFonts w:ascii="Arial" w:hAnsi="Arial" w:cs="Arial"/>
                <w:sz w:val="18"/>
                <w:lang w:eastAsia="zh-CN"/>
              </w:rPr>
              <w:t>I</w:t>
            </w:r>
            <w:r>
              <w:rPr>
                <w:rFonts w:ascii="Arial" w:hAnsi="Arial" w:cs="Arial"/>
                <w:sz w:val="18"/>
              </w:rPr>
              <w:t>TBS</w:t>
            </w:r>
          </w:p>
        </w:tc>
        <w:tc>
          <w:tcPr>
            <w:tcW w:w="1134" w:type="dxa"/>
          </w:tcPr>
          <w:p>
            <w:pPr>
              <w:keepNext/>
              <w:spacing w:after="0"/>
              <w:jc w:val="center"/>
              <w:rPr>
                <w:rFonts w:ascii="Arial" w:hAnsi="Arial" w:cs="Arial"/>
                <w:sz w:val="18"/>
              </w:rPr>
            </w:pPr>
            <w:r>
              <w:rPr>
                <w:rFonts w:ascii="Arial" w:hAnsi="Arial" w:cs="Arial"/>
                <w:sz w:val="18"/>
              </w:rPr>
              <w:t>0 / 0</w:t>
            </w:r>
          </w:p>
        </w:tc>
        <w:tc>
          <w:tcPr>
            <w:tcW w:w="1134" w:type="dxa"/>
          </w:tcPr>
          <w:p>
            <w:pPr>
              <w:keepNext/>
              <w:spacing w:after="0"/>
              <w:jc w:val="center"/>
              <w:rPr>
                <w:rFonts w:ascii="Arial" w:hAnsi="Arial" w:cs="Arial"/>
                <w:sz w:val="18"/>
                <w:lang w:eastAsia="zh-CN"/>
              </w:rPr>
            </w:pPr>
            <w:r>
              <w:rPr>
                <w:rFonts w:ascii="Arial" w:hAnsi="Arial" w:cs="Arial"/>
                <w:sz w:val="18"/>
                <w:lang w:eastAsia="zh-CN"/>
              </w:rPr>
              <w:t>3</w:t>
            </w:r>
            <w:r>
              <w:rPr>
                <w:rFonts w:ascii="Arial" w:hAnsi="Arial" w:cs="Arial"/>
                <w:sz w:val="18"/>
              </w:rPr>
              <w:t xml:space="preserve"> / </w:t>
            </w:r>
            <w:r>
              <w:rPr>
                <w:rFonts w:ascii="Arial" w:hAnsi="Arial" w:cs="Arial"/>
                <w:sz w:val="18"/>
                <w:lang w:eastAsia="zh-CN"/>
              </w:rPr>
              <w:t>3</w:t>
            </w:r>
          </w:p>
        </w:tc>
        <w:tc>
          <w:tcPr>
            <w:tcW w:w="1134" w:type="dxa"/>
          </w:tcPr>
          <w:p>
            <w:pPr>
              <w:keepNext/>
              <w:spacing w:after="0"/>
              <w:jc w:val="center"/>
              <w:rPr>
                <w:rFonts w:ascii="Arial" w:hAnsi="Arial" w:cs="Arial"/>
                <w:sz w:val="18"/>
              </w:rPr>
            </w:pPr>
            <w:r>
              <w:rPr>
                <w:rFonts w:ascii="Arial" w:hAnsi="Arial" w:cs="Arial"/>
                <w:sz w:val="18"/>
              </w:rPr>
              <w:t>0 / 0</w:t>
            </w:r>
          </w:p>
        </w:tc>
        <w:tc>
          <w:tcPr>
            <w:tcW w:w="1134" w:type="dxa"/>
          </w:tcPr>
          <w:p>
            <w:pPr>
              <w:keepNext/>
              <w:spacing w:after="0"/>
              <w:jc w:val="center"/>
              <w:rPr>
                <w:rFonts w:ascii="Arial" w:hAnsi="Arial" w:cs="Arial"/>
                <w:sz w:val="18"/>
                <w:lang w:eastAsia="zh-CN"/>
              </w:rPr>
            </w:pPr>
            <w:r>
              <w:rPr>
                <w:rFonts w:ascii="Arial" w:hAnsi="Arial" w:cs="Arial"/>
                <w:sz w:val="18"/>
                <w:lang w:eastAsia="zh-CN"/>
              </w:rPr>
              <w:t>3</w:t>
            </w:r>
            <w:r>
              <w:rPr>
                <w:rFonts w:ascii="Arial" w:hAnsi="Arial" w:cs="Arial"/>
                <w:sz w:val="18"/>
              </w:rPr>
              <w:t xml:space="preserve"> / </w:t>
            </w:r>
            <w:r>
              <w:rPr>
                <w:rFonts w:ascii="Arial" w:hAnsi="Arial" w:cs="Arial"/>
                <w:sz w:val="18"/>
                <w:lang w:eastAsia="zh-CN"/>
              </w:rPr>
              <w:t>3</w:t>
            </w:r>
          </w:p>
        </w:tc>
        <w:tc>
          <w:tcPr>
            <w:tcW w:w="993"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c>
          <w:tcPr>
            <w:tcW w:w="992"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c>
          <w:tcPr>
            <w:tcW w:w="992" w:type="dxa"/>
          </w:tcPr>
          <w:p>
            <w:pPr>
              <w:keepNext/>
              <w:spacing w:after="0"/>
              <w:jc w:val="center"/>
              <w:rPr>
                <w:rFonts w:ascii="Arial" w:hAnsi="Arial" w:cs="Arial"/>
                <w:sz w:val="18"/>
                <w:lang w:eastAsia="zh-CN"/>
              </w:rPr>
            </w:pPr>
            <w:r>
              <w:rPr>
                <w:rFonts w:ascii="Arial" w:hAnsi="Arial" w:cs="Arial"/>
                <w:sz w:val="18"/>
                <w:lang w:eastAsia="zh-CN"/>
              </w:rPr>
              <w:t>5</w:t>
            </w:r>
            <w:r>
              <w:rPr>
                <w:rFonts w:ascii="Arial" w:hAnsi="Arial" w:cs="Arial"/>
                <w:sz w:val="18"/>
              </w:rPr>
              <w:t xml:space="preserve"> / </w:t>
            </w:r>
            <w:r>
              <w:rPr>
                <w:rFonts w:ascii="Arial" w:hAnsi="Arial" w:cs="Arial"/>
                <w:sz w:val="18"/>
                <w:lang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Payload size (bits)</w:t>
            </w:r>
          </w:p>
        </w:tc>
        <w:tc>
          <w:tcPr>
            <w:tcW w:w="1134" w:type="dxa"/>
          </w:tcPr>
          <w:p>
            <w:pPr>
              <w:keepNext/>
              <w:spacing w:after="0"/>
              <w:jc w:val="center"/>
              <w:rPr>
                <w:rFonts w:ascii="Arial" w:hAnsi="Arial" w:cs="Arial"/>
                <w:sz w:val="18"/>
              </w:rPr>
            </w:pPr>
            <w:r>
              <w:rPr>
                <w:rFonts w:ascii="Arial" w:hAnsi="Arial" w:cs="Arial"/>
                <w:sz w:val="18"/>
              </w:rPr>
              <w:t>32</w:t>
            </w:r>
          </w:p>
        </w:tc>
        <w:tc>
          <w:tcPr>
            <w:tcW w:w="1134" w:type="dxa"/>
          </w:tcPr>
          <w:p>
            <w:pPr>
              <w:keepNext/>
              <w:spacing w:after="0"/>
              <w:jc w:val="center"/>
              <w:rPr>
                <w:rFonts w:ascii="Arial" w:hAnsi="Arial" w:cs="Arial"/>
                <w:sz w:val="18"/>
                <w:lang w:eastAsia="zh-CN"/>
              </w:rPr>
            </w:pPr>
            <w:r>
              <w:rPr>
                <w:rFonts w:ascii="Arial" w:hAnsi="Arial" w:cs="Arial"/>
                <w:sz w:val="18"/>
                <w:lang w:eastAsia="zh-CN"/>
              </w:rPr>
              <w:t>40</w:t>
            </w:r>
          </w:p>
        </w:tc>
        <w:tc>
          <w:tcPr>
            <w:tcW w:w="1134" w:type="dxa"/>
          </w:tcPr>
          <w:p>
            <w:pPr>
              <w:keepNext/>
              <w:spacing w:after="0"/>
              <w:jc w:val="center"/>
              <w:rPr>
                <w:rFonts w:ascii="Arial" w:hAnsi="Arial" w:cs="Arial"/>
                <w:sz w:val="18"/>
              </w:rPr>
            </w:pPr>
            <w:r>
              <w:rPr>
                <w:rFonts w:ascii="Arial" w:hAnsi="Arial" w:cs="Arial"/>
                <w:sz w:val="18"/>
              </w:rPr>
              <w:t>32</w:t>
            </w:r>
          </w:p>
        </w:tc>
        <w:tc>
          <w:tcPr>
            <w:tcW w:w="1134" w:type="dxa"/>
          </w:tcPr>
          <w:p>
            <w:pPr>
              <w:keepNext/>
              <w:spacing w:after="0"/>
              <w:jc w:val="center"/>
              <w:rPr>
                <w:rFonts w:ascii="Arial" w:hAnsi="Arial" w:cs="Arial"/>
                <w:sz w:val="18"/>
                <w:lang w:eastAsia="zh-CN"/>
              </w:rPr>
            </w:pPr>
            <w:r>
              <w:rPr>
                <w:rFonts w:ascii="Arial" w:hAnsi="Arial" w:cs="Arial"/>
                <w:sz w:val="18"/>
                <w:lang w:eastAsia="zh-CN"/>
              </w:rPr>
              <w:t>40</w:t>
            </w:r>
          </w:p>
        </w:tc>
        <w:tc>
          <w:tcPr>
            <w:tcW w:w="993"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c>
          <w:tcPr>
            <w:tcW w:w="992"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c>
          <w:tcPr>
            <w:tcW w:w="992" w:type="dxa"/>
          </w:tcPr>
          <w:p>
            <w:pPr>
              <w:keepNext/>
              <w:spacing w:after="0"/>
              <w:jc w:val="center"/>
              <w:rPr>
                <w:rFonts w:ascii="Arial" w:hAnsi="Arial" w:cs="Arial"/>
                <w:sz w:val="18"/>
              </w:rPr>
            </w:pPr>
            <w:r>
              <w:rPr>
                <w:rFonts w:ascii="Arial" w:hAnsi="Arial" w:cs="Arial"/>
                <w:sz w:val="18"/>
                <w:lang w:eastAsia="zh-CN"/>
              </w:rPr>
              <w:t>7</w:t>
            </w:r>
            <w:r>
              <w:rPr>
                <w:rFonts w:ascii="Arial" w:hAnsi="Arial" w:cs="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Allocated resource unit</w:t>
            </w:r>
          </w:p>
        </w:tc>
        <w:tc>
          <w:tcPr>
            <w:tcW w:w="1134" w:type="dxa"/>
          </w:tcPr>
          <w:p>
            <w:pPr>
              <w:keepNext/>
              <w:spacing w:after="0"/>
              <w:jc w:val="center"/>
              <w:rPr>
                <w:rFonts w:ascii="Arial" w:hAnsi="Arial" w:cs="Arial"/>
                <w:sz w:val="18"/>
              </w:rPr>
            </w:pPr>
            <w:r>
              <w:rPr>
                <w:rFonts w:ascii="Arial" w:hAnsi="Arial" w:cs="Arial"/>
                <w:sz w:val="18"/>
              </w:rPr>
              <w:t>2</w:t>
            </w:r>
          </w:p>
        </w:tc>
        <w:tc>
          <w:tcPr>
            <w:tcW w:w="1134" w:type="dxa"/>
          </w:tcPr>
          <w:p>
            <w:pPr>
              <w:keepNext/>
              <w:spacing w:after="0"/>
              <w:jc w:val="center"/>
              <w:rPr>
                <w:rFonts w:ascii="Arial" w:hAnsi="Arial" w:cs="Arial"/>
                <w:sz w:val="18"/>
                <w:lang w:eastAsia="zh-CN"/>
              </w:rPr>
            </w:pPr>
            <w:r>
              <w:rPr>
                <w:rFonts w:ascii="Arial" w:hAnsi="Arial" w:cs="Arial"/>
                <w:sz w:val="18"/>
                <w:lang w:eastAsia="zh-CN"/>
              </w:rPr>
              <w:t>1</w:t>
            </w:r>
          </w:p>
        </w:tc>
        <w:tc>
          <w:tcPr>
            <w:tcW w:w="1134" w:type="dxa"/>
          </w:tcPr>
          <w:p>
            <w:pPr>
              <w:keepNext/>
              <w:spacing w:after="0"/>
              <w:jc w:val="center"/>
              <w:rPr>
                <w:rFonts w:ascii="Arial" w:hAnsi="Arial" w:cs="Arial"/>
                <w:sz w:val="18"/>
              </w:rPr>
            </w:pPr>
            <w:r>
              <w:rPr>
                <w:rFonts w:ascii="Arial" w:hAnsi="Arial" w:cs="Arial"/>
                <w:sz w:val="18"/>
              </w:rPr>
              <w:t>2</w:t>
            </w:r>
          </w:p>
        </w:tc>
        <w:tc>
          <w:tcPr>
            <w:tcW w:w="1134" w:type="dxa"/>
          </w:tcPr>
          <w:p>
            <w:pPr>
              <w:keepNext/>
              <w:spacing w:after="0"/>
              <w:jc w:val="center"/>
              <w:rPr>
                <w:rFonts w:ascii="Arial" w:hAnsi="Arial" w:cs="Arial"/>
                <w:sz w:val="18"/>
                <w:lang w:eastAsia="zh-CN"/>
              </w:rPr>
            </w:pPr>
            <w:r>
              <w:rPr>
                <w:rFonts w:ascii="Arial" w:hAnsi="Arial" w:cs="Arial"/>
                <w:sz w:val="18"/>
                <w:lang w:eastAsia="zh-CN"/>
              </w:rPr>
              <w:t>1</w:t>
            </w:r>
          </w:p>
        </w:tc>
        <w:tc>
          <w:tcPr>
            <w:tcW w:w="993" w:type="dxa"/>
          </w:tcPr>
          <w:p>
            <w:pPr>
              <w:keepNext/>
              <w:spacing w:after="0"/>
              <w:jc w:val="center"/>
              <w:rPr>
                <w:rFonts w:ascii="Arial" w:hAnsi="Arial" w:cs="Arial"/>
                <w:sz w:val="18"/>
                <w:lang w:eastAsia="zh-CN"/>
              </w:rPr>
            </w:pPr>
            <w:r>
              <w:rPr>
                <w:rFonts w:ascii="Arial" w:hAnsi="Arial" w:cs="Arial"/>
                <w:sz w:val="18"/>
                <w:lang w:eastAsia="zh-CN"/>
              </w:rPr>
              <w:t>1</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rate (target)</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1134" w:type="dxa"/>
          </w:tcPr>
          <w:p>
            <w:pPr>
              <w:keepNext/>
              <w:spacing w:after="0"/>
              <w:jc w:val="center"/>
              <w:rPr>
                <w:rFonts w:ascii="Arial" w:hAnsi="Arial" w:cs="Arial"/>
                <w:sz w:val="18"/>
              </w:rPr>
            </w:pPr>
            <w:r>
              <w:rPr>
                <w:rFonts w:ascii="Arial" w:hAnsi="Arial" w:cs="Arial"/>
                <w:sz w:val="18"/>
              </w:rPr>
              <w:t>1/3</w:t>
            </w:r>
          </w:p>
        </w:tc>
        <w:tc>
          <w:tcPr>
            <w:tcW w:w="993" w:type="dxa"/>
          </w:tcPr>
          <w:p>
            <w:pPr>
              <w:keepNext/>
              <w:spacing w:after="0"/>
              <w:jc w:val="center"/>
              <w:rPr>
                <w:rFonts w:ascii="Arial" w:hAnsi="Arial" w:cs="Arial"/>
                <w:sz w:val="18"/>
              </w:rPr>
            </w:pPr>
            <w:r>
              <w:rPr>
                <w:rFonts w:ascii="Arial" w:hAnsi="Arial" w:cs="Arial"/>
                <w:sz w:val="18"/>
              </w:rPr>
              <w:t>1/3</w:t>
            </w:r>
          </w:p>
        </w:tc>
        <w:tc>
          <w:tcPr>
            <w:tcW w:w="992" w:type="dxa"/>
          </w:tcPr>
          <w:p>
            <w:pPr>
              <w:keepNext/>
              <w:spacing w:after="0"/>
              <w:jc w:val="center"/>
              <w:rPr>
                <w:rFonts w:ascii="Arial" w:hAnsi="Arial" w:cs="Arial"/>
                <w:sz w:val="18"/>
              </w:rPr>
            </w:pPr>
            <w:r>
              <w:rPr>
                <w:rFonts w:ascii="Arial" w:hAnsi="Arial" w:cs="Arial"/>
                <w:sz w:val="18"/>
              </w:rPr>
              <w:t>1/3</w:t>
            </w:r>
          </w:p>
        </w:tc>
        <w:tc>
          <w:tcPr>
            <w:tcW w:w="992" w:type="dxa"/>
          </w:tcPr>
          <w:p>
            <w:pPr>
              <w:keepNext/>
              <w:spacing w:after="0"/>
              <w:jc w:val="center"/>
              <w:rPr>
                <w:rFonts w:ascii="Arial" w:hAnsi="Arial" w:cs="Arial"/>
                <w:sz w:val="18"/>
              </w:rPr>
            </w:pPr>
            <w:r>
              <w:rPr>
                <w:rFonts w:ascii="Arial" w:hAnsi="Arial" w:cs="Arial"/>
                <w:sz w:val="18"/>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rate (effective)</w:t>
            </w:r>
          </w:p>
        </w:tc>
        <w:tc>
          <w:tcPr>
            <w:tcW w:w="1134" w:type="dxa"/>
          </w:tcPr>
          <w:p>
            <w:pPr>
              <w:keepNext/>
              <w:spacing w:after="0"/>
              <w:jc w:val="center"/>
              <w:rPr>
                <w:rFonts w:ascii="Arial" w:hAnsi="Arial" w:cs="Arial"/>
                <w:sz w:val="18"/>
              </w:rPr>
            </w:pPr>
            <w:r>
              <w:rPr>
                <w:rFonts w:ascii="Arial" w:hAnsi="Arial" w:cs="Arial"/>
                <w:sz w:val="18"/>
              </w:rPr>
              <w:t>0.29</w:t>
            </w:r>
          </w:p>
        </w:tc>
        <w:tc>
          <w:tcPr>
            <w:tcW w:w="1134" w:type="dxa"/>
          </w:tcPr>
          <w:p>
            <w:pPr>
              <w:keepNext/>
              <w:spacing w:after="0"/>
              <w:jc w:val="center"/>
              <w:rPr>
                <w:rFonts w:ascii="Arial" w:hAnsi="Arial" w:cs="Arial"/>
                <w:sz w:val="18"/>
                <w:lang w:eastAsia="zh-CN"/>
              </w:rPr>
            </w:pPr>
            <w:r>
              <w:rPr>
                <w:rFonts w:ascii="Arial" w:hAnsi="Arial" w:cs="Arial"/>
                <w:sz w:val="18"/>
              </w:rPr>
              <w:t>0.</w:t>
            </w:r>
            <w:r>
              <w:rPr>
                <w:rFonts w:ascii="Arial" w:hAnsi="Arial" w:cs="Arial"/>
                <w:sz w:val="18"/>
                <w:lang w:eastAsia="zh-CN"/>
              </w:rPr>
              <w:t>33</w:t>
            </w:r>
          </w:p>
        </w:tc>
        <w:tc>
          <w:tcPr>
            <w:tcW w:w="1134" w:type="dxa"/>
          </w:tcPr>
          <w:p>
            <w:pPr>
              <w:keepNext/>
              <w:spacing w:after="0"/>
              <w:jc w:val="center"/>
              <w:rPr>
                <w:rFonts w:ascii="Arial" w:hAnsi="Arial" w:cs="Arial"/>
                <w:sz w:val="18"/>
              </w:rPr>
            </w:pPr>
            <w:r>
              <w:rPr>
                <w:rFonts w:ascii="Arial" w:hAnsi="Arial" w:cs="Arial"/>
                <w:sz w:val="18"/>
              </w:rPr>
              <w:t>0.29</w:t>
            </w:r>
          </w:p>
        </w:tc>
        <w:tc>
          <w:tcPr>
            <w:tcW w:w="1134" w:type="dxa"/>
          </w:tcPr>
          <w:p>
            <w:pPr>
              <w:keepNext/>
              <w:spacing w:after="0"/>
              <w:jc w:val="center"/>
              <w:rPr>
                <w:rFonts w:ascii="Arial" w:hAnsi="Arial" w:cs="Arial"/>
                <w:sz w:val="18"/>
                <w:lang w:eastAsia="zh-CN"/>
              </w:rPr>
            </w:pPr>
            <w:r>
              <w:rPr>
                <w:rFonts w:ascii="Arial" w:hAnsi="Arial" w:cs="Arial"/>
                <w:sz w:val="18"/>
              </w:rPr>
              <w:t>0.</w:t>
            </w:r>
            <w:r>
              <w:rPr>
                <w:rFonts w:ascii="Arial" w:hAnsi="Arial" w:cs="Arial"/>
                <w:sz w:val="18"/>
                <w:lang w:eastAsia="zh-CN"/>
              </w:rPr>
              <w:t>33</w:t>
            </w:r>
          </w:p>
        </w:tc>
        <w:tc>
          <w:tcPr>
            <w:tcW w:w="993"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c>
          <w:tcPr>
            <w:tcW w:w="992"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c>
          <w:tcPr>
            <w:tcW w:w="992" w:type="dxa"/>
          </w:tcPr>
          <w:p>
            <w:pPr>
              <w:keepNext/>
              <w:spacing w:after="0"/>
              <w:jc w:val="center"/>
              <w:rPr>
                <w:rFonts w:ascii="Arial" w:hAnsi="Arial" w:cs="Arial"/>
                <w:sz w:val="18"/>
              </w:rPr>
            </w:pPr>
            <w:r>
              <w:rPr>
                <w:rFonts w:ascii="Arial" w:hAnsi="Arial" w:cs="Arial"/>
                <w:sz w:val="18"/>
              </w:rPr>
              <w:t>0.</w:t>
            </w:r>
            <w:r>
              <w:rPr>
                <w:rFonts w:ascii="Arial" w:hAnsi="Arial" w:cs="Arial"/>
                <w:sz w:val="18"/>
                <w:lang w:eastAsia="zh-CN"/>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szCs w:val="22"/>
              </w:rPr>
            </w:pPr>
            <w:r>
              <w:rPr>
                <w:rFonts w:ascii="Arial" w:hAnsi="Arial" w:cs="Arial"/>
                <w:sz w:val="18"/>
                <w:szCs w:val="22"/>
              </w:rPr>
              <w:t>Transport block CRC (bits)</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1134" w:type="dxa"/>
          </w:tcPr>
          <w:p>
            <w:pPr>
              <w:keepNext/>
              <w:spacing w:after="0"/>
              <w:jc w:val="center"/>
              <w:rPr>
                <w:rFonts w:ascii="Arial" w:hAnsi="Arial" w:cs="Arial"/>
                <w:sz w:val="18"/>
              </w:rPr>
            </w:pPr>
            <w:r>
              <w:rPr>
                <w:rFonts w:ascii="Arial" w:hAnsi="Arial" w:cs="Arial"/>
                <w:sz w:val="18"/>
              </w:rPr>
              <w:t>24</w:t>
            </w:r>
          </w:p>
        </w:tc>
        <w:tc>
          <w:tcPr>
            <w:tcW w:w="993" w:type="dxa"/>
          </w:tcPr>
          <w:p>
            <w:pPr>
              <w:keepNext/>
              <w:spacing w:after="0"/>
              <w:jc w:val="center"/>
              <w:rPr>
                <w:rFonts w:ascii="Arial" w:hAnsi="Arial" w:cs="Arial"/>
                <w:sz w:val="18"/>
              </w:rPr>
            </w:pPr>
            <w:r>
              <w:rPr>
                <w:rFonts w:ascii="Arial" w:hAnsi="Arial" w:cs="Arial"/>
                <w:sz w:val="18"/>
              </w:rPr>
              <w:t>24</w:t>
            </w:r>
          </w:p>
        </w:tc>
        <w:tc>
          <w:tcPr>
            <w:tcW w:w="992" w:type="dxa"/>
          </w:tcPr>
          <w:p>
            <w:pPr>
              <w:keepNext/>
              <w:spacing w:after="0"/>
              <w:jc w:val="center"/>
              <w:rPr>
                <w:rFonts w:ascii="Arial" w:hAnsi="Arial" w:cs="Arial"/>
                <w:sz w:val="18"/>
              </w:rPr>
            </w:pPr>
            <w:r>
              <w:rPr>
                <w:rFonts w:ascii="Arial" w:hAnsi="Arial" w:cs="Arial"/>
                <w:sz w:val="18"/>
              </w:rPr>
              <w:t>24</w:t>
            </w:r>
          </w:p>
        </w:tc>
        <w:tc>
          <w:tcPr>
            <w:tcW w:w="992" w:type="dxa"/>
          </w:tcPr>
          <w:p>
            <w:pPr>
              <w:keepNext/>
              <w:spacing w:after="0"/>
              <w:jc w:val="center"/>
              <w:rPr>
                <w:rFonts w:ascii="Arial" w:hAnsi="Arial" w:cs="Arial"/>
                <w:sz w:val="18"/>
              </w:rPr>
            </w:pPr>
            <w:r>
              <w:rPr>
                <w:rFonts w:ascii="Arial" w:hAnsi="Arial" w:cs="Arial"/>
                <w:sz w:val="18"/>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Code block CRC size (bits)</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1134" w:type="dxa"/>
          </w:tcPr>
          <w:p>
            <w:pPr>
              <w:keepNext/>
              <w:spacing w:after="0"/>
              <w:jc w:val="center"/>
              <w:rPr>
                <w:rFonts w:ascii="Arial" w:hAnsi="Arial" w:cs="Arial"/>
                <w:sz w:val="18"/>
              </w:rPr>
            </w:pPr>
            <w:r>
              <w:rPr>
                <w:rFonts w:ascii="Arial" w:hAnsi="Arial" w:cs="Arial"/>
                <w:sz w:val="18"/>
              </w:rPr>
              <w:t>0</w:t>
            </w:r>
          </w:p>
        </w:tc>
        <w:tc>
          <w:tcPr>
            <w:tcW w:w="993" w:type="dxa"/>
          </w:tcPr>
          <w:p>
            <w:pPr>
              <w:keepNext/>
              <w:spacing w:after="0"/>
              <w:jc w:val="center"/>
              <w:rPr>
                <w:rFonts w:ascii="Arial" w:hAnsi="Arial" w:cs="Arial"/>
                <w:sz w:val="18"/>
              </w:rPr>
            </w:pPr>
            <w:r>
              <w:rPr>
                <w:rFonts w:ascii="Arial" w:hAnsi="Arial" w:cs="Arial"/>
                <w:sz w:val="18"/>
              </w:rPr>
              <w:t>0</w:t>
            </w:r>
          </w:p>
        </w:tc>
        <w:tc>
          <w:tcPr>
            <w:tcW w:w="992" w:type="dxa"/>
          </w:tcPr>
          <w:p>
            <w:pPr>
              <w:keepNext/>
              <w:spacing w:after="0"/>
              <w:jc w:val="center"/>
              <w:rPr>
                <w:rFonts w:ascii="Arial" w:hAnsi="Arial" w:cs="Arial"/>
                <w:sz w:val="18"/>
              </w:rPr>
            </w:pPr>
            <w:r>
              <w:rPr>
                <w:rFonts w:ascii="Arial" w:hAnsi="Arial" w:cs="Arial"/>
                <w:sz w:val="18"/>
              </w:rPr>
              <w:t>0</w:t>
            </w:r>
          </w:p>
        </w:tc>
        <w:tc>
          <w:tcPr>
            <w:tcW w:w="992" w:type="dxa"/>
          </w:tcPr>
          <w:p>
            <w:pPr>
              <w:keepNext/>
              <w:spacing w:after="0"/>
              <w:jc w:val="center"/>
              <w:rPr>
                <w:rFonts w:ascii="Arial" w:hAnsi="Arial" w:cs="Arial"/>
                <w:sz w:val="18"/>
              </w:rPr>
            </w:pPr>
            <w:r>
              <w:rPr>
                <w:rFonts w:ascii="Arial" w:hAnsi="Arial" w:cs="Arial"/>
                <w:sz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Number of code blocks - C</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1134" w:type="dxa"/>
          </w:tcPr>
          <w:p>
            <w:pPr>
              <w:keepNext/>
              <w:spacing w:after="0"/>
              <w:jc w:val="center"/>
              <w:rPr>
                <w:rFonts w:ascii="Arial" w:hAnsi="Arial" w:cs="Arial"/>
                <w:sz w:val="18"/>
              </w:rPr>
            </w:pPr>
            <w:r>
              <w:rPr>
                <w:rFonts w:ascii="Arial" w:hAnsi="Arial" w:cs="Arial"/>
                <w:sz w:val="18"/>
              </w:rPr>
              <w:t>1</w:t>
            </w:r>
          </w:p>
        </w:tc>
        <w:tc>
          <w:tcPr>
            <w:tcW w:w="993"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c>
          <w:tcPr>
            <w:tcW w:w="992" w:type="dxa"/>
          </w:tcPr>
          <w:p>
            <w:pPr>
              <w:keepNext/>
              <w:spacing w:after="0"/>
              <w:jc w:val="center"/>
              <w:rPr>
                <w:rFonts w:ascii="Arial" w:hAnsi="Arial" w:cs="Arial"/>
                <w:sz w:val="18"/>
              </w:rPr>
            </w:pPr>
            <w:r>
              <w:rPr>
                <w:rFonts w:ascii="Arial" w:hAnsi="Arial" w:cs="Arial"/>
                <w:sz w:val="18"/>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Total number of bits per resource unit</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lang w:eastAsia="zh-CN"/>
              </w:rPr>
              <w:t>192</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lang w:eastAsia="zh-CN"/>
              </w:rPr>
              <w:t>192</w:t>
            </w:r>
          </w:p>
        </w:tc>
        <w:tc>
          <w:tcPr>
            <w:tcW w:w="993" w:type="dxa"/>
          </w:tcPr>
          <w:p>
            <w:pPr>
              <w:keepNext/>
              <w:spacing w:after="0"/>
              <w:jc w:val="center"/>
              <w:rPr>
                <w:rFonts w:ascii="Arial" w:hAnsi="Arial" w:cs="Arial"/>
                <w:sz w:val="18"/>
                <w:lang w:eastAsia="zh-CN"/>
              </w:rPr>
            </w:pPr>
            <w:r>
              <w:rPr>
                <w:rFonts w:ascii="Arial" w:hAnsi="Arial" w:cs="Arial"/>
                <w:sz w:val="18"/>
                <w:lang w:eastAsia="zh-CN"/>
              </w:rPr>
              <w:t>288</w:t>
            </w:r>
          </w:p>
        </w:tc>
        <w:tc>
          <w:tcPr>
            <w:tcW w:w="992" w:type="dxa"/>
          </w:tcPr>
          <w:p>
            <w:pPr>
              <w:keepNext/>
              <w:spacing w:after="0"/>
              <w:jc w:val="center"/>
              <w:rPr>
                <w:rFonts w:ascii="Arial" w:hAnsi="Arial" w:cs="Arial"/>
                <w:sz w:val="18"/>
                <w:lang w:eastAsia="zh-CN"/>
              </w:rPr>
            </w:pPr>
            <w:r>
              <w:rPr>
                <w:rFonts w:ascii="Arial" w:hAnsi="Arial" w:cs="Arial"/>
                <w:sz w:val="18"/>
                <w:lang w:eastAsia="zh-CN"/>
              </w:rPr>
              <w:t>288</w:t>
            </w:r>
          </w:p>
        </w:tc>
        <w:tc>
          <w:tcPr>
            <w:tcW w:w="992" w:type="dxa"/>
          </w:tcPr>
          <w:p>
            <w:pPr>
              <w:keepNext/>
              <w:spacing w:after="0"/>
              <w:jc w:val="center"/>
              <w:rPr>
                <w:rFonts w:ascii="Arial" w:hAnsi="Arial" w:cs="Arial"/>
                <w:sz w:val="18"/>
                <w:lang w:eastAsia="zh-CN"/>
              </w:rPr>
            </w:pPr>
            <w:r>
              <w:rPr>
                <w:rFonts w:ascii="Arial" w:hAnsi="Arial" w:cs="Arial"/>
                <w:sz w:val="18"/>
                <w:lang w:eastAsia="zh-CN"/>
              </w:rPr>
              <w:t>288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Total symbols per resource unit</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rPr>
              <w:t>96</w:t>
            </w:r>
          </w:p>
        </w:tc>
        <w:tc>
          <w:tcPr>
            <w:tcW w:w="1134" w:type="dxa"/>
          </w:tcPr>
          <w:p>
            <w:pPr>
              <w:keepNext/>
              <w:spacing w:after="0"/>
              <w:jc w:val="center"/>
              <w:rPr>
                <w:rFonts w:ascii="Arial" w:hAnsi="Arial" w:cs="Arial"/>
                <w:sz w:val="18"/>
              </w:rPr>
            </w:pPr>
            <w:r>
              <w:rPr>
                <w:rFonts w:ascii="Arial" w:hAnsi="Arial" w:cs="Arial"/>
                <w:sz w:val="18"/>
              </w:rPr>
              <w:t>96</w:t>
            </w:r>
          </w:p>
        </w:tc>
        <w:tc>
          <w:tcPr>
            <w:tcW w:w="1134" w:type="dxa"/>
          </w:tcPr>
          <w:p>
            <w:pPr>
              <w:keepNext/>
              <w:spacing w:after="0"/>
              <w:jc w:val="center"/>
              <w:rPr>
                <w:rFonts w:ascii="Arial" w:hAnsi="Arial" w:cs="Arial"/>
                <w:sz w:val="18"/>
                <w:lang w:eastAsia="zh-CN"/>
              </w:rPr>
            </w:pPr>
            <w:r>
              <w:rPr>
                <w:rFonts w:ascii="Arial" w:hAnsi="Arial" w:cs="Arial"/>
                <w:sz w:val="18"/>
              </w:rPr>
              <w:t>96</w:t>
            </w:r>
          </w:p>
        </w:tc>
        <w:tc>
          <w:tcPr>
            <w:tcW w:w="993" w:type="dxa"/>
          </w:tcPr>
          <w:p>
            <w:pPr>
              <w:keepNext/>
              <w:spacing w:after="0"/>
              <w:jc w:val="center"/>
              <w:rPr>
                <w:rFonts w:ascii="Arial" w:hAnsi="Arial" w:cs="Arial"/>
                <w:sz w:val="18"/>
                <w:lang w:eastAsia="zh-CN"/>
              </w:rPr>
            </w:pPr>
            <w:r>
              <w:rPr>
                <w:rFonts w:ascii="Arial" w:hAnsi="Arial" w:cs="Arial"/>
                <w:sz w:val="18"/>
                <w:lang w:eastAsia="zh-CN"/>
              </w:rPr>
              <w:t>144</w:t>
            </w:r>
          </w:p>
        </w:tc>
        <w:tc>
          <w:tcPr>
            <w:tcW w:w="992" w:type="dxa"/>
          </w:tcPr>
          <w:p>
            <w:pPr>
              <w:keepNext/>
              <w:spacing w:after="0"/>
              <w:jc w:val="center"/>
              <w:rPr>
                <w:rFonts w:ascii="Arial" w:hAnsi="Arial" w:cs="Arial"/>
                <w:sz w:val="18"/>
                <w:lang w:eastAsia="zh-CN"/>
              </w:rPr>
            </w:pPr>
            <w:r>
              <w:rPr>
                <w:rFonts w:ascii="Arial" w:hAnsi="Arial" w:cs="Arial"/>
                <w:sz w:val="18"/>
                <w:lang w:eastAsia="zh-CN"/>
              </w:rPr>
              <w:t>144</w:t>
            </w:r>
          </w:p>
        </w:tc>
        <w:tc>
          <w:tcPr>
            <w:tcW w:w="992" w:type="dxa"/>
          </w:tcPr>
          <w:p>
            <w:pPr>
              <w:keepNext/>
              <w:spacing w:after="0"/>
              <w:jc w:val="center"/>
              <w:rPr>
                <w:rFonts w:ascii="Arial" w:hAnsi="Arial" w:cs="Arial"/>
                <w:sz w:val="18"/>
                <w:lang w:eastAsia="zh-CN"/>
              </w:rPr>
            </w:pPr>
            <w:r>
              <w:rPr>
                <w:rFonts w:ascii="Arial" w:hAnsi="Arial" w:cs="Arial"/>
                <w:sz w:val="18"/>
                <w:lang w:eastAsia="zh-CN"/>
              </w:rPr>
              <w:t>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10" w:type="dxa"/>
          </w:tcPr>
          <w:p>
            <w:pPr>
              <w:keepNext/>
              <w:spacing w:after="0"/>
              <w:rPr>
                <w:rFonts w:ascii="Arial" w:hAnsi="Arial" w:cs="Arial"/>
                <w:sz w:val="18"/>
              </w:rPr>
            </w:pPr>
            <w:r>
              <w:rPr>
                <w:rFonts w:ascii="Arial" w:hAnsi="Arial" w:cs="Arial"/>
                <w:sz w:val="18"/>
              </w:rPr>
              <w:t>Tx time (ms)</w:t>
            </w:r>
          </w:p>
        </w:tc>
        <w:tc>
          <w:tcPr>
            <w:tcW w:w="1134" w:type="dxa"/>
          </w:tcPr>
          <w:p>
            <w:pPr>
              <w:keepNext/>
              <w:spacing w:after="0"/>
              <w:jc w:val="center"/>
              <w:rPr>
                <w:rFonts w:ascii="Arial" w:hAnsi="Arial" w:cs="Arial"/>
                <w:sz w:val="18"/>
              </w:rPr>
            </w:pPr>
            <w:r>
              <w:rPr>
                <w:rFonts w:ascii="Arial" w:hAnsi="Arial" w:cs="Arial"/>
                <w:sz w:val="18"/>
              </w:rPr>
              <w:t>64</w:t>
            </w:r>
          </w:p>
        </w:tc>
        <w:tc>
          <w:tcPr>
            <w:tcW w:w="1134" w:type="dxa"/>
          </w:tcPr>
          <w:p>
            <w:pPr>
              <w:keepNext/>
              <w:spacing w:after="0"/>
              <w:jc w:val="center"/>
              <w:rPr>
                <w:rFonts w:ascii="Arial" w:hAnsi="Arial" w:cs="Arial"/>
                <w:sz w:val="18"/>
                <w:lang w:eastAsia="zh-CN"/>
              </w:rPr>
            </w:pPr>
            <w:r>
              <w:rPr>
                <w:rFonts w:ascii="Arial" w:hAnsi="Arial" w:cs="Arial"/>
                <w:sz w:val="18"/>
                <w:lang w:eastAsia="zh-CN"/>
              </w:rPr>
              <w:t>32</w:t>
            </w:r>
          </w:p>
        </w:tc>
        <w:tc>
          <w:tcPr>
            <w:tcW w:w="1134" w:type="dxa"/>
          </w:tcPr>
          <w:p>
            <w:pPr>
              <w:keepNext/>
              <w:spacing w:after="0"/>
              <w:jc w:val="center"/>
              <w:rPr>
                <w:rFonts w:ascii="Arial" w:hAnsi="Arial" w:cs="Arial"/>
                <w:sz w:val="18"/>
              </w:rPr>
            </w:pPr>
            <w:r>
              <w:rPr>
                <w:rFonts w:ascii="Arial" w:hAnsi="Arial" w:cs="Arial"/>
                <w:sz w:val="18"/>
              </w:rPr>
              <w:t>16</w:t>
            </w:r>
          </w:p>
        </w:tc>
        <w:tc>
          <w:tcPr>
            <w:tcW w:w="1134" w:type="dxa"/>
          </w:tcPr>
          <w:p>
            <w:pPr>
              <w:keepNext/>
              <w:spacing w:after="0"/>
              <w:jc w:val="center"/>
              <w:rPr>
                <w:rFonts w:ascii="Arial" w:hAnsi="Arial" w:cs="Arial"/>
                <w:sz w:val="18"/>
                <w:lang w:eastAsia="zh-CN"/>
              </w:rPr>
            </w:pPr>
            <w:r>
              <w:rPr>
                <w:rFonts w:ascii="Arial" w:hAnsi="Arial" w:cs="Arial"/>
                <w:sz w:val="18"/>
                <w:lang w:eastAsia="zh-CN"/>
              </w:rPr>
              <w:t>8</w:t>
            </w:r>
          </w:p>
        </w:tc>
        <w:tc>
          <w:tcPr>
            <w:tcW w:w="993" w:type="dxa"/>
          </w:tcPr>
          <w:p>
            <w:pPr>
              <w:keepNext/>
              <w:spacing w:after="0"/>
              <w:jc w:val="center"/>
              <w:rPr>
                <w:rFonts w:ascii="Arial" w:hAnsi="Arial" w:cs="Arial"/>
                <w:sz w:val="18"/>
                <w:lang w:eastAsia="zh-CN"/>
              </w:rPr>
            </w:pPr>
            <w:r>
              <w:rPr>
                <w:rFonts w:ascii="Arial" w:hAnsi="Arial" w:cs="Arial"/>
                <w:sz w:val="18"/>
                <w:lang w:eastAsia="zh-CN"/>
              </w:rPr>
              <w:t>4</w:t>
            </w:r>
          </w:p>
        </w:tc>
        <w:tc>
          <w:tcPr>
            <w:tcW w:w="992" w:type="dxa"/>
          </w:tcPr>
          <w:p>
            <w:pPr>
              <w:keepNext/>
              <w:spacing w:after="0"/>
              <w:jc w:val="center"/>
              <w:rPr>
                <w:rFonts w:ascii="Arial" w:hAnsi="Arial" w:cs="Arial"/>
                <w:sz w:val="18"/>
                <w:lang w:eastAsia="zh-CN"/>
              </w:rPr>
            </w:pPr>
            <w:r>
              <w:rPr>
                <w:rFonts w:ascii="Arial" w:hAnsi="Arial" w:cs="Arial"/>
                <w:sz w:val="18"/>
                <w:lang w:eastAsia="zh-CN"/>
              </w:rPr>
              <w:t>2</w:t>
            </w:r>
          </w:p>
        </w:tc>
        <w:tc>
          <w:tcPr>
            <w:tcW w:w="992" w:type="dxa"/>
          </w:tcPr>
          <w:p>
            <w:pPr>
              <w:keepNext/>
              <w:spacing w:after="0"/>
              <w:jc w:val="center"/>
              <w:rPr>
                <w:rFonts w:ascii="Arial" w:hAnsi="Arial" w:cs="Arial"/>
                <w:sz w:val="18"/>
                <w:lang w:eastAsia="zh-CN"/>
              </w:rPr>
            </w:pPr>
            <w:r>
              <w:rPr>
                <w:rFonts w:ascii="Arial" w:hAnsi="Arial" w:cs="Arial"/>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923" w:type="dxa"/>
            <w:gridSpan w:val="8"/>
          </w:tcPr>
          <w:p>
            <w:pPr>
              <w:pStyle w:val="118"/>
            </w:pPr>
            <w:r>
              <w:t>NOTE 1:</w:t>
            </w:r>
            <w:r>
              <w:tab/>
            </w:r>
            <w:r>
              <w:t>If more than one Code Block is present, an additional CRC sequence of L = 24 Bits is attached to each Code Block (otherwise L = 0 Bit).</w:t>
            </w:r>
          </w:p>
          <w:p>
            <w:pPr>
              <w:pStyle w:val="118"/>
            </w:pPr>
            <w:r>
              <w:t>NOTE 2:</w:t>
            </w:r>
            <w:r>
              <w:tab/>
            </w:r>
            <w:r>
              <w:rPr>
                <w:lang w:eastAsia="zh-CN"/>
              </w:rPr>
              <w:t xml:space="preserve">Parameters related to NPUSCH format 1 scheduling are defined in </w:t>
            </w:r>
            <w:r>
              <w:t>Table A.</w:t>
            </w:r>
            <w:r>
              <w:rPr>
                <w:lang w:eastAsia="zh-CN"/>
              </w:rPr>
              <w:t>2</w:t>
            </w:r>
            <w:r>
              <w:t>.</w:t>
            </w:r>
            <w:r>
              <w:rPr>
                <w:lang w:eastAsia="zh-CN"/>
              </w:rPr>
              <w:t>4</w:t>
            </w:r>
            <w:r>
              <w:t>-</w:t>
            </w:r>
            <w:r>
              <w:rPr>
                <w:lang w:eastAsia="zh-CN"/>
              </w:rPr>
              <w:t>2</w:t>
            </w:r>
            <w:r>
              <w:t>.</w:t>
            </w:r>
          </w:p>
          <w:p>
            <w:pPr>
              <w:pStyle w:val="118"/>
            </w:pPr>
            <w:r>
              <w:t>NOTE 3:</w:t>
            </w:r>
            <w:r>
              <w:tab/>
            </w:r>
            <w:r>
              <w:rPr>
                <w:lang w:eastAsia="zh-CN"/>
              </w:rPr>
              <w:t>NPDCCH is not transmitted in the subframes used for transmission of SI messages.</w:t>
            </w:r>
          </w:p>
          <w:p>
            <w:pPr>
              <w:pStyle w:val="118"/>
            </w:pPr>
            <w:r>
              <w:t>NOTE 4:</w:t>
            </w:r>
            <w:r>
              <w:tab/>
            </w:r>
            <w: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pPr>
              <w:pStyle w:val="118"/>
              <w:rPr>
                <w:lang w:eastAsia="zh-CN"/>
              </w:rPr>
            </w:pPr>
            <w:r>
              <w:rPr>
                <w:lang w:val="en-US" w:eastAsia="zh-CN"/>
              </w:rPr>
              <w:t>NOTE 5:</w:t>
            </w:r>
            <w:r>
              <w:tab/>
            </w:r>
            <w:r>
              <w:rPr>
                <w:lang w:val="en-US" w:eastAsia="zh-CN"/>
              </w:rPr>
              <w:t>Number of repetition N</w:t>
            </w:r>
            <w:r>
              <w:rPr>
                <w:vertAlign w:val="subscript"/>
                <w:lang w:val="en-US" w:eastAsia="zh-CN"/>
              </w:rPr>
              <w:t>Rep</w:t>
            </w:r>
            <w:r>
              <w:rPr>
                <w:lang w:val="en-US" w:eastAsia="zh-CN"/>
              </w:rPr>
              <w:t xml:space="preserve"> as defined in table 16.5.1.1-3 in </w:t>
            </w:r>
            <w:r>
              <w:rPr>
                <w:rFonts w:hint="eastAsia"/>
                <w:lang w:val="en-US" w:eastAsia="zh-CN"/>
              </w:rPr>
              <w:t>TS 36.213 [20]</w:t>
            </w:r>
            <w:r>
              <w:rPr>
                <w:lang w:val="en-US" w:eastAsia="zh-CN"/>
              </w:rPr>
              <w:t>.</w:t>
            </w:r>
          </w:p>
        </w:tc>
      </w:tr>
    </w:tbl>
    <w:p/>
    <w:p>
      <w:pPr>
        <w:rPr>
          <w:lang w:eastAsia="ja-JP"/>
        </w:rPr>
      </w:pPr>
      <w:r>
        <w:rPr>
          <w:lang w:eastAsia="zh-CN"/>
        </w:rPr>
        <w:t>Following NOTEs are included in TS 36.521-1 as an addition to TS 36.101, to define examples of UL scheduling patterns based on Table A.2.4-1 and Table A.2.4-2.</w:t>
      </w:r>
      <w:r>
        <w:rPr>
          <w:lang w:eastAsia="ja-JP"/>
        </w:rPr>
        <w:t xml:space="preserve"> Overall period of UL scheduling pattern corresponds with Si-periodicity and it consists of two different patterns</w:t>
      </w:r>
      <w:r>
        <w:t xml:space="preserve"> with dependencies on SI transmission</w:t>
      </w:r>
      <w:r>
        <w:rPr>
          <w:lang w:eastAsia="ja-JP"/>
        </w:rPr>
        <w:t>.</w:t>
      </w:r>
    </w:p>
    <w:p>
      <w:pPr>
        <w:pStyle w:val="111"/>
      </w:pPr>
      <w:r>
        <w:t>-</w:t>
      </w:r>
      <w:r>
        <w:tab/>
      </w:r>
      <w:r>
        <w:t>One pattern applies for period containing SI messages transmission. This pattern has a period with same duration as SI windows length (time period where SI messages are transmitted).</w:t>
      </w:r>
    </w:p>
    <w:p>
      <w:pPr>
        <w:pStyle w:val="111"/>
      </w:pPr>
      <w:r>
        <w:t>-</w:t>
      </w:r>
      <w:r>
        <w:tab/>
      </w:r>
      <w:r>
        <w:t>Another pattern for period where there is no transmission of SI messages. This pattern is repeated during SI periodicity.</w:t>
      </w:r>
    </w:p>
    <w:p>
      <w:pPr>
        <w:pStyle w:val="113"/>
        <w:rPr>
          <w:lang w:eastAsia="ja-JP"/>
        </w:rPr>
      </w:pPr>
      <w:bookmarkStart w:id="1024" w:name="_MON_1562592357"/>
      <w:bookmarkEnd w:id="1024"/>
      <w:r>
        <w:object>
          <v:shape id="_x0000_i1097" o:spt="75" type="#_x0000_t75" style="height:93.8pt;width:452.75pt;" o:ole="t" filled="f" o:preferrelative="t" stroked="f" coordsize="21600,21600">
            <v:path/>
            <v:fill on="f" focussize="0,0"/>
            <v:stroke on="f" joinstyle="miter"/>
            <v:imagedata r:id="rId138" o:title=""/>
            <o:lock v:ext="edit" aspectratio="t"/>
            <w10:wrap type="none"/>
            <w10:anchorlock/>
          </v:shape>
          <o:OLEObject Type="Embed" ProgID="Word.Document.8" ShapeID="_x0000_i1097" DrawAspect="Content" ObjectID="_1468075797" r:id="rId137">
            <o:LockedField>false</o:LockedField>
          </o:OLEObject>
        </w:object>
      </w:r>
    </w:p>
    <w:p>
      <w:pPr>
        <w:pStyle w:val="120"/>
      </w:pPr>
      <w:r>
        <w:t>Figure A.</w:t>
      </w:r>
      <w:r>
        <w:rPr>
          <w:lang w:eastAsia="ja-JP"/>
        </w:rPr>
        <w:t>2.4-1</w:t>
      </w:r>
      <w:r>
        <w:t>: NPDCCH scheduling based on SI transmission</w:t>
      </w:r>
    </w:p>
    <w:p>
      <w:pPr>
        <w:rPr>
          <w:lang w:eastAsia="zh-CN"/>
        </w:rPr>
      </w:pPr>
    </w:p>
    <w:p>
      <w:pPr>
        <w:pStyle w:val="100"/>
      </w:pPr>
      <w:r>
        <w:t>NOTE 1: For 3.75kHz, 1 tone, and π/2 BPSK modulation. NPDCCH transmission is scheduled at the 18th subframe (starting from the 0th subframe) every 80ms and its corresponding NPUSCH format 1 is scheduled 9 subframes after NPDCCH transmission. NPUSCH format 1 transmission has a duration of 64 consecutive ms.</w:t>
      </w:r>
      <w:r>
        <w:rPr>
          <w:lang w:eastAsia="ja-JP"/>
        </w:rPr>
        <w:t xml:space="preserve"> This pattern applies for both periods containing and not containing SI messages transmission.</w:t>
      </w:r>
    </w:p>
    <w:p>
      <w:pPr>
        <w:pStyle w:val="100"/>
      </w:pPr>
      <w:r>
        <w:t>NOTE 2: For 3.75kHz, 1 tone, and π/4 QPSK modulation. NPDCCH transmissions are scheduled at the 18th, 66th and 114th subframe (starting from the 0th subframe) every 160ms for periods containing SI messages transmission and at the 2nd, 51th, 98th, 146th and 194th subframe (starting from the 0th subframe) every 240ms for periods where there is no transmission of SI messages. The corresponding NPUSCH format 1 are scheduled 9 subframes after each NPDCCH transmission. NPUSCH format 1 transmission has a duration of 32 consecutive ms.</w:t>
      </w:r>
    </w:p>
    <w:p>
      <w:pPr>
        <w:pStyle w:val="100"/>
      </w:pPr>
      <w:r>
        <w:t>NOTE 3: For 15kHz, 1 tone, and π/2 BPSK modulation. NPDCCH transmissions are scheduled at the 18th, 51th, 98th and 131th subframe (starting from the 0th subframe) every 160ms for periods containing SI messages transmission and at the 2nd, 34th, 66th, 98th and 131th subframe (starting from the 0th subframe) every 160ms for periods where there is no transmission of SI messages. The corresponding NPUSCH format 1 are scheduled 9 subframes after each NPDCCH transmission. NPUSCH format 1 transmission has a duration of 16 consecutive ms.</w:t>
      </w:r>
    </w:p>
    <w:p>
      <w:pPr>
        <w:pStyle w:val="100"/>
      </w:pPr>
      <w:r>
        <w:t>NOTE 4: For 15kHz, 1 tone, and π/4 QPSK modulation. NPDCCH transmissions are scheduled at the 18th, 42th, 66th, 98th, 122th and 146th subframe (starting from the 0th subframe) every 160ms for periods containing SI messages transmission and at the 11th, 34th, 58th, 82th and 106th subframe (starting from the 0th subframe) every 120ms for periods where there is no transmission of SI messages. The corresponding NPUSCH format 1 are scheduled 9 subframes after each NPDCCH transmission. NPUSCH format 1 transmission has a duration of 8 consecutive ms.</w:t>
      </w:r>
    </w:p>
    <w:p>
      <w:pPr>
        <w:pStyle w:val="100"/>
      </w:pPr>
      <w:r>
        <w:t>NOTE 5: For 15kHz, 3 tones, and QPSK modulation. NPDCCH transmissions are scheduled at the 18th, 34th, 51th, 74th, 98th, 114th, 131th and 154th subframe (starting from the 0th subframe) every 160ms for periods containing SI messages transmission and at the 11th and 34th subframe (starting from the 0th subframe) every 40ms for periods where there is no transmission of SI messages. The corresponding NPUSCH format 1 are scheduled 9 subframes after each NPDCCH transmission. NPUSCH format 1 transmission has a duration of 4 consecutive ms.</w:t>
      </w:r>
    </w:p>
    <w:p>
      <w:pPr>
        <w:pStyle w:val="100"/>
      </w:pPr>
      <w:r>
        <w:t>NOTE 6: For 15kHz, 6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2 consecutive ms.</w:t>
      </w:r>
    </w:p>
    <w:p>
      <w:pPr>
        <w:pStyle w:val="100"/>
      </w:pPr>
      <w:r>
        <w:t>NOTE 7: For 15kHz, 12 tones, and QPSK modulation. NPDCCH transmissions are scheduled at the 18th, 34th, 51th, 66th, 98th, 114th, 131th and 146th subframe (starting from the 0th subframe) every 160ms for periods containing SI messages transmission and at the 2nd, 18th, 34th, 51th and 66th subframe (starting from the 0th subframe) every 80ms for periods where there is no transmission of SI messages. The corresponding NPUSCH format 1 are scheduled 9 subframes after each NPDCCH transmission. NPUSCH format 1 transmission has a duration of 1 ms.</w:t>
      </w:r>
    </w:p>
    <w:p>
      <w:pPr>
        <w:pStyle w:val="113"/>
        <w:rPr>
          <w:lang w:eastAsia="zh-CN"/>
        </w:rPr>
      </w:pPr>
      <w:r>
        <w:t>Table A.</w:t>
      </w:r>
      <w:r>
        <w:rPr>
          <w:lang w:eastAsia="zh-CN"/>
        </w:rPr>
        <w:t>2</w:t>
      </w:r>
      <w:r>
        <w:t>.</w:t>
      </w:r>
      <w:r>
        <w:rPr>
          <w:lang w:eastAsia="zh-CN"/>
        </w:rPr>
        <w:t>4</w:t>
      </w:r>
      <w:r>
        <w:t>-</w:t>
      </w:r>
      <w:r>
        <w:rPr>
          <w:lang w:eastAsia="zh-CN"/>
        </w:rPr>
        <w:t>2</w:t>
      </w:r>
      <w:r>
        <w:t xml:space="preserve">: </w:t>
      </w:r>
      <w:r>
        <w:rPr>
          <w:lang w:eastAsia="zh-CN"/>
        </w:rPr>
        <w:t xml:space="preserve">NPDCCH configuration for NPUSCH format 1 scheduling </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Parameter</w:t>
            </w:r>
          </w:p>
        </w:tc>
        <w:tc>
          <w:tcPr>
            <w:tcW w:w="1698"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Unit</w:t>
            </w:r>
          </w:p>
        </w:tc>
        <w:tc>
          <w:tcPr>
            <w:tcW w:w="2701" w:type="dxa"/>
            <w:tcBorders>
              <w:top w:val="single" w:color="auto" w:sz="4" w:space="0"/>
              <w:left w:val="single" w:color="auto" w:sz="4" w:space="0"/>
              <w:bottom w:val="single" w:color="auto" w:sz="4" w:space="0"/>
              <w:right w:val="single" w:color="auto" w:sz="4" w:space="0"/>
            </w:tcBorders>
          </w:tcPr>
          <w:p>
            <w:pPr>
              <w:pStyle w:val="104"/>
              <w:rPr>
                <w:kern w:val="2"/>
                <w:lang w:eastAsia="zh-CN"/>
              </w:rPr>
            </w:pPr>
            <w:r>
              <w:rPr>
                <w:kern w:val="2"/>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r>
              <w:rPr>
                <w:kern w:val="2"/>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DCI format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bCs/>
                <w:kern w:val="2"/>
              </w:rPr>
              <w:t>NPDCCH format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kern w:val="2"/>
              </w:rPr>
            </w:pPr>
            <w:r>
              <w:t>Scheduling delay (</w:t>
            </w:r>
            <w:r>
              <w:rPr>
                <w:b/>
                <w:position w:val="-14"/>
              </w:rPr>
              <w:drawing>
                <wp:inline distT="0" distB="0" distL="114300" distR="114300">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06"/>
                          <a:stretch>
                            <a:fillRect/>
                          </a:stretch>
                        </pic:blipFill>
                        <pic:spPr>
                          <a:xfrm>
                            <a:off x="0" y="0"/>
                            <a:ext cx="323850" cy="241300"/>
                          </a:xfrm>
                          <a:prstGeom prst="rect">
                            <a:avLst/>
                          </a:prstGeom>
                          <a:noFill/>
                          <a:ln>
                            <a:noFill/>
                          </a:ln>
                        </pic:spPr>
                      </pic:pic>
                    </a:graphicData>
                  </a:graphic>
                </wp:inline>
              </w:drawing>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pPr>
            <w:r>
              <w:t>DCI subframe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b/>
              </w:rPr>
            </w:pPr>
            <w:r>
              <w:rPr>
                <w:b/>
                <w:position w:val="-12"/>
              </w:rPr>
              <w:drawing>
                <wp:inline distT="0" distB="0" distL="114300" distR="114300">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15"/>
                          <a:stretch>
                            <a:fillRect/>
                          </a:stretch>
                        </pic:blipFill>
                        <pic:spPr>
                          <a:xfrm>
                            <a:off x="0" y="0"/>
                            <a:ext cx="304800" cy="241300"/>
                          </a:xfrm>
                          <a:prstGeom prst="rect">
                            <a:avLst/>
                          </a:prstGeom>
                          <a:noFill/>
                          <a:ln>
                            <a:noFill/>
                          </a:ln>
                        </pic:spPr>
                      </pic:pic>
                    </a:graphicData>
                  </a:graphic>
                </wp:inline>
              </w:drawing>
            </w:r>
          </w:p>
          <w:p>
            <w:pPr>
              <w:pStyle w:val="105"/>
            </w:pPr>
            <w:r>
              <w:t>(</w:t>
            </w:r>
            <w:r>
              <w:rPr>
                <w:i/>
              </w:rPr>
              <w:t>npdcch-NumRepetitions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kern w:val="2"/>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pPr>
            <w:r>
              <w:t>G</w:t>
            </w:r>
          </w:p>
          <w:p>
            <w:pPr>
              <w:pStyle w:val="105"/>
            </w:pPr>
            <w:r>
              <w:t>(</w:t>
            </w:r>
            <w:r>
              <w:rPr>
                <w:i/>
              </w:rPr>
              <w:t>NPDCCH-startSF-USS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pStyle w:val="105"/>
              <w:rPr>
                <w:rFonts w:cs="v5.0.0"/>
              </w:rPr>
            </w:pPr>
            <w:r>
              <w:rPr>
                <w:position w:val="-14"/>
              </w:rPr>
              <w:drawing>
                <wp:inline distT="0" distB="0" distL="114300" distR="114300">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10"/>
                          <a:stretch>
                            <a:fillRect/>
                          </a:stretch>
                        </pic:blipFill>
                        <pic:spPr>
                          <a:xfrm>
                            <a:off x="0" y="0"/>
                            <a:ext cx="317500" cy="241300"/>
                          </a:xfrm>
                          <a:prstGeom prst="rect">
                            <a:avLst/>
                          </a:prstGeom>
                          <a:noFill/>
                          <a:ln>
                            <a:noFill/>
                          </a:ln>
                        </pic:spPr>
                      </pic:pic>
                    </a:graphicData>
                  </a:graphic>
                </wp:inline>
              </w:drawing>
            </w:r>
          </w:p>
          <w:p>
            <w:pPr>
              <w:pStyle w:val="105"/>
            </w:pPr>
            <w:r>
              <w:t>(</w:t>
            </w:r>
            <w:r>
              <w:rPr>
                <w:i/>
              </w:rPr>
              <w:t>npdcch-Offset-USS</w:t>
            </w:r>
            <w:r>
              <w:t>)</w:t>
            </w:r>
          </w:p>
        </w:tc>
        <w:tc>
          <w:tcPr>
            <w:tcW w:w="1698" w:type="dxa"/>
            <w:tcBorders>
              <w:top w:val="single" w:color="auto" w:sz="4" w:space="0"/>
              <w:left w:val="single" w:color="auto" w:sz="4" w:space="0"/>
              <w:bottom w:val="single" w:color="auto" w:sz="4" w:space="0"/>
              <w:right w:val="single" w:color="auto" w:sz="4" w:space="0"/>
            </w:tcBorders>
            <w:vAlign w:val="center"/>
          </w:tcPr>
          <w:p>
            <w:pPr>
              <w:pStyle w:val="105"/>
              <w:rPr>
                <w:rFonts w:eastAsia="?? ??"/>
                <w:kern w:val="2"/>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pStyle w:val="105"/>
              <w:rPr>
                <w:kern w:val="2"/>
              </w:rPr>
            </w:pPr>
            <w:r>
              <w:rPr>
                <w:kern w:val="2"/>
              </w:rPr>
              <w:t>1/4</w:t>
            </w:r>
          </w:p>
        </w:tc>
      </w:tr>
    </w:tbl>
    <w:p/>
    <w:p>
      <w:pPr>
        <w:pStyle w:val="3"/>
      </w:pPr>
      <w:bookmarkStart w:id="1025" w:name="_Toc232582113"/>
      <w:bookmarkStart w:id="1026" w:name="_Toc29543"/>
      <w:r>
        <w:t>A.3</w:t>
      </w:r>
      <w:r>
        <w:tab/>
      </w:r>
      <w:r>
        <w:t>DL reference measurement channels</w:t>
      </w:r>
      <w:bookmarkEnd w:id="1025"/>
      <w:bookmarkEnd w:id="1026"/>
    </w:p>
    <w:p>
      <w:pPr>
        <w:pStyle w:val="4"/>
      </w:pPr>
      <w:bookmarkStart w:id="1027" w:name="_Toc20102"/>
      <w:bookmarkStart w:id="1028" w:name="_Toc232582114"/>
      <w:r>
        <w:t>A.3.1</w:t>
      </w:r>
      <w:r>
        <w:tab/>
      </w:r>
      <w:r>
        <w:t>General</w:t>
      </w:r>
      <w:bookmarkEnd w:id="1027"/>
      <w:bookmarkEnd w:id="1028"/>
    </w:p>
    <w:p>
      <w:r>
        <w:t>The number of available channel bits varies across the sub-frames due to PBCH and PSS/SSS overhead. The payload size per sub-frame is varied in order to keep the code rate constant throughout a frame.</w:t>
      </w:r>
    </w:p>
    <w:p>
      <w:r>
        <w:t>No user data is scheduled on subframes #5 in order to facilitate the transmission of system information blocks (SIB).</w:t>
      </w:r>
    </w:p>
    <w:p>
      <w:pPr>
        <w:rPr>
          <w:rFonts w:eastAsia="宋体"/>
          <w:kern w:val="2"/>
          <w:vertAlign w:val="subscript"/>
        </w:rPr>
      </w:pPr>
      <w:r>
        <w:t xml:space="preserve">The algorithm for determining the payload size </w:t>
      </w:r>
      <w:r>
        <w:rPr>
          <w:i/>
          <w:iCs/>
        </w:rPr>
        <w:t>A</w:t>
      </w:r>
      <w:r>
        <w:t xml:space="preserve"> is as follows; given a desired coding rate </w:t>
      </w:r>
      <w:r>
        <w:rPr>
          <w:i/>
          <w:iCs/>
        </w:rPr>
        <w:t>R</w:t>
      </w:r>
      <w:r>
        <w:t xml:space="preserve"> </w:t>
      </w:r>
      <w:r>
        <w:rPr>
          <w:rFonts w:eastAsia="宋体"/>
          <w:kern w:val="2"/>
        </w:rPr>
        <w:t xml:space="preserve">and radio block allocation </w:t>
      </w:r>
      <w:r>
        <w:rPr>
          <w:rFonts w:eastAsia="宋体"/>
          <w:i/>
          <w:iCs/>
          <w:kern w:val="2"/>
        </w:rPr>
        <w:t>N</w:t>
      </w:r>
      <w:r>
        <w:rPr>
          <w:rFonts w:eastAsia="宋体"/>
          <w:kern w:val="2"/>
          <w:vertAlign w:val="subscript"/>
        </w:rPr>
        <w:t>RB</w:t>
      </w:r>
    </w:p>
    <w:p>
      <w:pPr>
        <w:pStyle w:val="111"/>
      </w:pPr>
      <w:r>
        <w:t>1.</w:t>
      </w:r>
      <w:r>
        <w:tab/>
      </w:r>
      <w:r>
        <w:t xml:space="preserve">Calculate the number of channel bits </w:t>
      </w:r>
      <w:r>
        <w:rPr>
          <w:i/>
          <w:iCs/>
        </w:rPr>
        <w:t>N</w:t>
      </w:r>
      <w:r>
        <w:rPr>
          <w:vertAlign w:val="subscript"/>
        </w:rPr>
        <w:t>ch</w:t>
      </w:r>
      <w:r>
        <w:t xml:space="preserve"> that can be transmitted during the first transmission of a given sub-frame.</w:t>
      </w:r>
    </w:p>
    <w:p>
      <w:pPr>
        <w:pStyle w:val="111"/>
      </w:pPr>
      <w:r>
        <w:t>2.</w:t>
      </w:r>
      <w:r>
        <w:tab/>
      </w:r>
      <w:r>
        <w:t xml:space="preserve">Find </w:t>
      </w:r>
      <w:r>
        <w:rPr>
          <w:i/>
          <w:iCs/>
        </w:rPr>
        <w:t>A</w:t>
      </w:r>
      <w:r>
        <w:t xml:space="preserve"> such that the resulting coding rate is as close to </w:t>
      </w:r>
      <w:r>
        <w:rPr>
          <w:i/>
          <w:iCs/>
        </w:rPr>
        <w:t>R</w:t>
      </w:r>
      <w:r>
        <w:t xml:space="preserve"> as possible, that is,</w:t>
      </w:r>
    </w:p>
    <w:p>
      <w:pPr>
        <w:pStyle w:val="122"/>
      </w:pPr>
      <w:r>
        <w:rPr>
          <w:position w:val="-30"/>
        </w:rPr>
        <w:object>
          <v:shape id="_x0000_i1098" o:spt="75" type="#_x0000_t75" style="height:32.2pt;width:262.9pt;" o:ole="t" filled="f" o:preferrelative="t" stroked="f" coordsize="21600,21600">
            <v:path/>
            <v:fill on="f" focussize="0,0"/>
            <v:stroke on="f" joinstyle="miter"/>
            <v:imagedata r:id="rId128" o:title=""/>
            <o:lock v:ext="edit" aspectratio="t"/>
            <w10:wrap type="none"/>
            <w10:anchorlock/>
          </v:shape>
          <o:OLEObject Type="Embed" ProgID="Equation.3" ShapeID="_x0000_i1098" DrawAspect="Content" ObjectID="_1468075798" r:id="rId139">
            <o:LockedField>false</o:LockedField>
          </o:OLEObject>
        </w:object>
      </w:r>
      <w:r>
        <w:t>,</w:t>
      </w:r>
    </w:p>
    <w:p>
      <w:pPr>
        <w:pStyle w:val="95"/>
        <w:jc w:val="center"/>
      </w:pPr>
      <w:r>
        <w:tab/>
      </w:r>
      <w:r>
        <w:t>subject to</w:t>
      </w:r>
    </w:p>
    <w:p>
      <w:pPr>
        <w:pStyle w:val="122"/>
      </w:pPr>
      <w:r>
        <w:t xml:space="preserve">a) </w:t>
      </w:r>
      <w:r>
        <w:rPr>
          <w:rFonts w:eastAsia="宋体"/>
          <w:kern w:val="2"/>
        </w:rPr>
        <w:t xml:space="preserve">A is a valid TB size (according to </w:t>
      </w:r>
      <w:r>
        <w:rPr>
          <w:lang w:eastAsia="ja-JP"/>
        </w:rPr>
        <w:t>TS 36.213 [</w:t>
      </w:r>
      <w:r>
        <w:t xml:space="preserve">10] clause </w:t>
      </w:r>
      <w:r>
        <w:rPr>
          <w:rFonts w:eastAsia="宋体"/>
          <w:kern w:val="2"/>
        </w:rPr>
        <w:t xml:space="preserve">7.1.7) assuming an allocation of </w:t>
      </w:r>
      <w:r>
        <w:rPr>
          <w:rFonts w:eastAsia="宋体"/>
          <w:i/>
          <w:iCs/>
          <w:kern w:val="2"/>
        </w:rPr>
        <w:t>N</w:t>
      </w:r>
      <w:r>
        <w:rPr>
          <w:rFonts w:eastAsia="宋体"/>
          <w:kern w:val="2"/>
          <w:vertAlign w:val="subscript"/>
        </w:rPr>
        <w:t>RB</w:t>
      </w:r>
      <w:r>
        <w:rPr>
          <w:rFonts w:eastAsia="宋体"/>
          <w:kern w:val="2"/>
        </w:rPr>
        <w:t xml:space="preserve"> resource blocks</w:t>
      </w:r>
    </w:p>
    <w:p>
      <w:pPr>
        <w:pStyle w:val="122"/>
      </w:pPr>
      <w:r>
        <w:t xml:space="preserve">b) </w:t>
      </w:r>
      <w:r>
        <w:rPr>
          <w:i/>
        </w:rPr>
        <w:t>C</w:t>
      </w:r>
      <w:r>
        <w:t xml:space="preserve"> is the number of Code Blocks calculated according to section 5.1.2 of TS 36.212 [</w:t>
      </w:r>
      <w:r>
        <w:rPr>
          <w:rFonts w:hint="eastAsia" w:eastAsia="宋体"/>
          <w:lang w:val="en-US" w:eastAsia="zh-CN"/>
        </w:rPr>
        <w:t>1</w:t>
      </w:r>
      <w:r>
        <w:t>9].</w:t>
      </w:r>
    </w:p>
    <w:p>
      <w:pPr>
        <w:pStyle w:val="111"/>
      </w:pPr>
      <w:r>
        <w:t>3.</w:t>
      </w:r>
      <w:r>
        <w:tab/>
      </w:r>
      <w:r>
        <w:t xml:space="preserve">If there is more than one </w:t>
      </w:r>
      <w:r>
        <w:rPr>
          <w:i/>
          <w:iCs/>
        </w:rPr>
        <w:t>A</w:t>
      </w:r>
      <w:r>
        <w:t xml:space="preserve"> that minimizes the equation above, then the larger value is chosen per default and the chosen code rate should not exceed 0.93.</w:t>
      </w:r>
    </w:p>
    <w:p>
      <w:pPr>
        <w:pStyle w:val="111"/>
      </w:pPr>
      <w:r>
        <w:t>4.</w:t>
      </w:r>
      <w:r>
        <w:tab/>
      </w:r>
      <w:r>
        <w:t>For TDD, the measurement channel is based on DL/UL configuration ratio of 2DL+DwPTS (12 OFDM symbol): 2UL.</w:t>
      </w:r>
    </w:p>
    <w:p>
      <w:pPr>
        <w:pStyle w:val="5"/>
        <w:rPr>
          <w:snapToGrid w:val="0"/>
        </w:rPr>
      </w:pPr>
      <w:bookmarkStart w:id="1029" w:name="_Toc24484"/>
      <w:r>
        <w:rPr>
          <w:snapToGrid w:val="0"/>
        </w:rPr>
        <w:t>A.3.1.1</w:t>
      </w:r>
      <w:r>
        <w:rPr>
          <w:snapToGrid w:val="0"/>
        </w:rPr>
        <w:tab/>
      </w:r>
      <w:r>
        <w:rPr>
          <w:snapToGrid w:val="0"/>
        </w:rPr>
        <w:t>Overview of DL reference measurement channels</w:t>
      </w:r>
      <w:bookmarkEnd w:id="1029"/>
    </w:p>
    <w:p>
      <w:r>
        <w:t xml:space="preserve">In Table A.3.1.1-1 are listed the DL reference measurement channels specified in </w:t>
      </w:r>
      <w:r>
        <w:rPr>
          <w:rFonts w:hint="eastAsia" w:eastAsia="宋体"/>
          <w:lang w:val="en-US" w:eastAsia="zh-CN"/>
        </w:rPr>
        <w:t>A</w:t>
      </w:r>
      <w:r>
        <w:t>nnexes A.3.2 to A.3.</w:t>
      </w:r>
      <w:r>
        <w:rPr>
          <w:lang w:eastAsia="zh-CN"/>
        </w:rPr>
        <w:t>17</w:t>
      </w:r>
      <w:r>
        <w:t xml:space="preserve"> of this release of TS 36.521-1. This table is informative and serves only to a better overview. The reference for the concrete reference measurement channels and corresponding implementation’s parameters as to be used for testing are annexes A.3.2 to A.3.</w:t>
      </w:r>
      <w:r>
        <w:rPr>
          <w:lang w:eastAsia="zh-CN"/>
        </w:rPr>
        <w:t xml:space="preserve">17 </w:t>
      </w:r>
      <w:r>
        <w:t>as appropriate.</w:t>
      </w:r>
    </w:p>
    <w:p>
      <w:pPr>
        <w:pStyle w:val="113"/>
      </w:pPr>
      <w:r>
        <w:t>Table A.3.1.1-1: Overview of DL reference measurement channels</w:t>
      </w:r>
    </w:p>
    <w:tbl>
      <w:tblPr>
        <w:tblStyle w:val="89"/>
        <w:tblW w:w="88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621"/>
        <w:gridCol w:w="1177"/>
        <w:gridCol w:w="441"/>
        <w:gridCol w:w="850"/>
        <w:gridCol w:w="592"/>
        <w:gridCol w:w="540"/>
        <w:gridCol w:w="540"/>
        <w:gridCol w:w="54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9" w:type="dxa"/>
            <w:vAlign w:val="center"/>
          </w:tcPr>
          <w:p>
            <w:pPr>
              <w:pStyle w:val="104"/>
              <w:rPr>
                <w:lang w:eastAsia="zh-CN"/>
              </w:rPr>
            </w:pPr>
            <w:r>
              <w:rPr>
                <w:lang w:eastAsia="zh-CN"/>
              </w:rPr>
              <w:t>Duplex</w:t>
            </w:r>
          </w:p>
        </w:tc>
        <w:tc>
          <w:tcPr>
            <w:tcW w:w="1621" w:type="dxa"/>
            <w:vAlign w:val="center"/>
          </w:tcPr>
          <w:p>
            <w:pPr>
              <w:pStyle w:val="104"/>
              <w:rPr>
                <w:lang w:eastAsia="zh-CN"/>
              </w:rPr>
            </w:pPr>
            <w:r>
              <w:rPr>
                <w:lang w:eastAsia="zh-CN"/>
              </w:rPr>
              <w:t>Table</w:t>
            </w:r>
          </w:p>
        </w:tc>
        <w:tc>
          <w:tcPr>
            <w:tcW w:w="1177" w:type="dxa"/>
            <w:vAlign w:val="center"/>
          </w:tcPr>
          <w:p>
            <w:pPr>
              <w:pStyle w:val="104"/>
              <w:rPr>
                <w:lang w:eastAsia="zh-CN"/>
              </w:rPr>
            </w:pPr>
            <w:r>
              <w:rPr>
                <w:lang w:eastAsia="zh-CN"/>
              </w:rPr>
              <w:t>Name</w:t>
            </w:r>
          </w:p>
        </w:tc>
        <w:tc>
          <w:tcPr>
            <w:tcW w:w="441" w:type="dxa"/>
            <w:vAlign w:val="center"/>
          </w:tcPr>
          <w:p>
            <w:pPr>
              <w:pStyle w:val="104"/>
              <w:rPr>
                <w:lang w:eastAsia="zh-CN"/>
              </w:rPr>
            </w:pPr>
            <w:r>
              <w:rPr>
                <w:lang w:eastAsia="zh-CN"/>
              </w:rPr>
              <w:t>BW</w:t>
            </w:r>
          </w:p>
        </w:tc>
        <w:tc>
          <w:tcPr>
            <w:tcW w:w="850" w:type="dxa"/>
            <w:vAlign w:val="center"/>
          </w:tcPr>
          <w:p>
            <w:pPr>
              <w:pStyle w:val="104"/>
              <w:rPr>
                <w:lang w:eastAsia="zh-CN"/>
              </w:rPr>
            </w:pPr>
            <w:r>
              <w:rPr>
                <w:lang w:eastAsia="zh-CN"/>
              </w:rPr>
              <w:t>Mod</w:t>
            </w:r>
          </w:p>
        </w:tc>
        <w:tc>
          <w:tcPr>
            <w:tcW w:w="592" w:type="dxa"/>
            <w:vAlign w:val="center"/>
          </w:tcPr>
          <w:p>
            <w:pPr>
              <w:pStyle w:val="104"/>
              <w:rPr>
                <w:lang w:eastAsia="zh-CN"/>
              </w:rPr>
            </w:pPr>
            <w:r>
              <w:rPr>
                <w:lang w:eastAsia="zh-CN"/>
              </w:rPr>
              <w:t>TCR</w:t>
            </w:r>
          </w:p>
        </w:tc>
        <w:tc>
          <w:tcPr>
            <w:tcW w:w="540" w:type="dxa"/>
            <w:vAlign w:val="center"/>
          </w:tcPr>
          <w:p>
            <w:pPr>
              <w:pStyle w:val="104"/>
              <w:rPr>
                <w:lang w:eastAsia="zh-CN"/>
              </w:rPr>
            </w:pPr>
            <w:r>
              <w:rPr>
                <w:lang w:eastAsia="zh-CN"/>
              </w:rPr>
              <w:t>RB</w:t>
            </w:r>
          </w:p>
        </w:tc>
        <w:tc>
          <w:tcPr>
            <w:tcW w:w="540" w:type="dxa"/>
            <w:vAlign w:val="center"/>
          </w:tcPr>
          <w:p>
            <w:pPr>
              <w:pStyle w:val="104"/>
              <w:rPr>
                <w:lang w:eastAsia="zh-CN"/>
              </w:rPr>
            </w:pPr>
            <w:r>
              <w:rPr>
                <w:lang w:eastAsia="zh-CN"/>
              </w:rPr>
              <w:t>RB</w:t>
            </w:r>
            <w:r>
              <w:rPr>
                <w:lang w:eastAsia="zh-CN"/>
              </w:rPr>
              <w:br w:type="textWrapping"/>
            </w:r>
            <w:r>
              <w:rPr>
                <w:lang w:eastAsia="zh-CN"/>
              </w:rPr>
              <w:t>Offset</w:t>
            </w:r>
          </w:p>
        </w:tc>
        <w:tc>
          <w:tcPr>
            <w:tcW w:w="540" w:type="dxa"/>
            <w:vAlign w:val="center"/>
          </w:tcPr>
          <w:p>
            <w:pPr>
              <w:pStyle w:val="104"/>
              <w:rPr>
                <w:lang w:eastAsia="zh-CN"/>
              </w:rPr>
            </w:pPr>
            <w:r>
              <w:rPr>
                <w:lang w:eastAsia="zh-CN"/>
              </w:rPr>
              <w:t>UE Categ</w:t>
            </w:r>
          </w:p>
        </w:tc>
        <w:tc>
          <w:tcPr>
            <w:tcW w:w="1800" w:type="dxa"/>
            <w:vAlign w:val="center"/>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Receiver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FDD / 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Table A.3.2-1</w:t>
            </w:r>
            <w:r>
              <w:rPr>
                <w:rFonts w:cs="Arial"/>
                <w:sz w:val="16"/>
                <w:szCs w:val="16"/>
                <w:lang w:eastAsia="zh-CN"/>
              </w:rPr>
              <w:t>b</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ja-JP"/>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zh-CN"/>
              </w:rPr>
              <w:t>4</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zh-CN"/>
              </w:rPr>
              <w:t>M1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Table A.3.2-1c</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0.2</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zh-CN"/>
              </w:rPr>
            </w:pPr>
            <w:r>
              <w:rPr>
                <w:sz w:val="16"/>
              </w:rPr>
              <w:t>NB1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Table A.3.2-1d</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0.2</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QPSK</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ja-JP"/>
              </w:rPr>
            </w:pPr>
            <w:r>
              <w:rPr>
                <w:sz w:val="16"/>
              </w:rPr>
              <w:t>1/3</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rFonts w:cs="Arial"/>
                <w:sz w:val="16"/>
                <w:szCs w:val="16"/>
                <w:lang w:eastAsia="zh-CN"/>
              </w:rPr>
            </w:pPr>
            <w:r>
              <w:rPr>
                <w:sz w:val="16"/>
              </w:rPr>
              <w:t>NB1</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BFBFBF"/>
            <w:vAlign w:val="center"/>
          </w:tcPr>
          <w:p>
            <w:pPr>
              <w:pStyle w:val="104"/>
              <w:jc w:val="left"/>
              <w:rPr>
                <w:rStyle w:val="183"/>
                <w:bCs/>
              </w:rPr>
            </w:pPr>
            <w:r>
              <w:rPr>
                <w:bCs/>
                <w:lang w:eastAsia="zh-CN"/>
              </w:rPr>
              <w:t>FDD, Receiver requirements, Maximum input level for UE Categories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Table A.3.2-3c</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64QAM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3/4</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2</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sz w:val="16"/>
              </w:rPr>
              <w:t>-</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BFBFBF"/>
            <w:vAlign w:val="center"/>
          </w:tcPr>
          <w:p>
            <w:pPr>
              <w:pStyle w:val="104"/>
              <w:jc w:val="left"/>
              <w:rPr>
                <w:rStyle w:val="183"/>
                <w:bCs/>
                <w:lang w:eastAsia="zh-TW"/>
              </w:rPr>
            </w:pPr>
            <w:r>
              <w:rPr>
                <w:bCs/>
                <w:lang w:eastAsia="zh-CN"/>
              </w:rPr>
              <w:t xml:space="preserve">FDD, Receiver requirements, Maximum input level for UE Categories </w:t>
            </w:r>
            <w:r>
              <w:rPr>
                <w:bCs/>
                <w:lang w:eastAsia="zh-TW"/>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FDD/HD-FDD</w:t>
            </w:r>
          </w:p>
        </w:tc>
        <w:tc>
          <w:tcPr>
            <w:tcW w:w="162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Table A.3.2-3d</w:t>
            </w:r>
          </w:p>
        </w:tc>
        <w:tc>
          <w:tcPr>
            <w:tcW w:w="1177"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441"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1.4</w:t>
            </w:r>
          </w:p>
        </w:tc>
        <w:tc>
          <w:tcPr>
            <w:tcW w:w="85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16QAM</w:t>
            </w:r>
          </w:p>
        </w:tc>
        <w:tc>
          <w:tcPr>
            <w:tcW w:w="592"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3/5</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eastAsia="宋体" w:cs="Arial"/>
                <w:sz w:val="16"/>
                <w:szCs w:val="16"/>
                <w:lang w:eastAsia="zh-CN"/>
              </w:rPr>
              <w:t>2</w:t>
            </w: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c>
          <w:tcPr>
            <w:tcW w:w="540" w:type="dxa"/>
            <w:tcBorders>
              <w:top w:val="single" w:color="auto" w:sz="4" w:space="0"/>
              <w:left w:val="single" w:color="auto" w:sz="4" w:space="0"/>
              <w:bottom w:val="single" w:color="auto" w:sz="4" w:space="0"/>
              <w:right w:val="single" w:color="auto" w:sz="4" w:space="0"/>
            </w:tcBorders>
            <w:vAlign w:val="center"/>
          </w:tcPr>
          <w:p>
            <w:pPr>
              <w:pStyle w:val="103"/>
              <w:rPr>
                <w:sz w:val="16"/>
              </w:rPr>
            </w:pPr>
            <w:r>
              <w:rPr>
                <w:rFonts w:cs="Arial"/>
                <w:sz w:val="16"/>
                <w:szCs w:val="16"/>
                <w:lang w:eastAsia="ko-KR"/>
              </w:rPr>
              <w:t>-</w:t>
            </w:r>
          </w:p>
        </w:tc>
        <w:tc>
          <w:tcPr>
            <w:tcW w:w="1800" w:type="dxa"/>
            <w:tcBorders>
              <w:top w:val="single" w:color="auto" w:sz="4" w:space="0"/>
              <w:left w:val="single" w:color="auto" w:sz="4" w:space="0"/>
              <w:bottom w:val="single" w:color="auto" w:sz="4" w:space="0"/>
              <w:right w:val="single" w:color="auto" w:sz="4" w:space="0"/>
            </w:tcBorders>
            <w:vAlign w:val="center"/>
          </w:tcPr>
          <w:p>
            <w:pPr>
              <w:pStyle w:val="10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Transmitter requirements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lang w:eastAsia="ja-JP"/>
              </w:rPr>
            </w:pPr>
            <w:r>
              <w:rPr>
                <w:sz w:val="16"/>
                <w:szCs w:val="16"/>
              </w:rPr>
              <w:t>Table A.3.2A-1</w:t>
            </w:r>
            <w:r>
              <w:rPr>
                <w:sz w:val="16"/>
                <w:szCs w:val="16"/>
                <w:lang w:eastAsia="ja-JP"/>
              </w:rPr>
              <w:t>a</w:t>
            </w:r>
          </w:p>
        </w:tc>
        <w:tc>
          <w:tcPr>
            <w:tcW w:w="1177" w:type="dxa"/>
            <w:vAlign w:val="center"/>
          </w:tcPr>
          <w:p>
            <w:pPr>
              <w:pStyle w:val="103"/>
              <w:rPr>
                <w:sz w:val="16"/>
                <w:szCs w:val="16"/>
              </w:rPr>
            </w:pP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QPSK</w:t>
            </w:r>
          </w:p>
        </w:tc>
        <w:tc>
          <w:tcPr>
            <w:tcW w:w="592" w:type="dxa"/>
            <w:vAlign w:val="center"/>
          </w:tcPr>
          <w:p>
            <w:pPr>
              <w:pStyle w:val="103"/>
              <w:rPr>
                <w:sz w:val="16"/>
                <w:szCs w:val="16"/>
              </w:rPr>
            </w:pPr>
            <w:r>
              <w:rPr>
                <w:sz w:val="16"/>
                <w:szCs w:val="16"/>
              </w:rPr>
              <w:t>1/3</w:t>
            </w:r>
          </w:p>
        </w:tc>
        <w:tc>
          <w:tcPr>
            <w:tcW w:w="540" w:type="dxa"/>
            <w:vAlign w:val="center"/>
          </w:tcPr>
          <w:p>
            <w:pPr>
              <w:pStyle w:val="103"/>
              <w:rPr>
                <w:sz w:val="16"/>
                <w:szCs w:val="16"/>
                <w:lang w:eastAsia="ja-JP"/>
              </w:rPr>
            </w:pPr>
            <w:r>
              <w:rPr>
                <w:sz w:val="16"/>
                <w:szCs w:val="16"/>
                <w:lang w:eastAsia="ja-JP"/>
              </w:rPr>
              <w:t>4</w:t>
            </w:r>
          </w:p>
        </w:tc>
        <w:tc>
          <w:tcPr>
            <w:tcW w:w="540" w:type="dxa"/>
            <w:vAlign w:val="center"/>
          </w:tcPr>
          <w:p>
            <w:pPr>
              <w:pStyle w:val="103"/>
              <w:rPr>
                <w:sz w:val="16"/>
                <w:szCs w:val="16"/>
              </w:rPr>
            </w:pPr>
          </w:p>
        </w:tc>
        <w:tc>
          <w:tcPr>
            <w:tcW w:w="540" w:type="dxa"/>
            <w:vAlign w:val="center"/>
          </w:tcPr>
          <w:p>
            <w:pPr>
              <w:pStyle w:val="103"/>
              <w:rPr>
                <w:sz w:val="16"/>
                <w:szCs w:val="16"/>
              </w:rPr>
            </w:pPr>
            <w:r>
              <w:rPr>
                <w:rFonts w:cs="Arial"/>
                <w:sz w:val="16"/>
                <w:szCs w:val="16"/>
                <w:lang w:eastAsia="zh-CN"/>
              </w:rPr>
              <w:t>M1</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PDSCH Performance, Single-antenna transmission (CRS)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rFonts w:eastAsia="宋体"/>
                <w:sz w:val="16"/>
                <w:szCs w:val="16"/>
                <w:lang w:val="en-US" w:eastAsia="zh-CN"/>
              </w:rPr>
              <w:t>FFS</w:t>
            </w:r>
          </w:p>
        </w:tc>
        <w:tc>
          <w:tcPr>
            <w:tcW w:w="1177" w:type="dxa"/>
            <w:vAlign w:val="center"/>
          </w:tcPr>
          <w:p>
            <w:pPr>
              <w:pStyle w:val="103"/>
              <w:rPr>
                <w:sz w:val="16"/>
                <w:szCs w:val="16"/>
              </w:rPr>
            </w:pPr>
            <w:r>
              <w:rPr>
                <w:rFonts w:eastAsia="宋体"/>
                <w:sz w:val="16"/>
                <w:szCs w:val="16"/>
                <w:lang w:val="en-US" w:eastAsia="zh-CN"/>
              </w:rPr>
              <w:t>FFS</w:t>
            </w:r>
          </w:p>
        </w:tc>
        <w:tc>
          <w:tcPr>
            <w:tcW w:w="441" w:type="dxa"/>
            <w:vAlign w:val="center"/>
          </w:tcPr>
          <w:p>
            <w:pPr>
              <w:pStyle w:val="103"/>
              <w:rPr>
                <w:sz w:val="16"/>
                <w:szCs w:val="16"/>
              </w:rPr>
            </w:pPr>
            <w:r>
              <w:rPr>
                <w:rFonts w:eastAsia="宋体"/>
                <w:sz w:val="16"/>
                <w:szCs w:val="16"/>
                <w:lang w:val="en-US" w:eastAsia="zh-CN"/>
              </w:rPr>
              <w:t>FFS</w:t>
            </w:r>
          </w:p>
        </w:tc>
        <w:tc>
          <w:tcPr>
            <w:tcW w:w="850" w:type="dxa"/>
            <w:vAlign w:val="center"/>
          </w:tcPr>
          <w:p>
            <w:pPr>
              <w:pStyle w:val="103"/>
              <w:rPr>
                <w:sz w:val="16"/>
                <w:szCs w:val="16"/>
              </w:rPr>
            </w:pPr>
            <w:r>
              <w:rPr>
                <w:rFonts w:eastAsia="宋体"/>
                <w:sz w:val="16"/>
                <w:szCs w:val="16"/>
                <w:lang w:val="en-US" w:eastAsia="zh-CN"/>
              </w:rPr>
              <w:t>FFS</w:t>
            </w:r>
          </w:p>
        </w:tc>
        <w:tc>
          <w:tcPr>
            <w:tcW w:w="592" w:type="dxa"/>
            <w:vAlign w:val="center"/>
          </w:tcPr>
          <w:p>
            <w:pPr>
              <w:pStyle w:val="103"/>
              <w:rPr>
                <w:sz w:val="16"/>
                <w:szCs w:val="16"/>
              </w:rPr>
            </w:pPr>
            <w:r>
              <w:rPr>
                <w:rFonts w:eastAsia="宋体"/>
                <w:sz w:val="16"/>
                <w:szCs w:val="16"/>
                <w:lang w:val="en-US" w:eastAsia="zh-CN"/>
              </w:rPr>
              <w:t>FFS</w:t>
            </w:r>
          </w:p>
        </w:tc>
        <w:tc>
          <w:tcPr>
            <w:tcW w:w="540" w:type="dxa"/>
            <w:vAlign w:val="center"/>
          </w:tcPr>
          <w:p>
            <w:pPr>
              <w:pStyle w:val="103"/>
              <w:rPr>
                <w:sz w:val="16"/>
                <w:szCs w:val="16"/>
              </w:rPr>
            </w:pPr>
            <w:r>
              <w:rPr>
                <w:rFonts w:eastAsia="宋体"/>
                <w:sz w:val="16"/>
                <w:szCs w:val="16"/>
                <w:lang w:val="en-US" w:eastAsia="zh-CN"/>
              </w:rPr>
              <w:t>FFS</w:t>
            </w:r>
          </w:p>
        </w:tc>
        <w:tc>
          <w:tcPr>
            <w:tcW w:w="540" w:type="dxa"/>
            <w:vAlign w:val="center"/>
          </w:tcPr>
          <w:p>
            <w:pPr>
              <w:pStyle w:val="103"/>
              <w:rPr>
                <w:sz w:val="16"/>
                <w:szCs w:val="16"/>
              </w:rPr>
            </w:pPr>
          </w:p>
        </w:tc>
        <w:tc>
          <w:tcPr>
            <w:tcW w:w="540" w:type="dxa"/>
            <w:vAlign w:val="center"/>
          </w:tcPr>
          <w:p>
            <w:pPr>
              <w:pStyle w:val="103"/>
              <w:rPr>
                <w:sz w:val="16"/>
                <w:szCs w:val="16"/>
              </w:rPr>
            </w:pPr>
            <w:r>
              <w:rPr>
                <w:rFonts w:eastAsia="宋体"/>
                <w:sz w:val="16"/>
                <w:szCs w:val="16"/>
                <w:lang w:val="en-US" w:eastAsia="zh-CN"/>
              </w:rPr>
              <w:t>FFS</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PDSCH Performance, Single-antenna transmission (CRS), Single PRB (Channel edge)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rFonts w:eastAsia="宋体"/>
                <w:sz w:val="16"/>
                <w:szCs w:val="16"/>
                <w:lang w:val="en-US" w:eastAsia="zh-CN"/>
              </w:rPr>
            </w:pPr>
            <w:r>
              <w:rPr>
                <w:rFonts w:hint="eastAsia" w:eastAsia="宋体"/>
                <w:sz w:val="16"/>
                <w:szCs w:val="16"/>
                <w:lang w:val="en-US" w:eastAsia="zh-CN"/>
              </w:rPr>
              <w:t>FFS</w:t>
            </w:r>
          </w:p>
        </w:tc>
        <w:tc>
          <w:tcPr>
            <w:tcW w:w="1177" w:type="dxa"/>
            <w:vAlign w:val="center"/>
          </w:tcPr>
          <w:p>
            <w:pPr>
              <w:pStyle w:val="103"/>
              <w:rPr>
                <w:sz w:val="16"/>
                <w:szCs w:val="16"/>
                <w:lang w:val="en-US"/>
              </w:rPr>
            </w:pPr>
            <w:r>
              <w:rPr>
                <w:rFonts w:hint="eastAsia" w:eastAsia="宋体"/>
                <w:sz w:val="16"/>
                <w:szCs w:val="16"/>
                <w:lang w:val="en-US" w:eastAsia="zh-CN"/>
              </w:rPr>
              <w:t>FFS</w:t>
            </w:r>
          </w:p>
        </w:tc>
        <w:tc>
          <w:tcPr>
            <w:tcW w:w="441" w:type="dxa"/>
            <w:vAlign w:val="center"/>
          </w:tcPr>
          <w:p>
            <w:pPr>
              <w:pStyle w:val="103"/>
              <w:rPr>
                <w:sz w:val="16"/>
                <w:szCs w:val="16"/>
                <w:lang w:val="en-US"/>
              </w:rPr>
            </w:pPr>
            <w:r>
              <w:rPr>
                <w:rFonts w:hint="eastAsia" w:eastAsia="宋体"/>
                <w:sz w:val="16"/>
                <w:szCs w:val="16"/>
                <w:lang w:val="en-US" w:eastAsia="zh-CN"/>
              </w:rPr>
              <w:t>FFS</w:t>
            </w:r>
          </w:p>
        </w:tc>
        <w:tc>
          <w:tcPr>
            <w:tcW w:w="850" w:type="dxa"/>
            <w:vAlign w:val="center"/>
          </w:tcPr>
          <w:p>
            <w:pPr>
              <w:pStyle w:val="103"/>
              <w:rPr>
                <w:sz w:val="16"/>
                <w:szCs w:val="16"/>
                <w:lang w:val="en-US"/>
              </w:rPr>
            </w:pPr>
            <w:r>
              <w:rPr>
                <w:rFonts w:hint="eastAsia" w:eastAsia="宋体"/>
                <w:sz w:val="16"/>
                <w:szCs w:val="16"/>
                <w:lang w:val="en-US" w:eastAsia="zh-CN"/>
              </w:rPr>
              <w:t>FFS</w:t>
            </w:r>
          </w:p>
        </w:tc>
        <w:tc>
          <w:tcPr>
            <w:tcW w:w="592" w:type="dxa"/>
            <w:vAlign w:val="center"/>
          </w:tcPr>
          <w:p>
            <w:pPr>
              <w:pStyle w:val="103"/>
              <w:rPr>
                <w:sz w:val="16"/>
                <w:szCs w:val="16"/>
                <w:lang w:val="en-US"/>
              </w:rPr>
            </w:pPr>
            <w:r>
              <w:rPr>
                <w:rFonts w:hint="eastAsia" w:eastAsia="宋体"/>
                <w:sz w:val="16"/>
                <w:szCs w:val="16"/>
                <w:lang w:val="en-US" w:eastAsia="zh-CN"/>
              </w:rPr>
              <w:t>FFS</w:t>
            </w:r>
          </w:p>
        </w:tc>
        <w:tc>
          <w:tcPr>
            <w:tcW w:w="540" w:type="dxa"/>
            <w:vAlign w:val="center"/>
          </w:tcPr>
          <w:p>
            <w:pPr>
              <w:pStyle w:val="103"/>
              <w:rPr>
                <w:sz w:val="16"/>
                <w:szCs w:val="16"/>
                <w:lang w:val="en-US"/>
              </w:rPr>
            </w:pPr>
            <w:r>
              <w:rPr>
                <w:rFonts w:hint="eastAsia" w:eastAsia="宋体"/>
                <w:sz w:val="16"/>
                <w:szCs w:val="16"/>
                <w:lang w:val="en-US" w:eastAsia="zh-CN"/>
              </w:rPr>
              <w:t>FFS</w:t>
            </w:r>
          </w:p>
        </w:tc>
        <w:tc>
          <w:tcPr>
            <w:tcW w:w="540" w:type="dxa"/>
            <w:vAlign w:val="center"/>
          </w:tcPr>
          <w:p>
            <w:pPr>
              <w:pStyle w:val="103"/>
              <w:rPr>
                <w:sz w:val="16"/>
                <w:szCs w:val="16"/>
              </w:rPr>
            </w:pPr>
          </w:p>
        </w:tc>
        <w:tc>
          <w:tcPr>
            <w:tcW w:w="540" w:type="dxa"/>
            <w:vAlign w:val="center"/>
          </w:tcPr>
          <w:p>
            <w:pPr>
              <w:pStyle w:val="103"/>
              <w:rPr>
                <w:sz w:val="16"/>
                <w:szCs w:val="16"/>
              </w:rPr>
            </w:pPr>
            <w:r>
              <w:rPr>
                <w:rFonts w:hint="eastAsia" w:eastAsia="宋体"/>
                <w:sz w:val="16"/>
                <w:szCs w:val="16"/>
                <w:lang w:val="en-US" w:eastAsia="zh-CN"/>
              </w:rPr>
              <w:t>FFS</w:t>
            </w: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tcBorders>
              <w:bottom w:val="single" w:color="auto" w:sz="4" w:space="0"/>
            </w:tcBorders>
            <w:shd w:val="clear" w:color="auto" w:fill="BFBFBF"/>
            <w:vAlign w:val="center"/>
          </w:tcPr>
          <w:p>
            <w:pPr>
              <w:pStyle w:val="104"/>
              <w:jc w:val="left"/>
              <w:rPr>
                <w:b w:val="0"/>
                <w:sz w:val="16"/>
                <w:szCs w:val="16"/>
                <w:lang w:eastAsia="zh-CN"/>
              </w:rPr>
            </w:pPr>
            <w:r>
              <w:rPr>
                <w:rFonts w:cs="Arial"/>
                <w:lang w:eastAsia="zh-CN"/>
              </w:rPr>
              <w:t xml:space="preserve">FDD, PDSCH Performance (UE specific RS) </w:t>
            </w:r>
            <w:r>
              <w:rPr>
                <w:rFonts w:cs="Arial"/>
                <w:lang w:eastAsia="zh-TW"/>
              </w:rPr>
              <w:t xml:space="preserve">without </w:t>
            </w:r>
            <w:r>
              <w:rPr>
                <w:rFonts w:cs="Arial"/>
                <w:lang w:eastAsia="zh-CN"/>
              </w:rPr>
              <w:t>CSI-RS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tcBorders>
              <w:bottom w:val="single" w:color="auto" w:sz="4" w:space="0"/>
            </w:tcBorders>
            <w:vAlign w:val="center"/>
          </w:tcPr>
          <w:p>
            <w:pPr>
              <w:pStyle w:val="103"/>
              <w:rPr>
                <w:rFonts w:cs="Arial"/>
                <w:sz w:val="16"/>
                <w:szCs w:val="16"/>
              </w:rPr>
            </w:pPr>
            <w:r>
              <w:rPr>
                <w:rFonts w:cs="Arial"/>
                <w:sz w:val="16"/>
                <w:szCs w:val="16"/>
              </w:rPr>
              <w:t>FDD</w:t>
            </w:r>
          </w:p>
        </w:tc>
        <w:tc>
          <w:tcPr>
            <w:tcW w:w="1621"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1177"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441"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85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92"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4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540" w:type="dxa"/>
            <w:tcBorders>
              <w:bottom w:val="single" w:color="auto" w:sz="4" w:space="0"/>
            </w:tcBorders>
            <w:vAlign w:val="center"/>
          </w:tcPr>
          <w:p>
            <w:pPr>
              <w:pStyle w:val="103"/>
              <w:rPr>
                <w:sz w:val="16"/>
                <w:szCs w:val="16"/>
              </w:rPr>
            </w:pPr>
          </w:p>
        </w:tc>
        <w:tc>
          <w:tcPr>
            <w:tcW w:w="540" w:type="dxa"/>
            <w:tcBorders>
              <w:bottom w:val="single" w:color="auto" w:sz="4" w:space="0"/>
            </w:tcBorders>
            <w:vAlign w:val="center"/>
          </w:tcPr>
          <w:p>
            <w:pPr>
              <w:pStyle w:val="103"/>
              <w:rPr>
                <w:rFonts w:cs="Arial"/>
                <w:sz w:val="16"/>
                <w:szCs w:val="16"/>
              </w:rPr>
            </w:pPr>
            <w:r>
              <w:rPr>
                <w:rFonts w:hint="eastAsia" w:eastAsia="宋体"/>
                <w:sz w:val="16"/>
                <w:szCs w:val="16"/>
                <w:lang w:val="en-US" w:eastAsia="zh-CN"/>
              </w:rPr>
              <w:t>FFS</w:t>
            </w:r>
          </w:p>
        </w:tc>
        <w:tc>
          <w:tcPr>
            <w:tcW w:w="1800" w:type="dxa"/>
            <w:tcBorders>
              <w:bottom w:val="single" w:color="auto" w:sz="4" w:space="0"/>
            </w:tcBorders>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PDCCH / PCFICH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sz w:val="16"/>
                <w:szCs w:val="16"/>
              </w:rPr>
              <w:t>Table A.3.5.1-1</w:t>
            </w:r>
          </w:p>
        </w:tc>
        <w:tc>
          <w:tcPr>
            <w:tcW w:w="1177" w:type="dxa"/>
            <w:vAlign w:val="center"/>
          </w:tcPr>
          <w:p>
            <w:pPr>
              <w:pStyle w:val="103"/>
              <w:rPr>
                <w:sz w:val="16"/>
                <w:szCs w:val="16"/>
              </w:rPr>
            </w:pPr>
            <w:r>
              <w:rPr>
                <w:sz w:val="16"/>
                <w:szCs w:val="16"/>
              </w:rPr>
              <w:t>R.16 FDD</w:t>
            </w: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PDCCH</w:t>
            </w:r>
          </w:p>
        </w:tc>
        <w:tc>
          <w:tcPr>
            <w:tcW w:w="592"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1800" w:type="dxa"/>
            <w:vAlign w:val="center"/>
          </w:tcPr>
          <w:p>
            <w:pPr>
              <w:pStyle w:val="103"/>
              <w:rPr>
                <w:sz w:val="16"/>
                <w:szCs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8820" w:type="dxa"/>
            <w:gridSpan w:val="10"/>
            <w:shd w:val="clear" w:color="auto" w:fill="C0C0C0"/>
            <w:vAlign w:val="center"/>
          </w:tcPr>
          <w:p>
            <w:pPr>
              <w:pStyle w:val="104"/>
              <w:jc w:val="left"/>
              <w:rPr>
                <w:lang w:eastAsia="zh-CN"/>
              </w:rPr>
            </w:pPr>
            <w:r>
              <w:rPr>
                <w:lang w:eastAsia="zh-CN"/>
              </w:rPr>
              <w:t>FDD / TDD, PHICH Performance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jc w:val="center"/>
        </w:trPr>
        <w:tc>
          <w:tcPr>
            <w:tcW w:w="719" w:type="dxa"/>
            <w:vAlign w:val="center"/>
          </w:tcPr>
          <w:p>
            <w:pPr>
              <w:pStyle w:val="103"/>
              <w:rPr>
                <w:sz w:val="16"/>
                <w:szCs w:val="16"/>
              </w:rPr>
            </w:pPr>
            <w:r>
              <w:rPr>
                <w:sz w:val="16"/>
                <w:szCs w:val="16"/>
              </w:rPr>
              <w:t>FDD</w:t>
            </w:r>
          </w:p>
        </w:tc>
        <w:tc>
          <w:tcPr>
            <w:tcW w:w="1621" w:type="dxa"/>
            <w:vAlign w:val="center"/>
          </w:tcPr>
          <w:p>
            <w:pPr>
              <w:pStyle w:val="103"/>
              <w:rPr>
                <w:sz w:val="16"/>
                <w:szCs w:val="16"/>
              </w:rPr>
            </w:pPr>
            <w:r>
              <w:rPr>
                <w:sz w:val="16"/>
                <w:szCs w:val="16"/>
              </w:rPr>
              <w:t>Table A.3.6-1</w:t>
            </w:r>
          </w:p>
        </w:tc>
        <w:tc>
          <w:tcPr>
            <w:tcW w:w="1177" w:type="dxa"/>
            <w:vAlign w:val="center"/>
          </w:tcPr>
          <w:p>
            <w:pPr>
              <w:pStyle w:val="103"/>
              <w:rPr>
                <w:sz w:val="16"/>
                <w:szCs w:val="16"/>
              </w:rPr>
            </w:pPr>
            <w:r>
              <w:rPr>
                <w:sz w:val="16"/>
                <w:szCs w:val="16"/>
              </w:rPr>
              <w:t>R.19</w:t>
            </w:r>
            <w:r>
              <w:rPr>
                <w:sz w:val="16"/>
                <w:szCs w:val="16"/>
                <w:lang w:eastAsia="zh-TW"/>
              </w:rPr>
              <w:t>A</w:t>
            </w:r>
          </w:p>
        </w:tc>
        <w:tc>
          <w:tcPr>
            <w:tcW w:w="441" w:type="dxa"/>
            <w:vAlign w:val="center"/>
          </w:tcPr>
          <w:p>
            <w:pPr>
              <w:pStyle w:val="103"/>
              <w:rPr>
                <w:sz w:val="16"/>
                <w:szCs w:val="16"/>
              </w:rPr>
            </w:pPr>
            <w:r>
              <w:rPr>
                <w:sz w:val="16"/>
                <w:szCs w:val="16"/>
              </w:rPr>
              <w:t>1.4</w:t>
            </w:r>
          </w:p>
        </w:tc>
        <w:tc>
          <w:tcPr>
            <w:tcW w:w="850" w:type="dxa"/>
            <w:vAlign w:val="center"/>
          </w:tcPr>
          <w:p>
            <w:pPr>
              <w:pStyle w:val="103"/>
              <w:rPr>
                <w:sz w:val="16"/>
                <w:szCs w:val="16"/>
              </w:rPr>
            </w:pPr>
            <w:r>
              <w:rPr>
                <w:sz w:val="16"/>
                <w:szCs w:val="16"/>
              </w:rPr>
              <w:t>PHICH</w:t>
            </w:r>
          </w:p>
        </w:tc>
        <w:tc>
          <w:tcPr>
            <w:tcW w:w="592"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540" w:type="dxa"/>
            <w:vAlign w:val="center"/>
          </w:tcPr>
          <w:p>
            <w:pPr>
              <w:pStyle w:val="103"/>
              <w:rPr>
                <w:sz w:val="16"/>
                <w:szCs w:val="16"/>
              </w:rPr>
            </w:pPr>
          </w:p>
        </w:tc>
        <w:tc>
          <w:tcPr>
            <w:tcW w:w="1800" w:type="dxa"/>
            <w:vAlign w:val="center"/>
          </w:tcPr>
          <w:p>
            <w:pPr>
              <w:pStyle w:val="103"/>
              <w:rPr>
                <w:sz w:val="16"/>
                <w:szCs w:val="16"/>
              </w:rPr>
            </w:pPr>
          </w:p>
        </w:tc>
      </w:tr>
    </w:tbl>
    <w:p/>
    <w:p>
      <w:pPr>
        <w:pStyle w:val="4"/>
      </w:pPr>
      <w:bookmarkStart w:id="1030" w:name="_Toc232582115"/>
      <w:bookmarkStart w:id="1031" w:name="_Toc5511"/>
      <w:r>
        <w:t>A.3.2</w:t>
      </w:r>
      <w:r>
        <w:tab/>
      </w:r>
      <w:r>
        <w:t>Reference measurement channel for receiver characteristics</w:t>
      </w:r>
      <w:bookmarkEnd w:id="1030"/>
      <w:bookmarkEnd w:id="1031"/>
    </w:p>
    <w:p>
      <w:pPr>
        <w:rPr>
          <w:rFonts w:cs="v5.0.0"/>
        </w:rPr>
      </w:pPr>
      <w:r>
        <w:rPr>
          <w:rFonts w:cs="v5.0.0"/>
        </w:rPr>
        <w:t>Unless otherwise stated, Tables A.3.2-1, A.3.2-1a, A.3.2-1b, A.3.2-2, A.3.2-2a and A.3.2-2b are applicable for measurements on the Receiver Characteristics (clause 7) with the exception of subclause 7.4 (Maximum input level).</w:t>
      </w:r>
    </w:p>
    <w:p>
      <w:pPr>
        <w:rPr>
          <w:rFonts w:cs="v5.0.0"/>
        </w:rPr>
      </w:pPr>
      <w:r>
        <w:rPr>
          <w:rFonts w:cs="v5.0.0"/>
        </w:rPr>
        <w:t>Unless otherwise stated, Tables A.3.2-3</w:t>
      </w:r>
      <w:r>
        <w:rPr>
          <w:rFonts w:cs="v5.0.0"/>
          <w:lang w:eastAsia="zh-CN"/>
        </w:rPr>
        <w:t xml:space="preserve">, </w:t>
      </w:r>
      <w:r>
        <w:rPr>
          <w:rFonts w:cs="v5.0.0"/>
        </w:rPr>
        <w:t>A.3.2-3</w:t>
      </w:r>
      <w:r>
        <w:rPr>
          <w:rFonts w:cs="v5.0.0"/>
          <w:lang w:eastAsia="zh-CN"/>
        </w:rPr>
        <w:t xml:space="preserve">a, </w:t>
      </w:r>
      <w:r>
        <w:rPr>
          <w:rFonts w:cs="v5.0.0"/>
        </w:rPr>
        <w:t>A.3.2-3</w:t>
      </w:r>
      <w:r>
        <w:rPr>
          <w:rFonts w:cs="v5.0.0"/>
          <w:lang w:eastAsia="zh-CN"/>
        </w:rPr>
        <w:t xml:space="preserve">b, </w:t>
      </w:r>
      <w:r>
        <w:rPr>
          <w:rFonts w:cs="v5.0.0"/>
        </w:rPr>
        <w:t>A.3.2-</w:t>
      </w:r>
      <w:r>
        <w:rPr>
          <w:rFonts w:cs="v5.0.0"/>
          <w:lang w:eastAsia="zh-CN"/>
        </w:rPr>
        <w:t xml:space="preserve">4, </w:t>
      </w:r>
      <w:r>
        <w:rPr>
          <w:rFonts w:cs="v5.0.0"/>
        </w:rPr>
        <w:t>A.3.2-</w:t>
      </w:r>
      <w:r>
        <w:rPr>
          <w:rFonts w:cs="v5.0.0"/>
          <w:lang w:eastAsia="zh-CN"/>
        </w:rPr>
        <w:t>4a</w:t>
      </w:r>
      <w:r>
        <w:rPr>
          <w:rFonts w:cs="v5.0.0"/>
        </w:rPr>
        <w:t xml:space="preserve"> and A.3.2-4</w:t>
      </w:r>
      <w:r>
        <w:rPr>
          <w:rFonts w:cs="v5.0.0"/>
          <w:lang w:eastAsia="zh-CN"/>
        </w:rPr>
        <w:t>b</w:t>
      </w:r>
      <w:r>
        <w:rPr>
          <w:rFonts w:cs="v5.0.0"/>
        </w:rPr>
        <w:t xml:space="preserve"> are applicable for subclause 7.4 (Maximum input level).</w:t>
      </w:r>
    </w:p>
    <w:p>
      <w:r>
        <w:rPr>
          <w:rFonts w:cs="v5.0.0"/>
        </w:rPr>
        <w:t>Unless otherwise stated, Tables A.3.2-1, A.3.2-1a, A.3.2-1b, A.3.2-2, A.3.2-2a and A.3.2-2b also apply for the</w:t>
      </w:r>
      <w:r>
        <w:t xml:space="preserve"> modulated interferer used in Clauses 7.5, 7.6 and 7.8 with test specific bandwidths.</w:t>
      </w:r>
    </w:p>
    <w:p>
      <w:pPr>
        <w:pStyle w:val="113"/>
      </w:pPr>
      <w:r>
        <w:t xml:space="preserve">Table </w:t>
      </w:r>
      <w:bookmarkStart w:id="1032" w:name="OLE_LINK1"/>
      <w:r>
        <w:t>A.3.2-1</w:t>
      </w:r>
      <w:bookmarkEnd w:id="1032"/>
      <w:r>
        <w:rPr>
          <w:lang w:eastAsia="zh-CN"/>
        </w:rPr>
        <w:t>:</w:t>
      </w:r>
      <w:r>
        <w:t xml:space="preserve"> Fixed Reference Channel for Receiver Requirements (FDD) for UE Category M1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2267"/>
        <w:gridCol w:w="1088"/>
        <w:gridCol w:w="4710"/>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4"/>
              <w:rPr>
                <w:rFonts w:cs="Arial"/>
              </w:rPr>
            </w:pPr>
            <w:r>
              <w:rPr>
                <w:rFonts w:cs="Arial"/>
              </w:rPr>
              <w:t>Parameter</w:t>
            </w:r>
          </w:p>
        </w:tc>
        <w:tc>
          <w:tcPr>
            <w:tcW w:w="1088" w:type="dxa"/>
            <w:tcMar>
              <w:top w:w="0" w:type="dxa"/>
              <w:left w:w="108" w:type="dxa"/>
              <w:bottom w:w="0" w:type="dxa"/>
              <w:right w:w="108" w:type="dxa"/>
            </w:tcMar>
          </w:tcPr>
          <w:p>
            <w:pPr>
              <w:pStyle w:val="104"/>
              <w:rPr>
                <w:rFonts w:cs="Arial"/>
              </w:rPr>
            </w:pPr>
            <w:r>
              <w:rPr>
                <w:rFonts w:cs="Arial"/>
              </w:rPr>
              <w:t>Unit</w:t>
            </w:r>
          </w:p>
        </w:tc>
        <w:tc>
          <w:tcPr>
            <w:tcW w:w="4710" w:type="dxa"/>
            <w:tcMar>
              <w:top w:w="0" w:type="dxa"/>
              <w:left w:w="108" w:type="dxa"/>
              <w:bottom w:w="0" w:type="dxa"/>
              <w:right w:w="108" w:type="dxa"/>
            </w:tcMar>
          </w:tcPr>
          <w:p>
            <w:pPr>
              <w:pStyle w:val="104"/>
              <w:rPr>
                <w:rFonts w:cs="Arial"/>
              </w:rPr>
            </w:pPr>
            <w:r>
              <w:rPr>
                <w:rFonts w:cs="Arial"/>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Channel bandwidth</w:t>
            </w:r>
          </w:p>
        </w:tc>
        <w:tc>
          <w:tcPr>
            <w:tcW w:w="1088" w:type="dxa"/>
            <w:tcMar>
              <w:top w:w="0" w:type="dxa"/>
              <w:left w:w="108" w:type="dxa"/>
              <w:bottom w:w="0" w:type="dxa"/>
              <w:right w:w="108" w:type="dxa"/>
            </w:tcMar>
          </w:tcPr>
          <w:p>
            <w:pPr>
              <w:pStyle w:val="105"/>
              <w:rPr>
                <w:rFonts w:cs="Arial"/>
              </w:rPr>
            </w:pPr>
            <w:r>
              <w:rPr>
                <w:rFonts w:cs="Arial"/>
              </w:rPr>
              <w:t>MHz</w:t>
            </w:r>
          </w:p>
        </w:tc>
        <w:tc>
          <w:tcPr>
            <w:tcW w:w="4710" w:type="dxa"/>
            <w:tcMar>
              <w:top w:w="0" w:type="dxa"/>
              <w:left w:w="108" w:type="dxa"/>
              <w:bottom w:w="0" w:type="dxa"/>
              <w:right w:w="108" w:type="dxa"/>
            </w:tcMar>
          </w:tcPr>
          <w:p>
            <w:pPr>
              <w:pStyle w:val="105"/>
              <w:rPr>
                <w:rFonts w:cs="Arial"/>
              </w:rPr>
            </w:pPr>
            <w:r>
              <w:rPr>
                <w:rFonts w:cs="Arial"/>
              </w:rPr>
              <w:t>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resource blocks</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Subcarriers per resource block</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subframes per Radio 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Modulation</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Target Coding Rate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HARQ Processes</w:t>
            </w:r>
          </w:p>
        </w:tc>
        <w:tc>
          <w:tcPr>
            <w:tcW w:w="1088" w:type="dxa"/>
            <w:tcMar>
              <w:top w:w="0" w:type="dxa"/>
              <w:left w:w="108" w:type="dxa"/>
              <w:bottom w:w="0" w:type="dxa"/>
              <w:right w:w="108" w:type="dxa"/>
            </w:tcMar>
          </w:tcPr>
          <w:p>
            <w:pPr>
              <w:pStyle w:val="105"/>
              <w:rPr>
                <w:rFonts w:cs="Arial"/>
              </w:rPr>
            </w:pPr>
            <w:r>
              <w:rPr>
                <w:rFonts w:cs="Arial"/>
              </w:rPr>
              <w:t>Processes</w:t>
            </w:r>
          </w:p>
        </w:tc>
        <w:tc>
          <w:tcPr>
            <w:tcW w:w="4710" w:type="dxa"/>
            <w:tcMar>
              <w:top w:w="0" w:type="dxa"/>
              <w:left w:w="108" w:type="dxa"/>
              <w:bottom w:w="0" w:type="dxa"/>
              <w:right w:w="108" w:type="dxa"/>
            </w:tcMar>
          </w:tcPr>
          <w:p>
            <w:pPr>
              <w:pStyle w:val="105"/>
              <w:rPr>
                <w:rFonts w:cs="Arial"/>
              </w:rPr>
            </w:pPr>
            <w:r>
              <w:rPr>
                <w:rFonts w:cs="Arial"/>
              </w:rPr>
              <w:t>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Maximum number of HARQ transmissions</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Information Bit Payload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Transport block CRC</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Code Blocks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Binary Channel Bits Per Sub-Frame</w:t>
            </w:r>
          </w:p>
        </w:tc>
        <w:tc>
          <w:tcPr>
            <w:tcW w:w="1088" w:type="dxa"/>
            <w:tcMar>
              <w:top w:w="0" w:type="dxa"/>
              <w:left w:w="108" w:type="dxa"/>
              <w:bottom w:w="0" w:type="dxa"/>
              <w:right w:w="108" w:type="dxa"/>
            </w:tcMar>
          </w:tcPr>
          <w:p>
            <w:pPr>
              <w:pStyle w:val="105"/>
              <w:rPr>
                <w:rFonts w:cs="Arial"/>
              </w:rPr>
            </w:pPr>
          </w:p>
        </w:tc>
        <w:tc>
          <w:tcPr>
            <w:tcW w:w="4710"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912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4710"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Max. Throughput averaged over 1 frame for FDD</w:t>
            </w:r>
          </w:p>
        </w:tc>
        <w:tc>
          <w:tcPr>
            <w:tcW w:w="1088" w:type="dxa"/>
            <w:tcMar>
              <w:top w:w="0" w:type="dxa"/>
              <w:left w:w="108" w:type="dxa"/>
              <w:bottom w:w="0" w:type="dxa"/>
              <w:right w:w="108" w:type="dxa"/>
            </w:tcMar>
          </w:tcPr>
          <w:p>
            <w:pPr>
              <w:pStyle w:val="105"/>
              <w:rPr>
                <w:rFonts w:cs="Arial"/>
              </w:rPr>
            </w:pPr>
            <w:r>
              <w:rPr>
                <w:rFonts w:cs="Arial"/>
              </w:rPr>
              <w:t>kbps</w:t>
            </w:r>
          </w:p>
        </w:tc>
        <w:tc>
          <w:tcPr>
            <w:tcW w:w="4710" w:type="dxa"/>
            <w:shd w:val="clear" w:color="auto" w:fill="auto"/>
            <w:tcMar>
              <w:top w:w="0" w:type="dxa"/>
              <w:left w:w="108" w:type="dxa"/>
              <w:bottom w:w="0" w:type="dxa"/>
              <w:right w:w="108" w:type="dxa"/>
            </w:tcMar>
          </w:tcPr>
          <w:p>
            <w:pPr>
              <w:pStyle w:val="105"/>
              <w:rPr>
                <w:rFonts w:cs="Arial"/>
              </w:rPr>
            </w:pPr>
            <w:r>
              <w:rPr>
                <w:rFonts w:cs="Arial"/>
              </w:rPr>
              <w:t>51.2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Max. Throughput averaged over 1 frames for HD-FDD</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kbps</w:t>
            </w:r>
          </w:p>
        </w:tc>
        <w:tc>
          <w:tcPr>
            <w:tcW w:w="4710"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UE DL Category</w:t>
            </w:r>
          </w:p>
        </w:tc>
        <w:tc>
          <w:tcPr>
            <w:tcW w:w="1088" w:type="dxa"/>
            <w:tcMar>
              <w:top w:w="0" w:type="dxa"/>
              <w:left w:w="108" w:type="dxa"/>
              <w:bottom w:w="0" w:type="dxa"/>
              <w:right w:w="108" w:type="dxa"/>
            </w:tcMar>
          </w:tcPr>
          <w:p>
            <w:pPr>
              <w:pStyle w:val="105"/>
              <w:rPr>
                <w:rFonts w:cs="Arial"/>
              </w:rPr>
            </w:pPr>
          </w:p>
        </w:tc>
        <w:tc>
          <w:tcPr>
            <w:tcW w:w="4710" w:type="dxa"/>
            <w:shd w:val="clear" w:color="auto" w:fill="auto"/>
            <w:tcMar>
              <w:top w:w="0" w:type="dxa"/>
              <w:left w:w="108" w:type="dxa"/>
              <w:bottom w:w="0" w:type="dxa"/>
              <w:right w:w="108" w:type="dxa"/>
            </w:tcMar>
          </w:tcPr>
          <w:p>
            <w:pPr>
              <w:pStyle w:val="105"/>
              <w:rPr>
                <w:rFonts w:cs="Arial"/>
              </w:rPr>
            </w:pPr>
            <w:r>
              <w:rPr>
                <w:rFonts w:cs="Arial"/>
              </w:rPr>
              <w:t>M1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8065" w:type="dxa"/>
            <w:gridSpan w:val="3"/>
            <w:tcMar>
              <w:top w:w="0" w:type="dxa"/>
              <w:left w:w="108" w:type="dxa"/>
              <w:bottom w:w="0" w:type="dxa"/>
              <w:right w:w="108" w:type="dxa"/>
            </w:tcMar>
          </w:tcPr>
          <w:p>
            <w:pPr>
              <w:pStyle w:val="118"/>
              <w:rPr>
                <w:rFonts w:cs="Arial"/>
              </w:rPr>
            </w:pPr>
            <w:r>
              <w:rPr>
                <w:rFonts w:cs="Arial"/>
              </w:rPr>
              <w:t>Note 1:</w:t>
            </w:r>
            <w:r>
              <w:rPr>
                <w:rFonts w:cs="Arial"/>
              </w:rPr>
              <w:tab/>
            </w:r>
            <w:r>
              <w:rPr>
                <w:rFonts w:cs="Arial"/>
              </w:rPr>
              <w:t>4 symbols allocated to PDCCH for 1.4 MHz</w:t>
            </w:r>
          </w:p>
          <w:p>
            <w:pPr>
              <w:pStyle w:val="118"/>
              <w:rPr>
                <w:rFonts w:cs="Arial"/>
              </w:rPr>
            </w:pPr>
            <w:r>
              <w:rPr>
                <w:rFonts w:cs="Arial"/>
              </w:rPr>
              <w:t>Note 2:</w:t>
            </w:r>
            <w:r>
              <w:rPr>
                <w:rFonts w:cs="Arial"/>
              </w:rPr>
              <w:tab/>
            </w:r>
            <w:r>
              <w:rPr>
                <w:rFonts w:cs="Arial"/>
              </w:rPr>
              <w:t xml:space="preserve">Reference signal, Synchronization signals and PBCH allocated as per </w:t>
            </w:r>
            <w:r>
              <w:rPr>
                <w:rFonts w:hint="eastAsia" w:eastAsia="宋体" w:cs="Arial"/>
                <w:lang w:eastAsia="zh-CN"/>
              </w:rPr>
              <w:t>TS 36.211 [3]</w:t>
            </w:r>
            <w:r>
              <w:rPr>
                <w:rFonts w:cs="Arial"/>
              </w:rPr>
              <w:t>.</w:t>
            </w:r>
          </w:p>
          <w:p>
            <w:pPr>
              <w:pStyle w:val="118"/>
              <w:rPr>
                <w:rFonts w:cs="Arial"/>
              </w:rPr>
            </w:pPr>
            <w:r>
              <w:rPr>
                <w:rFonts w:cs="Arial"/>
              </w:rPr>
              <w:t>Note 3:</w:t>
            </w:r>
            <w:r>
              <w:rPr>
                <w:rFonts w:cs="Arial"/>
              </w:rPr>
              <w:tab/>
            </w:r>
            <w:r>
              <w:rPr>
                <w:rFonts w:cs="Arial"/>
              </w:rPr>
              <w:t>For HD-FDD UE, PDSCH are scheduled at the 3rd subframe every 1 radio frame for 1.4MHz channel BW.</w:t>
            </w:r>
            <w:r>
              <w:t xml:space="preserve"> </w:t>
            </w:r>
            <w:r>
              <w:rPr>
                <w:rFonts w:cs="Arial"/>
              </w:rPr>
              <w:t>Information bit payload is available if downlink subframe is scheduled. The corresponding M-PDCCH is scheduled 2 subframes before the corresponding PDSCH transmission.</w:t>
            </w:r>
          </w:p>
          <w:p>
            <w:pPr>
              <w:pStyle w:val="118"/>
              <w:rPr>
                <w:rFonts w:cs="Arial"/>
              </w:rPr>
            </w:pPr>
            <w:r>
              <w:rPr>
                <w:rFonts w:cs="Arial"/>
              </w:rPr>
              <w:t>Note 4:</w:t>
            </w:r>
            <w:r>
              <w:rPr>
                <w:rFonts w:cs="Arial"/>
              </w:rPr>
              <w:tab/>
            </w:r>
            <w:r>
              <w:rPr>
                <w:rFonts w:cs="Arial"/>
              </w:rPr>
              <w:t>2 resource blocks allocated to M-PDCCH</w:t>
            </w:r>
          </w:p>
        </w:tc>
      </w:tr>
    </w:tbl>
    <w:p/>
    <w:p>
      <w:pPr>
        <w:pStyle w:val="113"/>
      </w:pPr>
      <w:r>
        <w:t>Table A.3.2-</w:t>
      </w:r>
      <w:r>
        <w:rPr>
          <w:rFonts w:eastAsia="宋体"/>
          <w:lang w:val="en-US" w:eastAsia="zh-CN"/>
        </w:rPr>
        <w:t>2</w:t>
      </w:r>
      <w:r>
        <w:t>: Fixed Reference Channel for Receiver Requirements (HD-FDD) without repetition – for CAT-NB1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4"/>
              <w:rPr>
                <w:lang w:eastAsia="zh-CN"/>
              </w:rPr>
            </w:pPr>
            <w:r>
              <w:rPr>
                <w:lang w:eastAsia="zh-CN"/>
              </w:rPr>
              <w:t>Parameter</w:t>
            </w:r>
          </w:p>
        </w:tc>
        <w:tc>
          <w:tcPr>
            <w:tcW w:w="2250" w:type="dxa"/>
            <w:tcMar>
              <w:top w:w="0" w:type="dxa"/>
              <w:left w:w="108" w:type="dxa"/>
              <w:bottom w:w="0" w:type="dxa"/>
              <w:right w:w="108" w:type="dxa"/>
            </w:tcMar>
          </w:tcPr>
          <w:p>
            <w:pPr>
              <w:pStyle w:val="104"/>
              <w:rPr>
                <w:lang w:eastAsia="zh-CN"/>
              </w:rPr>
            </w:pPr>
            <w:r>
              <w:rPr>
                <w:lang w:eastAsia="zh-CN"/>
              </w:rPr>
              <w:t>Unit</w:t>
            </w:r>
          </w:p>
        </w:tc>
        <w:tc>
          <w:tcPr>
            <w:tcW w:w="1167" w:type="dxa"/>
            <w:tcMar>
              <w:top w:w="0" w:type="dxa"/>
              <w:left w:w="108" w:type="dxa"/>
              <w:bottom w:w="0" w:type="dxa"/>
              <w:right w:w="108" w:type="dxa"/>
            </w:tcMar>
          </w:tcPr>
          <w:p>
            <w:pPr>
              <w:pStyle w:val="104"/>
              <w:rPr>
                <w:lang w:eastAsia="zh-CN"/>
              </w:rPr>
            </w:pPr>
            <w:r>
              <w:rPr>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Channel bandwidth</w:t>
            </w:r>
          </w:p>
        </w:tc>
        <w:tc>
          <w:tcPr>
            <w:tcW w:w="2250" w:type="dxa"/>
            <w:tcMar>
              <w:top w:w="0" w:type="dxa"/>
              <w:left w:w="108" w:type="dxa"/>
              <w:bottom w:w="0" w:type="dxa"/>
              <w:right w:w="108" w:type="dxa"/>
            </w:tcMar>
          </w:tcPr>
          <w:p>
            <w:pPr>
              <w:pStyle w:val="105"/>
            </w:pPr>
            <w:r>
              <w:t>MHz</w:t>
            </w:r>
          </w:p>
        </w:tc>
        <w:tc>
          <w:tcPr>
            <w:tcW w:w="1167" w:type="dxa"/>
            <w:tcMar>
              <w:top w:w="0" w:type="dxa"/>
              <w:left w:w="108" w:type="dxa"/>
              <w:bottom w:w="0" w:type="dxa"/>
              <w:right w:w="108" w:type="dxa"/>
            </w:tcMar>
          </w:tcPr>
          <w:p>
            <w:pPr>
              <w:pStyle w:val="105"/>
            </w:pPr>
            <w: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subcarriers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Modulation</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Target Coding Rate</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HARQ Processes</w:t>
            </w:r>
          </w:p>
        </w:tc>
        <w:tc>
          <w:tcPr>
            <w:tcW w:w="2250" w:type="dxa"/>
            <w:tcMar>
              <w:top w:w="0" w:type="dxa"/>
              <w:left w:w="108" w:type="dxa"/>
              <w:bottom w:w="0" w:type="dxa"/>
              <w:right w:w="108" w:type="dxa"/>
            </w:tcMar>
          </w:tcPr>
          <w:p>
            <w:pPr>
              <w:pStyle w:val="105"/>
            </w:pPr>
            <w:r>
              <w:t>Processes</w:t>
            </w: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Maximum number of HARQ transmissions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size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88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Sub-Frames per transport block</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CRC</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Binary Channel Bits Per Sub-Frame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320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LTE CRS port</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NRS ports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NPDSCH repetitions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UE DL Category</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NB1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7287" w:type="dxa"/>
            <w:gridSpan w:val="3"/>
            <w:tcMar>
              <w:top w:w="0" w:type="dxa"/>
              <w:left w:w="108" w:type="dxa"/>
              <w:bottom w:w="0" w:type="dxa"/>
              <w:right w:w="108" w:type="dxa"/>
            </w:tcMar>
          </w:tcPr>
          <w:p>
            <w:pPr>
              <w:pStyle w:val="118"/>
            </w:pPr>
            <w:r>
              <w:t>Note 1:</w:t>
            </w:r>
            <w:r>
              <w:tab/>
            </w:r>
            <w:r>
              <w:t>NB-IoT in stand-alone mode has been considered here</w:t>
            </w:r>
          </w:p>
          <w:p>
            <w:pPr>
              <w:pStyle w:val="118"/>
            </w:pPr>
            <w:r>
              <w:t>Note 2:</w:t>
            </w:r>
            <w:r>
              <w:tab/>
            </w:r>
            <w:r>
              <w:t xml:space="preserve">Reference signal, Synchronization signals and NPBCH allocated as per </w:t>
            </w:r>
            <w:r>
              <w:rPr>
                <w:rFonts w:hint="eastAsia" w:eastAsia="宋体"/>
                <w:lang w:eastAsia="zh-CN"/>
              </w:rPr>
              <w:t>TS 36.211 [3]</w:t>
            </w:r>
            <w:r>
              <w:t>.</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3:</w:t>
            </w:r>
            <w:r>
              <w:rPr>
                <w:rFonts w:ascii="Arial" w:hAnsi="Arial" w:eastAsia="MS Mincho"/>
                <w:sz w:val="18"/>
              </w:rPr>
              <w:tab/>
            </w:r>
            <w:r>
              <w:rPr>
                <w:rFonts w:ascii="Arial" w:hAnsi="Arial" w:eastAsia="MS Mincho"/>
                <w:sz w:val="18"/>
              </w:rPr>
              <w:t xml:space="preserve">If more than one Code Block is present, an additional CRC sequence of L = 24 Bits is attached to each Code Block (otherwise L = 0 Bit) </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4:</w:t>
            </w:r>
            <w:r>
              <w:rPr>
                <w:rFonts w:ascii="Arial" w:hAnsi="Arial" w:eastAsia="MS Mincho"/>
                <w:sz w:val="18"/>
              </w:rPr>
              <w:tab/>
            </w:r>
            <w:r>
              <w:rPr>
                <w:rFonts w:ascii="Arial" w:hAnsi="Arial" w:eastAsia="MS Mincho"/>
                <w:sz w:val="18"/>
              </w:rPr>
              <w:t>Parameters related to NPDSCH scheduling are defined in Table A.3.2-1e to Table A.3.2-1g.</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5:</w:t>
            </w:r>
            <w:r>
              <w:rPr>
                <w:rFonts w:ascii="Arial" w:hAnsi="Arial" w:eastAsia="MS Mincho"/>
                <w:sz w:val="18"/>
              </w:rPr>
              <w:tab/>
            </w:r>
            <w:r>
              <w:rPr>
                <w:rFonts w:ascii="Arial" w:hAnsi="Arial" w:eastAsia="MS Mincho"/>
                <w:sz w:val="18"/>
              </w:rPr>
              <w:t>NPDCCH and information bit payload are not transmitted in the subframes used for transmission of SI messages.</w:t>
            </w:r>
          </w:p>
          <w:p>
            <w:pPr>
              <w:pStyle w:val="118"/>
            </w:pPr>
            <w:r>
              <w:t>Note 6:</w:t>
            </w:r>
            <w:r>
              <w:tab/>
            </w:r>
            <w:r>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p>
      <w:pPr>
        <w:pStyle w:val="113"/>
      </w:pPr>
      <w:r>
        <w:t>Table A.3.2-</w:t>
      </w:r>
      <w:r>
        <w:rPr>
          <w:rFonts w:eastAsia="宋体"/>
          <w:lang w:val="en-US" w:eastAsia="zh-CN"/>
        </w:rPr>
        <w:t>3</w:t>
      </w:r>
      <w:r>
        <w:t xml:space="preserve"> Example scheduling pattern with SI periodicity of 64 radio frames for Receiver Requirements (HD-FDD) without repetition – for CAT-NB1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7"/>
        <w:gridCol w:w="1577"/>
        <w:gridCol w:w="1565"/>
        <w:gridCol w:w="17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7" w:type="dxa"/>
            <w:vMerge w:val="restart"/>
            <w:shd w:val="clear" w:color="auto" w:fill="auto"/>
          </w:tcPr>
          <w:p>
            <w:pPr>
              <w:rPr>
                <w:rFonts w:ascii="Arial" w:hAnsi="Arial" w:eastAsia="MS Mincho" w:cs="Arial"/>
                <w:b/>
                <w:lang w:eastAsia="de-DE"/>
              </w:rPr>
            </w:pPr>
            <w:r>
              <w:rPr>
                <w:rFonts w:ascii="Arial" w:hAnsi="Arial" w:eastAsia="MS Mincho" w:cs="Arial"/>
                <w:b/>
                <w:lang w:eastAsia="de-DE"/>
              </w:rPr>
              <w:t>Subframe th from the 0</w:t>
            </w:r>
            <w:r>
              <w:rPr>
                <w:rFonts w:ascii="Arial" w:hAnsi="Arial" w:eastAsia="MS Mincho" w:cs="Arial"/>
                <w:b/>
                <w:vertAlign w:val="superscript"/>
                <w:lang w:eastAsia="de-DE"/>
              </w:rPr>
              <w:t>th</w:t>
            </w:r>
            <w:r>
              <w:rPr>
                <w:rFonts w:ascii="Arial" w:hAnsi="Arial" w:eastAsia="MS Mincho" w:cs="Arial"/>
                <w:b/>
                <w:lang w:eastAsia="de-DE"/>
              </w:rPr>
              <w:t xml:space="preserve"> subframe</w:t>
            </w:r>
          </w:p>
        </w:tc>
        <w:tc>
          <w:tcPr>
            <w:tcW w:w="1577" w:type="dxa"/>
            <w:shd w:val="clear" w:color="auto" w:fill="auto"/>
          </w:tcPr>
          <w:p>
            <w:pPr>
              <w:rPr>
                <w:rFonts w:ascii="Arial" w:hAnsi="Arial" w:eastAsia="MS Mincho" w:cs="Arial"/>
                <w:b/>
                <w:lang w:eastAsia="de-DE"/>
              </w:rPr>
            </w:pPr>
            <w:r>
              <w:rPr>
                <w:rFonts w:ascii="Arial" w:hAnsi="Arial" w:eastAsia="MS Mincho" w:cs="Arial"/>
                <w:b/>
                <w:lang w:eastAsia="de-DE"/>
              </w:rPr>
              <w:t>NPDCCH</w:t>
            </w:r>
          </w:p>
        </w:tc>
        <w:tc>
          <w:tcPr>
            <w:tcW w:w="1565" w:type="dxa"/>
            <w:shd w:val="clear" w:color="auto" w:fill="auto"/>
          </w:tcPr>
          <w:p>
            <w:pPr>
              <w:rPr>
                <w:rFonts w:ascii="Arial" w:hAnsi="Arial" w:eastAsia="MS Mincho" w:cs="Arial"/>
                <w:b/>
                <w:lang w:eastAsia="de-DE"/>
              </w:rPr>
            </w:pPr>
            <w:r>
              <w:rPr>
                <w:rFonts w:ascii="Arial" w:hAnsi="Arial" w:eastAsia="MS Mincho" w:cs="Arial"/>
                <w:b/>
                <w:lang w:eastAsia="de-DE"/>
              </w:rPr>
              <w:t>NPDSCH</w:t>
            </w:r>
          </w:p>
        </w:tc>
        <w:tc>
          <w:tcPr>
            <w:tcW w:w="1714" w:type="dxa"/>
            <w:shd w:val="clear" w:color="auto" w:fill="auto"/>
          </w:tcPr>
          <w:p>
            <w:pPr>
              <w:rPr>
                <w:rFonts w:ascii="Arial" w:hAnsi="Arial" w:eastAsia="MS Mincho" w:cs="Arial"/>
                <w:b/>
                <w:lang w:eastAsia="de-DE"/>
              </w:rPr>
            </w:pPr>
            <w:r>
              <w:rPr>
                <w:rFonts w:ascii="Arial" w:hAnsi="Arial" w:eastAsia="MS Mincho" w:cs="Arial"/>
                <w:b/>
                <w:lang w:eastAsia="de-DE"/>
              </w:rPr>
              <w:t>NPUSCH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87" w:type="dxa"/>
            <w:vMerge w:val="continue"/>
            <w:shd w:val="clear" w:color="auto" w:fill="auto"/>
          </w:tcPr>
          <w:p>
            <w:pPr>
              <w:rPr>
                <w:rFonts w:ascii="Arial" w:hAnsi="Arial" w:eastAsia="MS Mincho" w:cs="Arial"/>
                <w:lang w:eastAsia="de-DE"/>
              </w:rPr>
            </w:pPr>
          </w:p>
        </w:tc>
        <w:tc>
          <w:tcPr>
            <w:tcW w:w="1577" w:type="dxa"/>
            <w:shd w:val="clear" w:color="auto" w:fill="auto"/>
          </w:tcPr>
          <w:p>
            <w:pPr>
              <w:rPr>
                <w:rFonts w:ascii="Arial" w:hAnsi="Arial" w:eastAsia="MS Mincho" w:cs="Arial"/>
                <w:sz w:val="18"/>
              </w:rPr>
            </w:pPr>
            <w:r>
              <w:rPr>
                <w:rFonts w:ascii="Arial" w:hAnsi="Arial" w:eastAsia="MS Mincho" w:cs="Arial"/>
                <w:sz w:val="18"/>
              </w:rPr>
              <w:t>18, 42, 66, 98, 122, 146, 171, 194, 218, 242, 266, 291, 314, 338, 362, 386, 411, 434, 458, 482, 506, 531, 554, 578, 602, 626</w:t>
            </w:r>
          </w:p>
        </w:tc>
        <w:tc>
          <w:tcPr>
            <w:tcW w:w="1565" w:type="dxa"/>
            <w:shd w:val="clear" w:color="auto" w:fill="auto"/>
          </w:tcPr>
          <w:p>
            <w:pPr>
              <w:rPr>
                <w:rFonts w:ascii="Arial" w:hAnsi="Arial" w:eastAsia="MS Mincho" w:cs="Arial"/>
                <w:sz w:val="18"/>
              </w:rPr>
            </w:pPr>
            <w:r>
              <w:rPr>
                <w:rFonts w:ascii="Arial" w:hAnsi="Arial" w:eastAsia="MS Mincho" w:cs="Arial"/>
                <w:sz w:val="18"/>
              </w:rPr>
              <w:t>+5 from corresponding NPDCCH</w:t>
            </w:r>
          </w:p>
        </w:tc>
        <w:tc>
          <w:tcPr>
            <w:tcW w:w="1714" w:type="dxa"/>
            <w:shd w:val="clear" w:color="auto" w:fill="auto"/>
          </w:tcPr>
          <w:p>
            <w:pPr>
              <w:rPr>
                <w:rFonts w:ascii="Arial" w:hAnsi="Arial" w:eastAsia="MS Mincho" w:cs="Arial"/>
                <w:sz w:val="18"/>
              </w:rPr>
            </w:pPr>
            <w:r>
              <w:rPr>
                <w:rFonts w:ascii="Arial" w:hAnsi="Arial" w:eastAsia="MS Mincho" w:cs="Arial"/>
                <w:sz w:val="18"/>
              </w:rPr>
              <w:t>+13 and +14 from corresponding NPDSCH. NPUSCH transmission occupies 2 subframes</w:t>
            </w:r>
          </w:p>
        </w:tc>
      </w:tr>
    </w:tbl>
    <w:p/>
    <w:p>
      <w:pPr>
        <w:pStyle w:val="113"/>
      </w:pPr>
      <w:r>
        <w:t>Table A.3.2-</w:t>
      </w:r>
      <w:r>
        <w:rPr>
          <w:rFonts w:eastAsia="宋体"/>
          <w:lang w:val="en-US" w:eastAsia="zh-CN"/>
        </w:rPr>
        <w:t>4</w:t>
      </w:r>
      <w:r>
        <w:t>: Fixed Reference Channel for Receiver Requirements (HD-FDD) with repetition – for CAT-NB1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3870"/>
        <w:gridCol w:w="2250"/>
        <w:gridCol w:w="1167"/>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4"/>
              <w:rPr>
                <w:lang w:eastAsia="zh-CN"/>
              </w:rPr>
            </w:pPr>
            <w:r>
              <w:rPr>
                <w:lang w:eastAsia="zh-CN"/>
              </w:rPr>
              <w:t>Parameter</w:t>
            </w:r>
          </w:p>
        </w:tc>
        <w:tc>
          <w:tcPr>
            <w:tcW w:w="2250" w:type="dxa"/>
            <w:tcMar>
              <w:top w:w="0" w:type="dxa"/>
              <w:left w:w="108" w:type="dxa"/>
              <w:bottom w:w="0" w:type="dxa"/>
              <w:right w:w="108" w:type="dxa"/>
            </w:tcMar>
          </w:tcPr>
          <w:p>
            <w:pPr>
              <w:pStyle w:val="104"/>
              <w:rPr>
                <w:lang w:eastAsia="zh-CN"/>
              </w:rPr>
            </w:pPr>
            <w:r>
              <w:rPr>
                <w:lang w:eastAsia="zh-CN"/>
              </w:rPr>
              <w:t>Unit</w:t>
            </w:r>
          </w:p>
        </w:tc>
        <w:tc>
          <w:tcPr>
            <w:tcW w:w="1167" w:type="dxa"/>
            <w:tcMar>
              <w:top w:w="0" w:type="dxa"/>
              <w:left w:w="108" w:type="dxa"/>
              <w:bottom w:w="0" w:type="dxa"/>
              <w:right w:w="108" w:type="dxa"/>
            </w:tcMar>
          </w:tcPr>
          <w:p>
            <w:pPr>
              <w:pStyle w:val="104"/>
              <w:rPr>
                <w:lang w:eastAsia="zh-CN"/>
              </w:rPr>
            </w:pPr>
            <w:r>
              <w:rPr>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Channel bandwidth</w:t>
            </w:r>
          </w:p>
        </w:tc>
        <w:tc>
          <w:tcPr>
            <w:tcW w:w="2250" w:type="dxa"/>
            <w:tcMar>
              <w:top w:w="0" w:type="dxa"/>
              <w:left w:w="108" w:type="dxa"/>
              <w:bottom w:w="0" w:type="dxa"/>
              <w:right w:w="108" w:type="dxa"/>
            </w:tcMar>
          </w:tcPr>
          <w:p>
            <w:pPr>
              <w:pStyle w:val="105"/>
            </w:pPr>
            <w:r>
              <w:t>MHz</w:t>
            </w:r>
          </w:p>
        </w:tc>
        <w:tc>
          <w:tcPr>
            <w:tcW w:w="1167" w:type="dxa"/>
            <w:tcMar>
              <w:top w:w="0" w:type="dxa"/>
              <w:left w:w="108" w:type="dxa"/>
              <w:bottom w:w="0" w:type="dxa"/>
              <w:right w:w="108" w:type="dxa"/>
            </w:tcMar>
          </w:tcPr>
          <w:p>
            <w:pPr>
              <w:pStyle w:val="105"/>
            </w:pPr>
            <w:r>
              <w:t>0.2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subcarriers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Modulation</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Target Coding Rate</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HARQ Processes</w:t>
            </w:r>
          </w:p>
        </w:tc>
        <w:tc>
          <w:tcPr>
            <w:tcW w:w="2250" w:type="dxa"/>
            <w:tcMar>
              <w:top w:w="0" w:type="dxa"/>
              <w:left w:w="108" w:type="dxa"/>
              <w:bottom w:w="0" w:type="dxa"/>
              <w:right w:w="108" w:type="dxa"/>
            </w:tcMar>
          </w:tcPr>
          <w:p>
            <w:pPr>
              <w:pStyle w:val="105"/>
            </w:pPr>
            <w:r>
              <w:t>Processes</w:t>
            </w: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Maximum number of HARQ transmissions</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size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88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Number of Sub-Frames per transport block</w:t>
            </w:r>
          </w:p>
        </w:tc>
        <w:tc>
          <w:tcPr>
            <w:tcW w:w="2250" w:type="dxa"/>
            <w:tcMar>
              <w:top w:w="0" w:type="dxa"/>
              <w:left w:w="108" w:type="dxa"/>
              <w:bottom w:w="0" w:type="dxa"/>
              <w:right w:w="108" w:type="dxa"/>
            </w:tcMar>
          </w:tcPr>
          <w:p>
            <w:pPr>
              <w:pStyle w:val="105"/>
            </w:pPr>
          </w:p>
        </w:tc>
        <w:tc>
          <w:tcPr>
            <w:tcW w:w="1167" w:type="dxa"/>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Transport block CRC</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3870" w:type="dxa"/>
            <w:tcMar>
              <w:top w:w="0" w:type="dxa"/>
              <w:left w:w="108" w:type="dxa"/>
              <w:bottom w:w="0" w:type="dxa"/>
              <w:right w:w="108" w:type="dxa"/>
            </w:tcMar>
          </w:tcPr>
          <w:p>
            <w:pPr>
              <w:pStyle w:val="103"/>
            </w:pPr>
            <w:r>
              <w:t>Binary Channel Bits Per Sub-Frame</w:t>
            </w:r>
          </w:p>
        </w:tc>
        <w:tc>
          <w:tcPr>
            <w:tcW w:w="2250" w:type="dxa"/>
            <w:tcMar>
              <w:top w:w="0" w:type="dxa"/>
              <w:left w:w="108" w:type="dxa"/>
              <w:bottom w:w="0" w:type="dxa"/>
              <w:right w:w="108" w:type="dxa"/>
            </w:tcMar>
          </w:tcPr>
          <w:p>
            <w:pPr>
              <w:pStyle w:val="105"/>
            </w:pPr>
            <w:r>
              <w:t>Bits</w:t>
            </w:r>
          </w:p>
        </w:tc>
        <w:tc>
          <w:tcPr>
            <w:tcW w:w="1167" w:type="dxa"/>
            <w:tcMar>
              <w:top w:w="0" w:type="dxa"/>
              <w:left w:w="108" w:type="dxa"/>
              <w:bottom w:w="0" w:type="dxa"/>
              <w:right w:w="108" w:type="dxa"/>
            </w:tcMar>
          </w:tcPr>
          <w:p>
            <w:pPr>
              <w:pStyle w:val="105"/>
            </w:pPr>
            <w:r>
              <w:t>320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LTE CRS port</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NRS ports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Number of NPDSCH repetitions</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TBD</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3870" w:type="dxa"/>
            <w:tcMar>
              <w:top w:w="0" w:type="dxa"/>
              <w:left w:w="108" w:type="dxa"/>
              <w:bottom w:w="0" w:type="dxa"/>
              <w:right w:w="108" w:type="dxa"/>
            </w:tcMar>
          </w:tcPr>
          <w:p>
            <w:pPr>
              <w:pStyle w:val="103"/>
            </w:pPr>
            <w:r>
              <w:t>UE DL Category</w:t>
            </w:r>
          </w:p>
        </w:tc>
        <w:tc>
          <w:tcPr>
            <w:tcW w:w="2250" w:type="dxa"/>
            <w:tcMar>
              <w:top w:w="0" w:type="dxa"/>
              <w:left w:w="108" w:type="dxa"/>
              <w:bottom w:w="0" w:type="dxa"/>
              <w:right w:w="108" w:type="dxa"/>
            </w:tcMar>
          </w:tcPr>
          <w:p>
            <w:pPr>
              <w:pStyle w:val="105"/>
            </w:pPr>
          </w:p>
        </w:tc>
        <w:tc>
          <w:tcPr>
            <w:tcW w:w="1167" w:type="dxa"/>
            <w:shd w:val="clear" w:color="auto" w:fill="auto"/>
            <w:tcMar>
              <w:top w:w="0" w:type="dxa"/>
              <w:left w:w="108" w:type="dxa"/>
              <w:bottom w:w="0" w:type="dxa"/>
              <w:right w:w="108" w:type="dxa"/>
            </w:tcMar>
          </w:tcPr>
          <w:p>
            <w:pPr>
              <w:pStyle w:val="105"/>
            </w:pPr>
            <w:r>
              <w:t>NB1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7287" w:type="dxa"/>
            <w:gridSpan w:val="3"/>
            <w:tcMar>
              <w:top w:w="0" w:type="dxa"/>
              <w:left w:w="108" w:type="dxa"/>
              <w:bottom w:w="0" w:type="dxa"/>
              <w:right w:w="108" w:type="dxa"/>
            </w:tcMar>
          </w:tcPr>
          <w:p>
            <w:pPr>
              <w:pStyle w:val="118"/>
            </w:pPr>
            <w:r>
              <w:t>Note 1:</w:t>
            </w:r>
            <w:r>
              <w:tab/>
            </w:r>
            <w:r>
              <w:t>NB-IoT in stand-alone mode has been considered here</w:t>
            </w:r>
          </w:p>
          <w:p>
            <w:pPr>
              <w:pStyle w:val="118"/>
            </w:pPr>
            <w:r>
              <w:t>Note 2:</w:t>
            </w:r>
            <w:r>
              <w:tab/>
            </w:r>
            <w:r>
              <w:t xml:space="preserve">Reference signal, Synchronization signals and NPBCH allocated as per </w:t>
            </w:r>
            <w:r>
              <w:rPr>
                <w:rFonts w:hint="eastAsia" w:eastAsia="宋体"/>
                <w:lang w:eastAsia="zh-CN"/>
              </w:rPr>
              <w:t>TS 36.211 [3]</w:t>
            </w:r>
            <w:r>
              <w:t>.</w:t>
            </w:r>
          </w:p>
          <w:p>
            <w:pPr>
              <w:keepNext/>
              <w:keepLines/>
              <w:overflowPunct w:val="0"/>
              <w:autoSpaceDE w:val="0"/>
              <w:autoSpaceDN w:val="0"/>
              <w:adjustRightInd w:val="0"/>
              <w:spacing w:after="0"/>
              <w:ind w:left="851" w:hanging="851"/>
              <w:textAlignment w:val="baseline"/>
              <w:rPr>
                <w:rFonts w:ascii="Arial" w:hAnsi="Arial" w:eastAsia="MS Mincho"/>
                <w:sz w:val="18"/>
              </w:rPr>
            </w:pPr>
            <w:r>
              <w:rPr>
                <w:rFonts w:ascii="Arial" w:hAnsi="Arial" w:eastAsia="MS Mincho"/>
                <w:sz w:val="18"/>
              </w:rPr>
              <w:t>Note 3:</w:t>
            </w:r>
            <w:r>
              <w:rPr>
                <w:rFonts w:ascii="Arial" w:hAnsi="Arial" w:eastAsia="MS Mincho"/>
                <w:sz w:val="18"/>
              </w:rPr>
              <w:tab/>
            </w:r>
            <w:r>
              <w:rPr>
                <w:rFonts w:ascii="Arial" w:hAnsi="Arial" w:eastAsia="MS Mincho"/>
                <w:sz w:val="18"/>
              </w:rPr>
              <w:t xml:space="preserve">If more than one Code Block is present, an additional CRC sequence of L = 24 Bits is attached to each Code Block (otherwise L = 0 Bit) </w:t>
            </w:r>
          </w:p>
          <w:p>
            <w:pPr>
              <w:pStyle w:val="118"/>
            </w:pPr>
            <w:r>
              <w:t>Note 4:</w:t>
            </w:r>
            <w:r>
              <w:tab/>
            </w:r>
            <w:r>
              <w:t>Parameters related to NPDSCH scheduling are defined in Table A.3.2-1e to Table A.3.2-1g.</w:t>
            </w:r>
          </w:p>
        </w:tc>
      </w:tr>
    </w:tbl>
    <w:p/>
    <w:p>
      <w:pPr>
        <w:pStyle w:val="113"/>
      </w:pPr>
      <w:r>
        <w:t>Table A.3.2-</w:t>
      </w:r>
      <w:r>
        <w:rPr>
          <w:rFonts w:eastAsia="宋体"/>
          <w:lang w:val="en-US" w:eastAsia="zh-CN"/>
        </w:rPr>
        <w:t>5</w:t>
      </w:r>
      <w:r>
        <w:t xml:space="preserve">: </w:t>
      </w:r>
      <w:r>
        <w:rPr>
          <w:lang w:eastAsia="zh-CN"/>
        </w:rPr>
        <w:t>General</w:t>
      </w:r>
      <w:r>
        <w:t xml:space="preserve"> </w:t>
      </w:r>
      <w:r>
        <w:rPr>
          <w:lang w:eastAsia="zh-CN"/>
        </w:rPr>
        <w:t>configuration for CAT-NB1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87"/>
        <w:gridCol w:w="1441"/>
        <w:gridCol w:w="15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87" w:type="dxa"/>
            <w:tcBorders>
              <w:bottom w:val="nil"/>
            </w:tcBorders>
            <w:vAlign w:val="center"/>
          </w:tcPr>
          <w:p>
            <w:pPr>
              <w:keepNext/>
              <w:keepLines/>
              <w:spacing w:after="0"/>
              <w:jc w:val="center"/>
              <w:rPr>
                <w:rFonts w:ascii="Arial" w:hAnsi="Arial" w:eastAsia="?? ??" w:cs="Arial"/>
                <w:b/>
                <w:sz w:val="18"/>
              </w:rPr>
            </w:pPr>
            <w:r>
              <w:rPr>
                <w:rFonts w:ascii="Arial" w:hAnsi="Arial" w:eastAsia="?? ??" w:cs="Arial"/>
                <w:b/>
                <w:sz w:val="18"/>
              </w:rPr>
              <w:t>Parameter</w:t>
            </w:r>
          </w:p>
        </w:tc>
        <w:tc>
          <w:tcPr>
            <w:tcW w:w="1441" w:type="dxa"/>
            <w:tcBorders>
              <w:bottom w:val="nil"/>
            </w:tcBorders>
            <w:vAlign w:val="center"/>
          </w:tcPr>
          <w:p>
            <w:pPr>
              <w:keepNext/>
              <w:keepLines/>
              <w:spacing w:after="0"/>
              <w:jc w:val="center"/>
              <w:rPr>
                <w:rFonts w:ascii="Arial" w:hAnsi="Arial" w:cs="Arial"/>
                <w:b/>
                <w:sz w:val="18"/>
              </w:rPr>
            </w:pPr>
            <w:r>
              <w:rPr>
                <w:rFonts w:ascii="Arial" w:hAnsi="Arial" w:cs="Arial"/>
                <w:b/>
                <w:sz w:val="18"/>
              </w:rPr>
              <w:t>Unit</w:t>
            </w:r>
          </w:p>
        </w:tc>
        <w:tc>
          <w:tcPr>
            <w:tcW w:w="1559" w:type="dxa"/>
            <w:tcBorders>
              <w:bottom w:val="nil"/>
            </w:tcBorders>
            <w:vAlign w:val="center"/>
          </w:tcPr>
          <w:p>
            <w:pPr>
              <w:keepNext/>
              <w:keepLines/>
              <w:spacing w:after="0"/>
              <w:jc w:val="center"/>
              <w:rPr>
                <w:rFonts w:ascii="Arial" w:hAnsi="Arial" w:cs="Arial"/>
                <w:b/>
                <w:sz w:val="18"/>
                <w:lang w:eastAsia="zh-CN"/>
              </w:rPr>
            </w:pPr>
            <w:r>
              <w:rPr>
                <w:rFonts w:ascii="Arial" w:hAnsi="Arial" w:cs="Arial"/>
                <w:b/>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NB-IoT downlink subframe bitmap for anchor carrier </w:t>
            </w:r>
            <w:r>
              <w:rPr>
                <w:rFonts w:ascii="Arial" w:hAnsi="Arial" w:cs="v5.0.0"/>
                <w:i/>
                <w:sz w:val="18"/>
              </w:rPr>
              <w:t>(downlinkBitmap)</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NB-IoT downlink subframe bitmap for non-anchor carrier </w:t>
            </w:r>
            <w:r>
              <w:rPr>
                <w:rFonts w:ascii="Arial" w:hAnsi="Arial" w:cs="v5.0.0"/>
                <w:i/>
                <w:sz w:val="18"/>
              </w:rPr>
              <w:t>(downlinkBitmapNonAnchor)</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 xml:space="preserve">Downlink gap configuration for anchor carrier </w:t>
            </w:r>
            <w:r>
              <w:rPr>
                <w:rFonts w:ascii="Arial" w:hAnsi="Arial" w:cs="v5.0.0"/>
                <w:i/>
                <w:sz w:val="18"/>
              </w:rPr>
              <w:t>(dl-Gap)</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887" w:type="dxa"/>
            <w:vAlign w:val="center"/>
          </w:tcPr>
          <w:p>
            <w:pPr>
              <w:keepNext/>
              <w:keepLines/>
              <w:spacing w:after="0"/>
              <w:jc w:val="center"/>
              <w:rPr>
                <w:rFonts w:ascii="Arial" w:hAnsi="Arial" w:cs="v5.0.0"/>
                <w:sz w:val="18"/>
              </w:rPr>
            </w:pPr>
            <w:r>
              <w:rPr>
                <w:rFonts w:ascii="Arial" w:hAnsi="Arial" w:cs="v5.0.0"/>
                <w:sz w:val="18"/>
              </w:rPr>
              <w:t>Downlink gap configuration for non-anchor carrier</w:t>
            </w:r>
            <w:r>
              <w:rPr>
                <w:rFonts w:ascii="Arial" w:hAnsi="Arial" w:cs="v5.0.0"/>
                <w:sz w:val="18"/>
              </w:rPr>
              <w:br w:type="textWrapping"/>
            </w:r>
            <w:r>
              <w:rPr>
                <w:rFonts w:ascii="Arial" w:hAnsi="Arial" w:cs="v5.0.0"/>
                <w:i/>
                <w:sz w:val="18"/>
              </w:rPr>
              <w:t>(dl-GapNonAnchor)</w:t>
            </w:r>
          </w:p>
        </w:tc>
        <w:tc>
          <w:tcPr>
            <w:tcW w:w="1441" w:type="dxa"/>
            <w:vAlign w:val="center"/>
          </w:tcPr>
          <w:p>
            <w:pPr>
              <w:keepNext/>
              <w:keepLines/>
              <w:spacing w:after="0"/>
              <w:jc w:val="center"/>
              <w:rPr>
                <w:rFonts w:ascii="Arial" w:hAnsi="Arial" w:eastAsia="?? ??" w:cs="v5.0.0"/>
                <w:sz w:val="18"/>
              </w:rPr>
            </w:pPr>
          </w:p>
        </w:tc>
        <w:tc>
          <w:tcPr>
            <w:tcW w:w="1559" w:type="dxa"/>
            <w:vAlign w:val="center"/>
          </w:tcPr>
          <w:p>
            <w:pPr>
              <w:keepNext/>
              <w:keepLines/>
              <w:spacing w:after="0"/>
              <w:jc w:val="center"/>
              <w:rPr>
                <w:rFonts w:ascii="Arial" w:hAnsi="Arial" w:eastAsia="?? ??" w:cs="v5.0.0"/>
                <w:sz w:val="18"/>
              </w:rPr>
            </w:pPr>
            <w:r>
              <w:rPr>
                <w:rFonts w:ascii="Arial" w:hAnsi="Arial" w:eastAsia="?? ??" w:cs="v5.0.0"/>
                <w:sz w:val="18"/>
              </w:rPr>
              <w:t>Not configured</w:t>
            </w:r>
          </w:p>
        </w:tc>
      </w:tr>
    </w:tbl>
    <w:p/>
    <w:p>
      <w:pPr>
        <w:pStyle w:val="113"/>
        <w:rPr>
          <w:lang w:eastAsia="zh-CN"/>
        </w:rPr>
      </w:pPr>
      <w:r>
        <w:t>Table A.3.2-</w:t>
      </w:r>
      <w:r>
        <w:rPr>
          <w:rFonts w:eastAsia="宋体"/>
          <w:lang w:val="en-US" w:eastAsia="zh-CN"/>
        </w:rPr>
        <w:t>6</w:t>
      </w:r>
      <w:r>
        <w:t>: NPDCCH</w:t>
      </w:r>
      <w:r>
        <w:rPr>
          <w:lang w:eastAsia="zh-CN"/>
        </w:rPr>
        <w:t xml:space="preserve"> configuration for NPDSCH scheduling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81"/>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cs="Arial"/>
                <w:b/>
                <w:kern w:val="2"/>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r>
              <w:rPr>
                <w:rFonts w:ascii="Arial" w:hAnsi="Arial" w:cs="Arial"/>
                <w:kern w:val="2"/>
                <w:sz w:val="18"/>
                <w:lang w:eastAsia="zh-CN"/>
              </w:rPr>
              <w:t>DCI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DCI format N1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bCs/>
                <w:kern w:val="2"/>
                <w:sz w:val="18"/>
                <w:lang w:eastAsia="zh-CN"/>
              </w:rPr>
              <w:t>NPDCCH format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sz w:val="18"/>
                <w:lang w:eastAsia="zh-CN"/>
              </w:rPr>
              <w:t>Scheduling delay (</w:t>
            </w:r>
            <w:r>
              <w:rPr>
                <w:rFonts w:ascii="Arial" w:hAnsi="Arial"/>
                <w:b/>
                <w:position w:val="-14"/>
                <w:sz w:val="18"/>
              </w:rPr>
              <w:drawing>
                <wp:inline distT="0" distB="0" distL="114300" distR="114300">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06"/>
                          <a:stretch>
                            <a:fillRect/>
                          </a:stretch>
                        </pic:blipFill>
                        <pic:spPr>
                          <a:xfrm>
                            <a:off x="0" y="0"/>
                            <a:ext cx="323850" cy="241300"/>
                          </a:xfrm>
                          <a:prstGeom prst="rect">
                            <a:avLst/>
                          </a:prstGeom>
                          <a:noFill/>
                          <a:ln>
                            <a:noFill/>
                          </a:ln>
                        </pic:spPr>
                      </pic:pic>
                    </a:graphicData>
                  </a:graphic>
                </wp:inline>
              </w:drawing>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DCI subframe repetition number</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b/>
                <w:sz w:val="18"/>
                <w:lang w:eastAsia="zh-CN"/>
              </w:rPr>
            </w:pPr>
            <w:r>
              <w:rPr>
                <w:rFonts w:ascii="Arial" w:hAnsi="Arial"/>
                <w:b/>
                <w:position w:val="-12"/>
                <w:sz w:val="18"/>
              </w:rPr>
              <w:drawing>
                <wp:inline distT="0" distB="0" distL="114300" distR="114300">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15"/>
                          <a:stretch>
                            <a:fillRect/>
                          </a:stretch>
                        </pic:blipFill>
                        <pic:spPr>
                          <a:xfrm>
                            <a:off x="0" y="0"/>
                            <a:ext cx="304800" cy="241300"/>
                          </a:xfrm>
                          <a:prstGeom prst="rect">
                            <a:avLst/>
                          </a:prstGeom>
                          <a:noFill/>
                          <a:ln>
                            <a:noFill/>
                          </a:ln>
                        </pic:spPr>
                      </pic:pic>
                    </a:graphicData>
                  </a:graphic>
                </wp:inline>
              </w:drawing>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rPr>
              <w:t>npdcch-NumRepetitions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sz w:val="18"/>
                <w:lang w:eastAsia="zh-CN"/>
              </w:rPr>
              <w:t>G</w:t>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lang w:eastAsia="zh-CN"/>
              </w:rPr>
              <w:t>NPDCCH-startSF-USS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68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v5.0.0"/>
                <w:sz w:val="18"/>
              </w:rPr>
            </w:pPr>
            <w:r>
              <w:rPr>
                <w:rFonts w:ascii="Arial" w:hAnsi="Arial"/>
                <w:position w:val="-14"/>
                <w:sz w:val="18"/>
              </w:rPr>
              <w:drawing>
                <wp:inline distT="0" distB="0" distL="114300" distR="114300">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10"/>
                          <a:stretch>
                            <a:fillRect/>
                          </a:stretch>
                        </pic:blipFill>
                        <pic:spPr>
                          <a:xfrm>
                            <a:off x="0" y="0"/>
                            <a:ext cx="317500" cy="241300"/>
                          </a:xfrm>
                          <a:prstGeom prst="rect">
                            <a:avLst/>
                          </a:prstGeom>
                          <a:noFill/>
                          <a:ln>
                            <a:noFill/>
                          </a:ln>
                        </pic:spPr>
                      </pic:pic>
                    </a:graphicData>
                  </a:graphic>
                </wp:inline>
              </w:drawing>
            </w:r>
          </w:p>
          <w:p>
            <w:pPr>
              <w:keepNext/>
              <w:keepLines/>
              <w:spacing w:after="0"/>
              <w:jc w:val="center"/>
              <w:rPr>
                <w:rFonts w:ascii="Arial" w:hAnsi="Arial"/>
                <w:sz w:val="18"/>
                <w:lang w:eastAsia="zh-CN"/>
              </w:rPr>
            </w:pPr>
            <w:r>
              <w:rPr>
                <w:rFonts w:ascii="Arial" w:hAnsi="Arial"/>
                <w:sz w:val="18"/>
                <w:lang w:eastAsia="zh-CN"/>
              </w:rPr>
              <w:t>(</w:t>
            </w:r>
            <w:r>
              <w:rPr>
                <w:rFonts w:ascii="Arial" w:hAnsi="Arial"/>
                <w:i/>
                <w:sz w:val="18"/>
                <w:lang w:eastAsia="zh-CN"/>
              </w:rPr>
              <w:t>npdcch-Offset-USS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1/4</w:t>
            </w:r>
          </w:p>
        </w:tc>
      </w:tr>
    </w:tbl>
    <w:p>
      <w:pPr>
        <w:overflowPunct w:val="0"/>
        <w:autoSpaceDE w:val="0"/>
        <w:autoSpaceDN w:val="0"/>
        <w:adjustRightInd w:val="0"/>
        <w:textAlignment w:val="baseline"/>
        <w:rPr>
          <w:lang w:eastAsia="zh-CN"/>
        </w:rPr>
      </w:pPr>
    </w:p>
    <w:p>
      <w:pPr>
        <w:pStyle w:val="113"/>
        <w:rPr>
          <w:lang w:eastAsia="zh-CN"/>
        </w:rPr>
      </w:pPr>
      <w:r>
        <w:t>Table A.3.2-</w:t>
      </w:r>
      <w:r>
        <w:rPr>
          <w:rFonts w:eastAsia="宋体"/>
          <w:lang w:val="en-US" w:eastAsia="zh-CN"/>
        </w:rPr>
        <w:t>7</w:t>
      </w:r>
      <w:r>
        <w:t xml:space="preserve">: </w:t>
      </w:r>
      <w:r>
        <w:rPr>
          <w:lang w:eastAsia="zh-CN"/>
        </w:rPr>
        <w:t>NPUSCH format 2 configurations for NPDSCH scheduling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60"/>
        <w:gridCol w:w="1698"/>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Parameter</w:t>
            </w:r>
          </w:p>
        </w:tc>
        <w:tc>
          <w:tcPr>
            <w:tcW w:w="1698"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eastAsia="?? ??" w:cs="Arial"/>
                <w:b/>
                <w:kern w:val="2"/>
                <w:sz w:val="18"/>
                <w:lang w:eastAsia="ja-JP"/>
              </w:rPr>
              <w:t>Unit</w:t>
            </w:r>
          </w:p>
        </w:tc>
        <w:tc>
          <w:tcPr>
            <w:tcW w:w="270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 ??" w:cs="Arial"/>
                <w:b/>
                <w:kern w:val="2"/>
                <w:sz w:val="18"/>
                <w:lang w:eastAsia="ja-JP"/>
              </w:rPr>
            </w:pPr>
            <w:r>
              <w:rPr>
                <w:rFonts w:ascii="Arial" w:hAnsi="Arial" w:cs="Arial"/>
                <w:b/>
                <w:kern w:val="2"/>
                <w:sz w:val="18"/>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sz w:val="18"/>
                <w:lang w:eastAsia="zh-CN"/>
              </w:rPr>
              <w:t>Scheduling delay (</w:t>
            </w:r>
            <w:r>
              <w:rPr>
                <w:rFonts w:ascii="Arial" w:hAnsi="Arial"/>
                <w:b/>
                <w:position w:val="-14"/>
                <w:sz w:val="18"/>
              </w:rPr>
              <w:drawing>
                <wp:inline distT="0" distB="0" distL="114300" distR="114300">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06"/>
                          <a:stretch>
                            <a:fillRect/>
                          </a:stretch>
                        </pic:blipFill>
                        <pic:spPr>
                          <a:xfrm>
                            <a:off x="0" y="0"/>
                            <a:ext cx="323850" cy="241300"/>
                          </a:xfrm>
                          <a:prstGeom prst="rect">
                            <a:avLst/>
                          </a:prstGeom>
                          <a:noFill/>
                          <a:ln>
                            <a:noFill/>
                          </a:ln>
                        </pic:spPr>
                      </pic:pic>
                    </a:graphicData>
                  </a:graphic>
                </wp:inline>
              </w:drawing>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sz w:val="18"/>
                <w:lang w:eastAsia="zh-CN"/>
              </w:rPr>
            </w:pPr>
            <w:r>
              <w:rPr>
                <w:rFonts w:ascii="Arial" w:hAnsi="Arial"/>
                <w:b/>
                <w:position w:val="-14"/>
                <w:sz w:val="18"/>
              </w:rPr>
              <w:drawing>
                <wp:inline distT="0" distB="0" distL="114300" distR="114300">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08"/>
                          <a:stretch>
                            <a:fillRect/>
                          </a:stretch>
                        </pic:blipFill>
                        <pic:spPr>
                          <a:xfrm>
                            <a:off x="0" y="0"/>
                            <a:ext cx="317500" cy="260350"/>
                          </a:xfrm>
                          <a:prstGeom prst="rect">
                            <a:avLst/>
                          </a:prstGeom>
                          <a:noFill/>
                          <a:ln>
                            <a:noFill/>
                          </a:ln>
                        </pic:spPr>
                      </pic:pic>
                    </a:graphicData>
                  </a:graphic>
                </wp:inline>
              </w:drawing>
            </w:r>
            <w:r>
              <w:rPr>
                <w:rFonts w:ascii="Arial" w:hAnsi="Arial"/>
                <w:b/>
                <w:sz w:val="18"/>
              </w:rPr>
              <w:t xml:space="preserve"> </w:t>
            </w:r>
            <w:r>
              <w:rPr>
                <w:rFonts w:ascii="Arial" w:hAnsi="Arial"/>
                <w:sz w:val="18"/>
                <w:lang w:eastAsia="zh-CN"/>
              </w:rPr>
              <w:t>(</w:t>
            </w:r>
            <w:r>
              <w:rPr>
                <w:rFonts w:ascii="Arial" w:hAnsi="Arial"/>
                <w:i/>
                <w:sz w:val="18"/>
              </w:rPr>
              <w:t>ack-NACK-NumRepetitions</w:t>
            </w:r>
            <w:r>
              <w:rPr>
                <w:rFonts w:ascii="Arial" w:hAnsi="Arial"/>
                <w:sz w:val="18"/>
                <w:lang w:eastAsia="zh-CN"/>
              </w:rPr>
              <w:t>)</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2160"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i/>
                <w:sz w:val="18"/>
              </w:rPr>
            </w:pPr>
            <w:r>
              <w:rPr>
                <w:rFonts w:ascii="Arial" w:hAnsi="Arial"/>
                <w:sz w:val="18"/>
              </w:rPr>
              <w:t>ACK/NACK resource field</w:t>
            </w:r>
          </w:p>
        </w:tc>
        <w:tc>
          <w:tcPr>
            <w:tcW w:w="1698"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eastAsia="?? ??" w:cs="Arial"/>
                <w:kern w:val="2"/>
                <w:sz w:val="18"/>
                <w:lang w:eastAsia="ja-JP"/>
              </w:rPr>
            </w:pPr>
          </w:p>
        </w:tc>
        <w:tc>
          <w:tcPr>
            <w:tcW w:w="270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rPr>
                <w:rFonts w:ascii="Arial" w:hAnsi="Arial" w:cs="Arial"/>
                <w:kern w:val="2"/>
                <w:sz w:val="18"/>
                <w:lang w:eastAsia="zh-CN"/>
              </w:rPr>
            </w:pPr>
            <w:r>
              <w:rPr>
                <w:rFonts w:ascii="Arial" w:hAnsi="Arial" w:cs="Arial"/>
                <w:kern w:val="2"/>
                <w:sz w:val="18"/>
                <w:lang w:eastAsia="zh-CN"/>
              </w:rPr>
              <w:t>0</w:t>
            </w:r>
          </w:p>
        </w:tc>
      </w:tr>
    </w:tbl>
    <w:p/>
    <w:p>
      <w:pPr>
        <w:pStyle w:val="113"/>
      </w:pPr>
      <w:r>
        <w:t>Table A.3.2-</w:t>
      </w:r>
      <w:r>
        <w:rPr>
          <w:rFonts w:eastAsia="宋体"/>
          <w:lang w:val="en-US" w:eastAsia="zh-CN"/>
        </w:rPr>
        <w:t>8</w:t>
      </w:r>
      <w:r>
        <w:rPr>
          <w:lang w:eastAsia="ja-JP"/>
        </w:rPr>
        <w:t>:</w:t>
      </w:r>
      <w:r>
        <w:t xml:space="preserve"> Fixed Reference Channel for Maximum input level for UE DL Category M1 (</w:t>
      </w:r>
      <w:r>
        <w:rPr>
          <w:rFonts w:hint="eastAsia" w:eastAsia="宋体"/>
          <w:lang w:val="en-US" w:eastAsia="zh-CN"/>
        </w:rPr>
        <w:t xml:space="preserve">FDD and </w:t>
      </w:r>
      <w:r>
        <w:t>HD-FDD)</w:t>
      </w:r>
    </w:p>
    <w:tbl>
      <w:tblPr>
        <w:tblStyle w:val="89"/>
        <w:tblW w:w="98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90"/>
        <w:gridCol w:w="1093"/>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4"/>
              <w:rPr>
                <w:rFonts w:cs="Arial"/>
                <w:lang w:eastAsia="zh-CN"/>
              </w:rPr>
            </w:pPr>
            <w:r>
              <w:rPr>
                <w:rFonts w:cs="Arial"/>
                <w:lang w:eastAsia="zh-CN"/>
              </w:rPr>
              <w:t>Parameter</w:t>
            </w:r>
          </w:p>
        </w:tc>
        <w:tc>
          <w:tcPr>
            <w:tcW w:w="1093" w:type="dxa"/>
          </w:tcPr>
          <w:p>
            <w:pPr>
              <w:pStyle w:val="104"/>
              <w:rPr>
                <w:rFonts w:cs="Arial"/>
                <w:lang w:eastAsia="zh-CN"/>
              </w:rPr>
            </w:pPr>
            <w:r>
              <w:rPr>
                <w:rFonts w:cs="Arial"/>
                <w:lang w:eastAsia="zh-CN"/>
              </w:rPr>
              <w:t>Unit</w:t>
            </w:r>
          </w:p>
        </w:tc>
        <w:tc>
          <w:tcPr>
            <w:tcW w:w="5106" w:type="dxa"/>
          </w:tcPr>
          <w:p>
            <w:pPr>
              <w:pStyle w:val="104"/>
              <w:rPr>
                <w:rFonts w:cs="Arial"/>
                <w:lang w:eastAsia="zh-CN"/>
              </w:rPr>
            </w:pPr>
            <w:r>
              <w:rPr>
                <w:rFonts w:cs="Arial"/>
                <w:lang w:eastAsia="zh-CN"/>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Channel bandwidth</w:t>
            </w:r>
          </w:p>
        </w:tc>
        <w:tc>
          <w:tcPr>
            <w:tcW w:w="1093" w:type="dxa"/>
          </w:tcPr>
          <w:p>
            <w:pPr>
              <w:pStyle w:val="105"/>
              <w:rPr>
                <w:rFonts w:cs="Arial"/>
              </w:rPr>
            </w:pPr>
            <w:r>
              <w:rPr>
                <w:rFonts w:cs="Arial"/>
              </w:rPr>
              <w:t>MHz</w:t>
            </w:r>
          </w:p>
        </w:tc>
        <w:tc>
          <w:tcPr>
            <w:tcW w:w="5106" w:type="dxa"/>
          </w:tcPr>
          <w:p>
            <w:pPr>
              <w:pStyle w:val="105"/>
              <w:rPr>
                <w:rFonts w:cs="Arial"/>
              </w:rPr>
            </w:pPr>
            <w:r>
              <w:rPr>
                <w:rFonts w:cs="Arial"/>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Allocated resource blocks</w:t>
            </w:r>
          </w:p>
        </w:tc>
        <w:tc>
          <w:tcPr>
            <w:tcW w:w="1093" w:type="dxa"/>
          </w:tcPr>
          <w:p>
            <w:pPr>
              <w:pStyle w:val="105"/>
              <w:rPr>
                <w:rFonts w:cs="Arial"/>
              </w:rPr>
            </w:pPr>
          </w:p>
        </w:tc>
        <w:tc>
          <w:tcPr>
            <w:tcW w:w="5106"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Subcarriers per resource block</w:t>
            </w:r>
          </w:p>
        </w:tc>
        <w:tc>
          <w:tcPr>
            <w:tcW w:w="1093" w:type="dxa"/>
          </w:tcPr>
          <w:p>
            <w:pPr>
              <w:pStyle w:val="105"/>
              <w:rPr>
                <w:rFonts w:cs="Arial"/>
              </w:rPr>
            </w:pPr>
          </w:p>
        </w:tc>
        <w:tc>
          <w:tcPr>
            <w:tcW w:w="5106" w:type="dxa"/>
          </w:tcPr>
          <w:p>
            <w:pPr>
              <w:pStyle w:val="105"/>
              <w:rPr>
                <w:rFonts w:cs="Arial"/>
              </w:rPr>
            </w:pPr>
            <w:r>
              <w:rPr>
                <w:rFonts w:cs="Arial"/>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Allocated subframes per Radio Frame</w:t>
            </w:r>
          </w:p>
        </w:tc>
        <w:tc>
          <w:tcPr>
            <w:tcW w:w="1093" w:type="dxa"/>
          </w:tcPr>
          <w:p>
            <w:pPr>
              <w:pStyle w:val="105"/>
              <w:rPr>
                <w:rFonts w:cs="Arial"/>
              </w:rPr>
            </w:pPr>
          </w:p>
        </w:tc>
        <w:tc>
          <w:tcPr>
            <w:tcW w:w="5106" w:type="dxa"/>
          </w:tcPr>
          <w:p>
            <w:pPr>
              <w:pStyle w:val="105"/>
              <w:rPr>
                <w:rFonts w:cs="Arial"/>
              </w:rPr>
            </w:pPr>
            <w:r>
              <w:rPr>
                <w:rFonts w:cs="Aria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Modulation</w:t>
            </w:r>
          </w:p>
        </w:tc>
        <w:tc>
          <w:tcPr>
            <w:tcW w:w="1093" w:type="dxa"/>
          </w:tcPr>
          <w:p>
            <w:pPr>
              <w:pStyle w:val="105"/>
              <w:rPr>
                <w:rFonts w:cs="Arial"/>
              </w:rPr>
            </w:pPr>
          </w:p>
        </w:tc>
        <w:tc>
          <w:tcPr>
            <w:tcW w:w="5106" w:type="dxa"/>
          </w:tcPr>
          <w:p>
            <w:pPr>
              <w:pStyle w:val="105"/>
              <w:rPr>
                <w:rFonts w:cs="Arial"/>
              </w:rPr>
            </w:pPr>
            <w:r>
              <w:rPr>
                <w:rFonts w:cs="Arial"/>
              </w:rPr>
              <w:t>16QAM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Target Coding Rate</w:t>
            </w:r>
          </w:p>
        </w:tc>
        <w:tc>
          <w:tcPr>
            <w:tcW w:w="1093" w:type="dxa"/>
          </w:tcPr>
          <w:p>
            <w:pPr>
              <w:pStyle w:val="105"/>
              <w:rPr>
                <w:rFonts w:cs="Arial"/>
              </w:rPr>
            </w:pPr>
          </w:p>
        </w:tc>
        <w:tc>
          <w:tcPr>
            <w:tcW w:w="5106" w:type="dxa"/>
          </w:tcPr>
          <w:p>
            <w:pPr>
              <w:pStyle w:val="105"/>
              <w:rPr>
                <w:rFonts w:cs="Arial"/>
              </w:rPr>
            </w:pPr>
            <w:r>
              <w:rPr>
                <w:rFonts w:cs="Arial"/>
              </w:rPr>
              <w:t>3/</w:t>
            </w:r>
            <w:r>
              <w:rPr>
                <w:rFonts w:cs="Arial"/>
                <w:lang w:eastAsia="ja-JP"/>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Number of HARQ Processes</w:t>
            </w:r>
          </w:p>
        </w:tc>
        <w:tc>
          <w:tcPr>
            <w:tcW w:w="1093" w:type="dxa"/>
          </w:tcPr>
          <w:p>
            <w:pPr>
              <w:pStyle w:val="105"/>
              <w:rPr>
                <w:rFonts w:cs="Arial"/>
              </w:rPr>
            </w:pPr>
            <w:r>
              <w:rPr>
                <w:rFonts w:cs="Arial"/>
              </w:rPr>
              <w:t>Processes</w:t>
            </w:r>
          </w:p>
        </w:tc>
        <w:tc>
          <w:tcPr>
            <w:tcW w:w="5106" w:type="dxa"/>
          </w:tcPr>
          <w:p>
            <w:pPr>
              <w:pStyle w:val="105"/>
              <w:rPr>
                <w:rFonts w:cs="Arial"/>
              </w:rPr>
            </w:pPr>
            <w:r>
              <w:rPr>
                <w:rFonts w:cs="Arial"/>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Maximum number of HARQ transmissions</w:t>
            </w:r>
          </w:p>
        </w:tc>
        <w:tc>
          <w:tcPr>
            <w:tcW w:w="1093"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Information Bit Payload</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Sub-Frames 3,8</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lang w:eastAsia="ja-JP"/>
              </w:rPr>
              <w:t xml:space="preserve">  For Sub-Frames 0,1,2,5,7,9</w:t>
            </w:r>
          </w:p>
        </w:tc>
        <w:tc>
          <w:tcPr>
            <w:tcW w:w="1093" w:type="dxa"/>
          </w:tcPr>
          <w:p>
            <w:pPr>
              <w:pStyle w:val="105"/>
              <w:rPr>
                <w:rFonts w:cs="Arial"/>
              </w:rPr>
            </w:pPr>
            <w:r>
              <w:rPr>
                <w:rFonts w:cs="Arial"/>
                <w:lang w:eastAsia="ja-JP"/>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4</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lang w:eastAsia="zh-CN"/>
              </w:rPr>
            </w:pPr>
            <w:r>
              <w:rPr>
                <w:rFonts w:cs="Arial"/>
              </w:rPr>
              <w:t xml:space="preserve">  For Sub-Frame 6</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rPr>
            </w:pPr>
            <w:r>
              <w:rPr>
                <w:rFonts w:cs="Arial"/>
                <w:szCs w:val="22"/>
              </w:rPr>
              <w:t>Transport block CRC</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lang w:eastAsia="zh-CN"/>
              </w:rPr>
            </w:pPr>
            <w:r>
              <w:rPr>
                <w:rFonts w:cs="Arial"/>
                <w:szCs w:val="22"/>
              </w:rPr>
              <w:t>Number of Code Blocks per Sub-Frame</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For Sub-Frames 3, 8</w:t>
            </w:r>
          </w:p>
        </w:tc>
        <w:tc>
          <w:tcPr>
            <w:tcW w:w="1093" w:type="dxa"/>
          </w:tcPr>
          <w:p>
            <w:pPr>
              <w:pStyle w:val="105"/>
              <w:rPr>
                <w:rFonts w:cs="Arial"/>
              </w:rPr>
            </w:pPr>
          </w:p>
        </w:tc>
        <w:tc>
          <w:tcPr>
            <w:tcW w:w="5106" w:type="dxa"/>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lang w:eastAsia="ja-JP"/>
              </w:rPr>
              <w:t xml:space="preserve">  For Sub-Frames 0,1,2,5,7,9</w:t>
            </w:r>
          </w:p>
        </w:tc>
        <w:tc>
          <w:tcPr>
            <w:tcW w:w="1093" w:type="dxa"/>
          </w:tcPr>
          <w:p>
            <w:pPr>
              <w:pStyle w:val="105"/>
              <w:rPr>
                <w:rFonts w:cs="Arial"/>
              </w:rPr>
            </w:pPr>
          </w:p>
        </w:tc>
        <w:tc>
          <w:tcPr>
            <w:tcW w:w="5106" w:type="dxa"/>
          </w:tcPr>
          <w:p>
            <w:pPr>
              <w:pStyle w:val="105"/>
              <w:rPr>
                <w:rFonts w:cs="Arial"/>
              </w:rPr>
            </w:pPr>
            <w:r>
              <w:rPr>
                <w:rFonts w:cs="Arial"/>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4</w:t>
            </w:r>
          </w:p>
        </w:tc>
        <w:tc>
          <w:tcPr>
            <w:tcW w:w="1093" w:type="dxa"/>
          </w:tcPr>
          <w:p>
            <w:pPr>
              <w:pStyle w:val="105"/>
              <w:rPr>
                <w:rFonts w:cs="Arial"/>
              </w:rPr>
            </w:pP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szCs w:val="22"/>
              </w:rPr>
            </w:pPr>
            <w:r>
              <w:rPr>
                <w:rFonts w:cs="Arial"/>
              </w:rPr>
              <w:t xml:space="preserve">  For Sub-Frame 6</w:t>
            </w:r>
          </w:p>
        </w:tc>
        <w:tc>
          <w:tcPr>
            <w:tcW w:w="1093" w:type="dxa"/>
          </w:tcPr>
          <w:p>
            <w:pPr>
              <w:pStyle w:val="105"/>
              <w:rPr>
                <w:rFonts w:cs="Arial"/>
              </w:rPr>
            </w:pP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Binary Channel Bits Per Sub-Frame</w:t>
            </w:r>
          </w:p>
        </w:tc>
        <w:tc>
          <w:tcPr>
            <w:tcW w:w="1093" w:type="dxa"/>
          </w:tcPr>
          <w:p>
            <w:pPr>
              <w:pStyle w:val="105"/>
              <w:rPr>
                <w:rFonts w:cs="Arial"/>
              </w:rPr>
            </w:pPr>
          </w:p>
        </w:tc>
        <w:tc>
          <w:tcPr>
            <w:tcW w:w="5106" w:type="dxa"/>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Sub-Frames 1,2,3,4,6,7,8,9</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832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rPr>
            </w:pPr>
            <w:r>
              <w:rPr>
                <w:rFonts w:cs="Arial"/>
              </w:rPr>
              <w:t xml:space="preserve">  For Sub-Frame 5</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690" w:type="dxa"/>
          </w:tcPr>
          <w:p>
            <w:pPr>
              <w:pStyle w:val="103"/>
              <w:rPr>
                <w:rFonts w:cs="Arial"/>
                <w:lang w:eastAsia="zh-CN"/>
              </w:rPr>
            </w:pPr>
            <w:r>
              <w:rPr>
                <w:rFonts w:cs="Arial"/>
              </w:rPr>
              <w:t xml:space="preserve">  For Sub-Frame 0</w:t>
            </w:r>
            <w:r>
              <w:rPr>
                <w:rFonts w:cs="Arial"/>
                <w:lang w:eastAsia="zh-CN"/>
              </w:rPr>
              <w:t xml:space="preserve"> </w:t>
            </w:r>
          </w:p>
        </w:tc>
        <w:tc>
          <w:tcPr>
            <w:tcW w:w="1093" w:type="dxa"/>
          </w:tcPr>
          <w:p>
            <w:pPr>
              <w:pStyle w:val="105"/>
              <w:rPr>
                <w:rFonts w:cs="Arial"/>
              </w:rPr>
            </w:pPr>
            <w:r>
              <w:rPr>
                <w:rFonts w:cs="Arial"/>
              </w:rPr>
              <w:t>Bits</w:t>
            </w:r>
          </w:p>
        </w:tc>
        <w:tc>
          <w:tcPr>
            <w:tcW w:w="5106" w:type="dxa"/>
          </w:tcPr>
          <w:p>
            <w:pPr>
              <w:pStyle w:val="105"/>
              <w:rPr>
                <w:rFonts w:cs="Arial"/>
              </w:rPr>
            </w:pPr>
            <w:r>
              <w:rPr>
                <w:rFonts w:cs="Arial"/>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690" w:type="dxa"/>
          </w:tcPr>
          <w:p>
            <w:pPr>
              <w:pStyle w:val="103"/>
              <w:rPr>
                <w:rFonts w:cs="Arial"/>
              </w:rPr>
            </w:pPr>
            <w:r>
              <w:rPr>
                <w:rFonts w:cs="Arial"/>
              </w:rPr>
              <w:t>Max. Throughput averaged over 1 frame for FDD</w:t>
            </w:r>
          </w:p>
        </w:tc>
        <w:tc>
          <w:tcPr>
            <w:tcW w:w="1093" w:type="dxa"/>
          </w:tcPr>
          <w:p>
            <w:pPr>
              <w:pStyle w:val="105"/>
              <w:rPr>
                <w:rFonts w:cs="Arial"/>
              </w:rPr>
            </w:pPr>
            <w:r>
              <w:rPr>
                <w:rFonts w:cs="Arial"/>
              </w:rPr>
              <w:t>kbps</w:t>
            </w:r>
          </w:p>
        </w:tc>
        <w:tc>
          <w:tcPr>
            <w:tcW w:w="5106" w:type="dxa"/>
          </w:tcPr>
          <w:p>
            <w:pPr>
              <w:pStyle w:val="105"/>
              <w:rPr>
                <w:rFonts w:cs="Arial"/>
              </w:rPr>
            </w:pPr>
            <w:r>
              <w:rPr>
                <w:rFonts w:cs="Arial"/>
                <w:lang w:eastAsia="ja-JP"/>
              </w:rPr>
              <w:t>110.4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3690" w:type="dxa"/>
          </w:tcPr>
          <w:p>
            <w:pPr>
              <w:pStyle w:val="103"/>
              <w:rPr>
                <w:rFonts w:cs="Arial"/>
              </w:rPr>
            </w:pPr>
            <w:r>
              <w:rPr>
                <w:rFonts w:cs="Arial"/>
                <w:lang w:eastAsia="ja-JP"/>
              </w:rPr>
              <w:t>Max. Throughput averaged over 1 frame for HD-FDD</w:t>
            </w:r>
          </w:p>
        </w:tc>
        <w:tc>
          <w:tcPr>
            <w:tcW w:w="1093" w:type="dxa"/>
          </w:tcPr>
          <w:p>
            <w:pPr>
              <w:pStyle w:val="105"/>
              <w:rPr>
                <w:rFonts w:cs="Arial"/>
              </w:rPr>
            </w:pPr>
          </w:p>
        </w:tc>
        <w:tc>
          <w:tcPr>
            <w:tcW w:w="5106" w:type="dxa"/>
          </w:tcPr>
          <w:p>
            <w:pPr>
              <w:pStyle w:val="105"/>
              <w:rPr>
                <w:rFonts w:cs="Arial"/>
              </w:rPr>
            </w:pPr>
            <w:r>
              <w:rPr>
                <w:rFonts w:cs="Arial"/>
                <w:lang w:eastAsia="ja-JP"/>
              </w:rPr>
              <w:t>55.2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9889" w:type="dxa"/>
            <w:gridSpan w:val="3"/>
          </w:tcPr>
          <w:p>
            <w:pPr>
              <w:pStyle w:val="118"/>
              <w:rPr>
                <w:rFonts w:cs="Arial"/>
              </w:rPr>
            </w:pPr>
            <w:r>
              <w:rPr>
                <w:rFonts w:cs="Arial"/>
              </w:rPr>
              <w:t>Note 1:</w:t>
            </w:r>
            <w:r>
              <w:rPr>
                <w:rFonts w:cs="Arial"/>
              </w:rPr>
              <w:tab/>
            </w:r>
            <w:r>
              <w:rPr>
                <w:rFonts w:cs="Arial"/>
              </w:rPr>
              <w:t>4 symbols allocated to PDCCH for all channel bandwidths.</w:t>
            </w:r>
          </w:p>
          <w:p>
            <w:pPr>
              <w:pStyle w:val="118"/>
              <w:rPr>
                <w:rFonts w:cs="Arial"/>
                <w:lang w:eastAsia="zh-CN"/>
              </w:rPr>
            </w:pPr>
            <w:r>
              <w:rPr>
                <w:rFonts w:cs="Arial"/>
              </w:rPr>
              <w:t>Note 2:</w:t>
            </w:r>
            <w:r>
              <w:rPr>
                <w:rFonts w:cs="Arial"/>
              </w:rPr>
              <w:tab/>
            </w:r>
            <w:r>
              <w:rPr>
                <w:rFonts w:cs="Arial"/>
              </w:rPr>
              <w:t xml:space="preserve">Reference signal, Synchronization signals and PBCH allocated as per </w:t>
            </w:r>
            <w:r>
              <w:rPr>
                <w:rFonts w:hint="eastAsia" w:eastAsia="宋体" w:cs="Arial"/>
                <w:lang w:eastAsia="zh-CN"/>
              </w:rPr>
              <w:t>TS 36.211 [3]</w:t>
            </w:r>
            <w:r>
              <w:rPr>
                <w:rFonts w:cs="Arial"/>
              </w:rPr>
              <w:t>.</w:t>
            </w:r>
          </w:p>
          <w:p>
            <w:pPr>
              <w:pStyle w:val="118"/>
              <w:rPr>
                <w:rFonts w:cs="Arial"/>
              </w:rPr>
            </w:pPr>
            <w:r>
              <w:rPr>
                <w:rFonts w:cs="Arial"/>
                <w:lang w:eastAsia="zh-CN"/>
              </w:rPr>
              <w:t>Note 3:</w:t>
            </w:r>
            <w:r>
              <w:rPr>
                <w:rFonts w:cs="Arial"/>
              </w:rPr>
              <w:tab/>
            </w:r>
            <w:r>
              <w:rPr>
                <w:rFonts w:cs="Arial"/>
              </w:rPr>
              <w:t xml:space="preserve">For HD-FDD UE, PDSCH are scheduled at the </w:t>
            </w:r>
            <w:r>
              <w:rPr>
                <w:rFonts w:cs="Arial"/>
                <w:lang w:eastAsia="ja-JP"/>
              </w:rPr>
              <w:t>3rd</w:t>
            </w:r>
            <w:r>
              <w:rPr>
                <w:rFonts w:cs="Arial"/>
              </w:rPr>
              <w:t xml:space="preserve"> subframe every 1 radio frame for 1.4MHz. Information bit payload is available if downlink subframe is scheduled. The corresponding MPDCCH is scheduled 2 subframes before the corresponding PDSCH transmission.</w:t>
            </w:r>
          </w:p>
          <w:p>
            <w:pPr>
              <w:pStyle w:val="118"/>
              <w:rPr>
                <w:rFonts w:cs="Arial"/>
                <w:lang w:eastAsia="zh-CN"/>
              </w:rPr>
            </w:pPr>
            <w:r>
              <w:rPr>
                <w:rFonts w:cs="Arial"/>
              </w:rPr>
              <w:t xml:space="preserve">Note </w:t>
            </w:r>
            <w:r>
              <w:rPr>
                <w:rFonts w:hint="eastAsia" w:eastAsia="宋体" w:cs="Arial"/>
                <w:lang w:val="en-US" w:eastAsia="zh-CN"/>
              </w:rPr>
              <w:t>4</w:t>
            </w:r>
            <w:r>
              <w:rPr>
                <w:rFonts w:cs="Arial"/>
              </w:rPr>
              <w:t>:</w:t>
            </w:r>
            <w:r>
              <w:rPr>
                <w:rFonts w:cs="Arial"/>
              </w:rPr>
              <w:tab/>
            </w:r>
            <w:r>
              <w:rPr>
                <w:rFonts w:cs="Arial"/>
              </w:rPr>
              <w:t>2 resource blocks allocated to MPDCCH.</w:t>
            </w:r>
          </w:p>
        </w:tc>
      </w:tr>
    </w:tbl>
    <w:p/>
    <w:p>
      <w:pPr>
        <w:pStyle w:val="4"/>
      </w:pPr>
      <w:bookmarkStart w:id="1033" w:name="_Toc232582116"/>
      <w:bookmarkStart w:id="1034" w:name="_Toc1565"/>
      <w:r>
        <w:t>A.3.2A</w:t>
      </w:r>
      <w:r>
        <w:tab/>
      </w:r>
      <w:r>
        <w:t>Downlink Reference measurement channel for TX characteristics</w:t>
      </w:r>
      <w:bookmarkEnd w:id="1033"/>
      <w:bookmarkEnd w:id="1034"/>
    </w:p>
    <w:p>
      <w:pPr>
        <w:rPr>
          <w:rFonts w:cs="v5.0.0"/>
        </w:rPr>
      </w:pPr>
      <w:r>
        <w:rPr>
          <w:rFonts w:cs="v5.0.0"/>
        </w:rPr>
        <w:t xml:space="preserve">Tables A.3.2A-1 </w:t>
      </w:r>
      <w:r>
        <w:rPr>
          <w:rFonts w:cs="v5.0.0"/>
          <w:lang w:eastAsia="zh-CN"/>
        </w:rPr>
        <w:t xml:space="preserve">and </w:t>
      </w:r>
      <w:r>
        <w:rPr>
          <w:rFonts w:cs="v5.0.0"/>
        </w:rPr>
        <w:t>A.3.2A-</w:t>
      </w:r>
      <w:r>
        <w:rPr>
          <w:rFonts w:cs="v5.0.0"/>
          <w:lang w:eastAsia="zh-CN"/>
        </w:rPr>
        <w:t>2</w:t>
      </w:r>
      <w:r>
        <w:rPr>
          <w:rFonts w:cs="v5.0.0"/>
        </w:rPr>
        <w:t xml:space="preserve"> describes the reference measurement channels to be used on the downlink during  Transmitter Characteristics (clause 6)</w:t>
      </w:r>
      <w:r>
        <w:rPr>
          <w:rFonts w:cs="v5.0.0"/>
          <w:lang w:eastAsia="zh-CN"/>
        </w:rPr>
        <w:t xml:space="preserve"> for FDD</w:t>
      </w:r>
      <w:r>
        <w:rPr>
          <w:rFonts w:cs="v5.0.0"/>
        </w:rPr>
        <w:t>. The number of allocated resource blocks have been defined (partial allocation) to allow the transmission of PBCH, PSS/SSS and system information mapped on PDSCH.</w:t>
      </w:r>
    </w:p>
    <w:p>
      <w:pPr>
        <w:pStyle w:val="113"/>
      </w:pPr>
      <w:r>
        <w:t>Table A.3.2A-1: Fixed DL PDSCH Dedicated Reference Channel for TX Requirements (FDD) for UE Category M1</w:t>
      </w:r>
    </w:p>
    <w:tbl>
      <w:tblPr>
        <w:tblStyle w:val="89"/>
        <w:tblW w:w="0" w:type="auto"/>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2267"/>
        <w:gridCol w:w="1088"/>
        <w:gridCol w:w="5773"/>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jc w:val="center"/>
        </w:trPr>
        <w:tc>
          <w:tcPr>
            <w:tcW w:w="2267" w:type="dxa"/>
            <w:tcMar>
              <w:top w:w="0" w:type="dxa"/>
              <w:left w:w="108" w:type="dxa"/>
              <w:bottom w:w="0" w:type="dxa"/>
              <w:right w:w="108" w:type="dxa"/>
            </w:tcMar>
          </w:tcPr>
          <w:p>
            <w:pPr>
              <w:pStyle w:val="104"/>
              <w:rPr>
                <w:rFonts w:cs="Arial"/>
                <w:lang w:eastAsia="zh-CN"/>
              </w:rPr>
            </w:pPr>
            <w:r>
              <w:rPr>
                <w:rFonts w:cs="Arial"/>
                <w:lang w:eastAsia="zh-CN"/>
              </w:rPr>
              <w:t>Parameter</w:t>
            </w:r>
          </w:p>
        </w:tc>
        <w:tc>
          <w:tcPr>
            <w:tcW w:w="1088" w:type="dxa"/>
            <w:tcMar>
              <w:top w:w="0" w:type="dxa"/>
              <w:left w:w="108" w:type="dxa"/>
              <w:bottom w:w="0" w:type="dxa"/>
              <w:right w:w="108" w:type="dxa"/>
            </w:tcMar>
          </w:tcPr>
          <w:p>
            <w:pPr>
              <w:pStyle w:val="104"/>
              <w:rPr>
                <w:rFonts w:cs="Arial"/>
                <w:lang w:eastAsia="zh-CN"/>
              </w:rPr>
            </w:pPr>
            <w:r>
              <w:rPr>
                <w:rFonts w:cs="Arial"/>
                <w:lang w:eastAsia="zh-CN"/>
              </w:rPr>
              <w:t>Unit</w:t>
            </w:r>
          </w:p>
        </w:tc>
        <w:tc>
          <w:tcPr>
            <w:tcW w:w="5773" w:type="dxa"/>
            <w:tcMar>
              <w:top w:w="0" w:type="dxa"/>
              <w:left w:w="108" w:type="dxa"/>
              <w:bottom w:w="0" w:type="dxa"/>
              <w:right w:w="108" w:type="dxa"/>
            </w:tcMar>
          </w:tcPr>
          <w:p>
            <w:pPr>
              <w:pStyle w:val="104"/>
              <w:rPr>
                <w:rFonts w:cs="Arial"/>
                <w:lang w:eastAsia="zh-CN"/>
              </w:rPr>
            </w:pPr>
            <w:r>
              <w:rPr>
                <w:rFonts w:cs="Arial"/>
                <w:lang w:eastAsia="zh-CN"/>
              </w:rPr>
              <w:t>Value</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Channel bandwidth</w:t>
            </w:r>
          </w:p>
        </w:tc>
        <w:tc>
          <w:tcPr>
            <w:tcW w:w="1088" w:type="dxa"/>
            <w:tcMar>
              <w:top w:w="0" w:type="dxa"/>
              <w:left w:w="108" w:type="dxa"/>
              <w:bottom w:w="0" w:type="dxa"/>
              <w:right w:w="108" w:type="dxa"/>
            </w:tcMar>
          </w:tcPr>
          <w:p>
            <w:pPr>
              <w:pStyle w:val="105"/>
              <w:rPr>
                <w:rFonts w:cs="Arial"/>
              </w:rPr>
            </w:pPr>
            <w:r>
              <w:rPr>
                <w:rFonts w:cs="Arial"/>
              </w:rPr>
              <w:t>MHz</w:t>
            </w:r>
          </w:p>
        </w:tc>
        <w:tc>
          <w:tcPr>
            <w:tcW w:w="5773" w:type="dxa"/>
            <w:tcMar>
              <w:top w:w="0" w:type="dxa"/>
              <w:left w:w="108" w:type="dxa"/>
              <w:bottom w:w="0" w:type="dxa"/>
              <w:right w:w="108" w:type="dxa"/>
            </w:tcMar>
          </w:tcPr>
          <w:p>
            <w:pPr>
              <w:pStyle w:val="105"/>
              <w:rPr>
                <w:rFonts w:cs="Arial"/>
              </w:rPr>
            </w:pPr>
            <w:r>
              <w:rPr>
                <w:rFonts w:cs="Arial"/>
              </w:rPr>
              <w:t>1.4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resource blocks</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Subcarriers per resource block</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Allocated subframes per Radio 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lang w:eastAsia="ja-JP"/>
              </w:rPr>
            </w:pPr>
            <w:r>
              <w:rPr>
                <w:rFonts w:cs="Arial"/>
                <w:lang w:eastAsia="ja-JP"/>
              </w:rPr>
              <w:t>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Modulation</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QPSK</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Target Coding Rate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1/3</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HARQ Processes</w:t>
            </w:r>
          </w:p>
        </w:tc>
        <w:tc>
          <w:tcPr>
            <w:tcW w:w="1088" w:type="dxa"/>
            <w:tcMar>
              <w:top w:w="0" w:type="dxa"/>
              <w:left w:w="108" w:type="dxa"/>
              <w:bottom w:w="0" w:type="dxa"/>
              <w:right w:w="108" w:type="dxa"/>
            </w:tcMar>
          </w:tcPr>
          <w:p>
            <w:pPr>
              <w:pStyle w:val="105"/>
              <w:rPr>
                <w:rFonts w:cs="Arial"/>
              </w:rPr>
            </w:pPr>
            <w:r>
              <w:rPr>
                <w:rFonts w:cs="Arial"/>
              </w:rPr>
              <w:t>Processes</w:t>
            </w:r>
          </w:p>
        </w:tc>
        <w:tc>
          <w:tcPr>
            <w:tcW w:w="5773" w:type="dxa"/>
            <w:tcMar>
              <w:top w:w="0" w:type="dxa"/>
              <w:left w:w="108" w:type="dxa"/>
              <w:bottom w:w="0" w:type="dxa"/>
              <w:right w:w="108" w:type="dxa"/>
            </w:tcMar>
          </w:tcPr>
          <w:p>
            <w:pPr>
              <w:pStyle w:val="105"/>
              <w:rPr>
                <w:rFonts w:cs="Arial"/>
              </w:rPr>
            </w:pPr>
            <w:r>
              <w:rPr>
                <w:rFonts w:cs="Arial"/>
              </w:rPr>
              <w:t>[8]</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Maximum number of HARQ transmissions</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Information Bit Payload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Transport block CRC</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24</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Number of Code Blocks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Binary Channel Bits Per Sub-Frame</w:t>
            </w:r>
          </w:p>
        </w:tc>
        <w:tc>
          <w:tcPr>
            <w:tcW w:w="1088" w:type="dxa"/>
            <w:tcMar>
              <w:top w:w="0" w:type="dxa"/>
              <w:left w:w="108" w:type="dxa"/>
              <w:bottom w:w="0" w:type="dxa"/>
              <w:right w:w="108" w:type="dxa"/>
            </w:tcMar>
          </w:tcPr>
          <w:p>
            <w:pPr>
              <w:pStyle w:val="105"/>
              <w:rPr>
                <w:rFonts w:cs="Arial"/>
              </w:rPr>
            </w:pPr>
          </w:p>
        </w:tc>
        <w:tc>
          <w:tcPr>
            <w:tcW w:w="5773" w:type="dxa"/>
            <w:tcMar>
              <w:top w:w="0" w:type="dxa"/>
              <w:left w:w="108" w:type="dxa"/>
              <w:bottom w:w="0" w:type="dxa"/>
              <w:right w:w="108" w:type="dxa"/>
            </w:tcMar>
          </w:tcPr>
          <w:p>
            <w:pPr>
              <w:pStyle w:val="105"/>
              <w:rPr>
                <w:rFonts w:cs="Arial"/>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Sub-Frames 3, 8</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912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  For Sub-Frames 0,1,2,5,7,9</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Bits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4</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jc w:val="center"/>
        </w:trPr>
        <w:tc>
          <w:tcPr>
            <w:tcW w:w="2267" w:type="dxa"/>
            <w:tcMar>
              <w:top w:w="0" w:type="dxa"/>
              <w:left w:w="108" w:type="dxa"/>
              <w:bottom w:w="0" w:type="dxa"/>
              <w:right w:w="108" w:type="dxa"/>
            </w:tcMar>
          </w:tcPr>
          <w:p>
            <w:pPr>
              <w:pStyle w:val="103"/>
              <w:rPr>
                <w:rFonts w:cs="Arial"/>
              </w:rPr>
            </w:pPr>
            <w:r>
              <w:rPr>
                <w:rFonts w:cs="Arial"/>
              </w:rPr>
              <w:t>  For Sub-Frame 6</w:t>
            </w:r>
          </w:p>
        </w:tc>
        <w:tc>
          <w:tcPr>
            <w:tcW w:w="1088" w:type="dxa"/>
            <w:tcMar>
              <w:top w:w="0" w:type="dxa"/>
              <w:left w:w="108" w:type="dxa"/>
              <w:bottom w:w="0" w:type="dxa"/>
              <w:right w:w="108" w:type="dxa"/>
            </w:tcMar>
          </w:tcPr>
          <w:p>
            <w:pPr>
              <w:pStyle w:val="105"/>
              <w:rPr>
                <w:rFonts w:cs="Arial"/>
              </w:rPr>
            </w:pPr>
            <w:r>
              <w:rPr>
                <w:rFonts w:cs="Arial"/>
              </w:rPr>
              <w:t>Bits</w:t>
            </w:r>
          </w:p>
        </w:tc>
        <w:tc>
          <w:tcPr>
            <w:tcW w:w="5773" w:type="dxa"/>
            <w:shd w:val="clear" w:color="auto" w:fill="auto"/>
            <w:tcMar>
              <w:top w:w="0" w:type="dxa"/>
              <w:left w:w="108" w:type="dxa"/>
              <w:bottom w:w="0" w:type="dxa"/>
              <w:right w:w="108" w:type="dxa"/>
            </w:tcMar>
          </w:tcPr>
          <w:p>
            <w:pPr>
              <w:pStyle w:val="105"/>
              <w:rPr>
                <w:rFonts w:cs="Arial"/>
              </w:rPr>
            </w:pPr>
            <w:r>
              <w:rPr>
                <w:rFonts w:cs="Arial"/>
              </w:rPr>
              <w:t>N/A</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Max. Throughput averaged over 1 frame for FDD</w:t>
            </w:r>
          </w:p>
        </w:tc>
        <w:tc>
          <w:tcPr>
            <w:tcW w:w="1088" w:type="dxa"/>
            <w:tcMar>
              <w:top w:w="0" w:type="dxa"/>
              <w:left w:w="108" w:type="dxa"/>
              <w:bottom w:w="0" w:type="dxa"/>
              <w:right w:w="108" w:type="dxa"/>
            </w:tcMar>
          </w:tcPr>
          <w:p>
            <w:pPr>
              <w:pStyle w:val="105"/>
              <w:rPr>
                <w:rFonts w:cs="Arial"/>
              </w:rPr>
            </w:pPr>
            <w:r>
              <w:rPr>
                <w:rFonts w:cs="Arial"/>
              </w:rPr>
              <w:t>kbps</w:t>
            </w:r>
          </w:p>
        </w:tc>
        <w:tc>
          <w:tcPr>
            <w:tcW w:w="5773" w:type="dxa"/>
            <w:shd w:val="clear" w:color="auto" w:fill="auto"/>
            <w:tcMar>
              <w:top w:w="0" w:type="dxa"/>
              <w:left w:w="108" w:type="dxa"/>
              <w:bottom w:w="0" w:type="dxa"/>
              <w:right w:w="108" w:type="dxa"/>
            </w:tcMar>
          </w:tcPr>
          <w:p>
            <w:pPr>
              <w:pStyle w:val="105"/>
              <w:rPr>
                <w:rFonts w:cs="Arial"/>
              </w:rPr>
            </w:pPr>
            <w:r>
              <w:rPr>
                <w:rFonts w:cs="Arial"/>
              </w:rPr>
              <w:t>51.2</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3"/>
              <w:rPr>
                <w:rFonts w:cs="Arial"/>
              </w:rPr>
            </w:pPr>
            <w:r>
              <w:rPr>
                <w:rFonts w:cs="Arial"/>
              </w:rPr>
              <w:t>Max. Throughput averaged over 1 frames for HD-FDD</w:t>
            </w:r>
          </w:p>
        </w:tc>
        <w:tc>
          <w:tcPr>
            <w:tcW w:w="1088" w:type="dxa"/>
            <w:tcBorders>
              <w:top w:val="single" w:color="auto" w:sz="6" w:space="0"/>
              <w:left w:val="single" w:color="auto" w:sz="6" w:space="0"/>
              <w:bottom w:val="single" w:color="auto" w:sz="6" w:space="0"/>
              <w:right w:val="single" w:color="auto" w:sz="6" w:space="0"/>
            </w:tcBorders>
            <w:tcMar>
              <w:top w:w="0" w:type="dxa"/>
              <w:left w:w="108" w:type="dxa"/>
              <w:bottom w:w="0" w:type="dxa"/>
              <w:right w:w="108" w:type="dxa"/>
            </w:tcMar>
          </w:tcPr>
          <w:p>
            <w:pPr>
              <w:pStyle w:val="105"/>
              <w:rPr>
                <w:rFonts w:cs="Arial"/>
              </w:rPr>
            </w:pPr>
            <w:r>
              <w:rPr>
                <w:rFonts w:cs="Arial"/>
              </w:rPr>
              <w:t>kbps</w:t>
            </w:r>
          </w:p>
        </w:tc>
        <w:tc>
          <w:tcPr>
            <w:tcW w:w="5773" w:type="dxa"/>
            <w:tcBorders>
              <w:top w:val="single" w:color="auto" w:sz="6" w:space="0"/>
              <w:left w:val="single" w:color="auto" w:sz="6" w:space="0"/>
              <w:bottom w:val="single" w:color="auto" w:sz="6" w:space="0"/>
              <w:right w:val="single" w:color="auto" w:sz="6" w:space="0"/>
            </w:tcBorders>
            <w:shd w:val="clear" w:color="auto" w:fill="auto"/>
            <w:tcMar>
              <w:top w:w="0" w:type="dxa"/>
              <w:left w:w="108" w:type="dxa"/>
              <w:bottom w:w="0" w:type="dxa"/>
              <w:right w:w="108" w:type="dxa"/>
            </w:tcMar>
          </w:tcPr>
          <w:p>
            <w:pPr>
              <w:pStyle w:val="105"/>
              <w:rPr>
                <w:rFonts w:cs="Arial"/>
              </w:rPr>
            </w:pPr>
            <w:r>
              <w:rPr>
                <w:rFonts w:cs="Arial"/>
              </w:rPr>
              <w:t>25.6</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2267" w:type="dxa"/>
            <w:tcMar>
              <w:top w:w="0" w:type="dxa"/>
              <w:left w:w="108" w:type="dxa"/>
              <w:bottom w:w="0" w:type="dxa"/>
              <w:right w:w="108" w:type="dxa"/>
            </w:tcMar>
          </w:tcPr>
          <w:p>
            <w:pPr>
              <w:pStyle w:val="103"/>
              <w:rPr>
                <w:rFonts w:cs="Arial"/>
              </w:rPr>
            </w:pPr>
            <w:r>
              <w:rPr>
                <w:rFonts w:cs="Arial"/>
              </w:rPr>
              <w:t>UE DL Category</w:t>
            </w:r>
          </w:p>
        </w:tc>
        <w:tc>
          <w:tcPr>
            <w:tcW w:w="1088" w:type="dxa"/>
            <w:tcMar>
              <w:top w:w="0" w:type="dxa"/>
              <w:left w:w="108" w:type="dxa"/>
              <w:bottom w:w="0" w:type="dxa"/>
              <w:right w:w="108" w:type="dxa"/>
            </w:tcMar>
          </w:tcPr>
          <w:p>
            <w:pPr>
              <w:pStyle w:val="105"/>
              <w:rPr>
                <w:rFonts w:cs="Arial"/>
              </w:rPr>
            </w:pPr>
          </w:p>
        </w:tc>
        <w:tc>
          <w:tcPr>
            <w:tcW w:w="5773" w:type="dxa"/>
            <w:shd w:val="clear" w:color="auto" w:fill="auto"/>
            <w:tcMar>
              <w:top w:w="0" w:type="dxa"/>
              <w:left w:w="108" w:type="dxa"/>
              <w:bottom w:w="0" w:type="dxa"/>
              <w:right w:w="108" w:type="dxa"/>
            </w:tcMar>
          </w:tcPr>
          <w:p>
            <w:pPr>
              <w:pStyle w:val="105"/>
              <w:rPr>
                <w:rFonts w:cs="Arial"/>
              </w:rPr>
            </w:pPr>
            <w:r>
              <w:rPr>
                <w:rFonts w:cs="Arial"/>
              </w:rPr>
              <w:t>M1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70" w:hRule="atLeast"/>
          <w:jc w:val="center"/>
        </w:trPr>
        <w:tc>
          <w:tcPr>
            <w:tcW w:w="9128" w:type="dxa"/>
            <w:gridSpan w:val="3"/>
            <w:tcMar>
              <w:top w:w="0" w:type="dxa"/>
              <w:left w:w="108" w:type="dxa"/>
              <w:bottom w:w="0" w:type="dxa"/>
              <w:right w:w="108" w:type="dxa"/>
            </w:tcMar>
          </w:tcPr>
          <w:p>
            <w:pPr>
              <w:pStyle w:val="118"/>
              <w:rPr>
                <w:rFonts w:cs="Arial"/>
              </w:rPr>
            </w:pPr>
            <w:r>
              <w:rPr>
                <w:rFonts w:cs="Arial"/>
              </w:rPr>
              <w:t>Note 1:</w:t>
            </w:r>
            <w:r>
              <w:rPr>
                <w:rFonts w:cs="Arial"/>
              </w:rPr>
              <w:tab/>
            </w:r>
            <w:r>
              <w:rPr>
                <w:rFonts w:cs="Arial"/>
              </w:rPr>
              <w:t>4 symbols allocated to PDCCH for 1.4 MHz</w:t>
            </w:r>
          </w:p>
          <w:p>
            <w:pPr>
              <w:pStyle w:val="118"/>
              <w:rPr>
                <w:rFonts w:cs="Arial"/>
              </w:rPr>
            </w:pPr>
            <w:r>
              <w:rPr>
                <w:rFonts w:cs="Arial"/>
              </w:rPr>
              <w:t>Note 2:</w:t>
            </w:r>
            <w:r>
              <w:rPr>
                <w:rFonts w:cs="Arial"/>
              </w:rPr>
              <w:tab/>
            </w:r>
            <w:r>
              <w:rPr>
                <w:rFonts w:cs="Arial"/>
              </w:rPr>
              <w:t>Reference signal, Synchronization signals and PBCH allocated as per TS 36.211</w:t>
            </w:r>
            <w:r>
              <w:rPr>
                <w:rFonts w:cs="Arial"/>
                <w:lang w:eastAsia="zh-TW"/>
              </w:rPr>
              <w:t xml:space="preserve"> [</w:t>
            </w:r>
            <w:r>
              <w:rPr>
                <w:rFonts w:hint="eastAsia" w:eastAsia="宋体" w:cs="Arial"/>
                <w:lang w:val="en-US" w:eastAsia="zh-CN"/>
              </w:rPr>
              <w:t>3</w:t>
            </w:r>
            <w:r>
              <w:rPr>
                <w:rFonts w:cs="Arial"/>
                <w:lang w:eastAsia="zh-TW"/>
              </w:rPr>
              <w:t>]</w:t>
            </w:r>
            <w:r>
              <w:rPr>
                <w:rFonts w:cs="Arial"/>
              </w:rPr>
              <w:t>.</w:t>
            </w:r>
          </w:p>
          <w:p>
            <w:pPr>
              <w:pStyle w:val="118"/>
              <w:rPr>
                <w:rFonts w:cs="Arial"/>
              </w:rPr>
            </w:pPr>
            <w:r>
              <w:rPr>
                <w:rFonts w:cs="Arial"/>
              </w:rPr>
              <w:t>Note 3:</w:t>
            </w:r>
            <w:r>
              <w:rPr>
                <w:rFonts w:cs="Arial"/>
              </w:rPr>
              <w:tab/>
            </w:r>
            <w:r>
              <w:rPr>
                <w:rFonts w:cs="Arial"/>
              </w:rPr>
              <w:t>For HD-FDD UE, PDSCH are scheduled at the [3rd] subframe every 1 radio frame for 1.4MHz channel BW.</w:t>
            </w:r>
            <w:r>
              <w:t xml:space="preserve"> </w:t>
            </w:r>
            <w:r>
              <w:rPr>
                <w:rFonts w:cs="Arial"/>
              </w:rPr>
              <w:t>Information bit payload is available if downlink subframe is scheduled. The corresponding M-PDCCH is scheduled 2 subframes before the corresponding PDSCH transmission.</w:t>
            </w:r>
          </w:p>
          <w:p>
            <w:pPr>
              <w:pStyle w:val="118"/>
              <w:rPr>
                <w:rFonts w:cs="Arial"/>
              </w:rPr>
            </w:pPr>
            <w:r>
              <w:rPr>
                <w:rFonts w:cs="Arial"/>
              </w:rPr>
              <w:t xml:space="preserve">Note </w:t>
            </w:r>
            <w:r>
              <w:rPr>
                <w:rFonts w:hint="eastAsia" w:eastAsia="宋体" w:cs="Arial"/>
                <w:lang w:val="en-US" w:eastAsia="zh-CN"/>
              </w:rPr>
              <w:t>3</w:t>
            </w:r>
            <w:r>
              <w:rPr>
                <w:rFonts w:cs="Arial"/>
              </w:rPr>
              <w:t>:</w:t>
            </w:r>
            <w:r>
              <w:rPr>
                <w:rFonts w:cs="Arial"/>
              </w:rPr>
              <w:tab/>
            </w:r>
            <w:r>
              <w:rPr>
                <w:rFonts w:cs="Arial"/>
              </w:rPr>
              <w:t>2 resource blocks allocated to M-PDCCH</w:t>
            </w:r>
          </w:p>
        </w:tc>
      </w:tr>
    </w:tbl>
    <w:p/>
    <w:p>
      <w:pPr>
        <w:pStyle w:val="4"/>
      </w:pPr>
      <w:bookmarkStart w:id="1035" w:name="_Toc21450"/>
      <w:bookmarkStart w:id="1036" w:name="_Toc232582117"/>
      <w:r>
        <w:t>A.3.3</w:t>
      </w:r>
      <w:r>
        <w:tab/>
      </w:r>
      <w:r>
        <w:t>Reference measurement channel for PDSCH performance requirements (FDD)</w:t>
      </w:r>
      <w:bookmarkEnd w:id="1035"/>
      <w:bookmarkEnd w:id="1036"/>
    </w:p>
    <w:p>
      <w:pPr>
        <w:pStyle w:val="5"/>
      </w:pPr>
      <w:bookmarkStart w:id="1037" w:name="_Toc18914"/>
      <w:bookmarkStart w:id="1038" w:name="_Toc232582118"/>
      <w:r>
        <w:rPr>
          <w:lang w:eastAsia="en-GB"/>
        </w:rPr>
        <w:t>A.3.3.1</w:t>
      </w:r>
      <w:r>
        <w:rPr>
          <w:lang w:eastAsia="en-GB"/>
        </w:rPr>
        <w:tab/>
      </w:r>
      <w:r>
        <w:rPr>
          <w:lang w:eastAsia="en-GB"/>
        </w:rPr>
        <w:t>Single-antenna transmission (Common Reference Symbols)</w:t>
      </w:r>
      <w:bookmarkEnd w:id="1037"/>
      <w:bookmarkEnd w:id="1038"/>
    </w:p>
    <w:p>
      <w:pPr>
        <w:pStyle w:val="113"/>
        <w:rPr>
          <w:lang w:val="en-US"/>
        </w:rPr>
      </w:pPr>
      <w:r>
        <w:t xml:space="preserve">Table A.3.3.1-1: Fixed Reference Channel </w:t>
      </w:r>
      <w:r>
        <w:rPr>
          <w:rFonts w:hint="eastAsia" w:eastAsia="宋体"/>
          <w:lang w:val="en-US" w:eastAsia="zh-CN"/>
        </w:rPr>
        <w:t>Single Antenna Port</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4"/>
        <w:gridCol w:w="1843"/>
        <w:gridCol w:w="1701"/>
        <w:gridCol w:w="1559"/>
        <w:gridCol w:w="14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4"/>
            </w:pPr>
            <w:r>
              <w:t>Parameter</w:t>
            </w:r>
          </w:p>
        </w:tc>
        <w:tc>
          <w:tcPr>
            <w:tcW w:w="1843" w:type="dxa"/>
          </w:tcPr>
          <w:p>
            <w:pPr>
              <w:pStyle w:val="104"/>
            </w:pPr>
            <w:r>
              <w:rPr>
                <w:spacing w:val="-4"/>
              </w:rPr>
              <w:t>Unit</w:t>
            </w:r>
          </w:p>
        </w:tc>
        <w:tc>
          <w:tcPr>
            <w:tcW w:w="4674" w:type="dxa"/>
            <w:gridSpan w:val="3"/>
          </w:tcPr>
          <w:p>
            <w:pPr>
              <w:pStyle w:val="104"/>
            </w:pPr>
            <w: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Reference</w:t>
            </w:r>
            <w:r>
              <w:rPr>
                <w:spacing w:val="-4"/>
              </w:rPr>
              <w:t xml:space="preserve"> </w:t>
            </w:r>
            <w:r>
              <w:rPr>
                <w:spacing w:val="-2"/>
              </w:rPr>
              <w:t>channel</w:t>
            </w:r>
          </w:p>
        </w:tc>
        <w:tc>
          <w:tcPr>
            <w:tcW w:w="1843" w:type="dxa"/>
          </w:tcPr>
          <w:p>
            <w:pPr>
              <w:pStyle w:val="105"/>
            </w:pPr>
          </w:p>
        </w:tc>
        <w:tc>
          <w:tcPr>
            <w:tcW w:w="1701" w:type="dxa"/>
          </w:tcPr>
          <w:p>
            <w:pPr>
              <w:pStyle w:val="105"/>
            </w:pPr>
            <w:r>
              <w:t>R.1</w:t>
            </w:r>
            <w:r>
              <w:rPr>
                <w:spacing w:val="-1"/>
              </w:rPr>
              <w:t xml:space="preserve"> </w:t>
            </w:r>
            <w:r>
              <w:rPr>
                <w:spacing w:val="-5"/>
              </w:rPr>
              <w:t>FDD</w:t>
            </w:r>
          </w:p>
        </w:tc>
        <w:tc>
          <w:tcPr>
            <w:tcW w:w="1559" w:type="dxa"/>
          </w:tcPr>
          <w:p>
            <w:pPr>
              <w:pStyle w:val="105"/>
            </w:pPr>
            <w:r>
              <w:t>R.2 FDD</w:t>
            </w:r>
          </w:p>
        </w:tc>
        <w:tc>
          <w:tcPr>
            <w:tcW w:w="1414" w:type="dxa"/>
          </w:tcPr>
          <w:p>
            <w:pPr>
              <w:pStyle w:val="105"/>
            </w:pPr>
            <w:r>
              <w:t>R.3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Channel</w:t>
            </w:r>
            <w:r>
              <w:rPr>
                <w:spacing w:val="-2"/>
              </w:rPr>
              <w:t xml:space="preserve"> bandwidth</w:t>
            </w:r>
          </w:p>
        </w:tc>
        <w:tc>
          <w:tcPr>
            <w:tcW w:w="1843" w:type="dxa"/>
          </w:tcPr>
          <w:p>
            <w:pPr>
              <w:pStyle w:val="105"/>
            </w:pPr>
            <w:r>
              <w:rPr>
                <w:spacing w:val="-5"/>
              </w:rPr>
              <w:t>MHz</w:t>
            </w:r>
          </w:p>
        </w:tc>
        <w:tc>
          <w:tcPr>
            <w:tcW w:w="1701" w:type="dxa"/>
          </w:tcPr>
          <w:p>
            <w:pPr>
              <w:pStyle w:val="105"/>
            </w:pPr>
            <w:r>
              <w:rPr>
                <w:spacing w:val="-5"/>
              </w:rPr>
              <w:t>1.4</w:t>
            </w:r>
          </w:p>
        </w:tc>
        <w:tc>
          <w:tcPr>
            <w:tcW w:w="1559" w:type="dxa"/>
          </w:tcPr>
          <w:p>
            <w:pPr>
              <w:pStyle w:val="105"/>
            </w:pPr>
            <w:r>
              <w:rPr>
                <w:spacing w:val="-5"/>
              </w:rPr>
              <w:t>1.4</w:t>
            </w:r>
          </w:p>
        </w:tc>
        <w:tc>
          <w:tcPr>
            <w:tcW w:w="1414" w:type="dxa"/>
          </w:tcPr>
          <w:p>
            <w:pPr>
              <w:pStyle w:val="105"/>
            </w:pPr>
            <w:r>
              <w:rPr>
                <w:spacing w:val="-5"/>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Allocated resource blocks</w:t>
            </w:r>
          </w:p>
        </w:tc>
        <w:tc>
          <w:tcPr>
            <w:tcW w:w="1843" w:type="dxa"/>
          </w:tcPr>
          <w:p>
            <w:pPr>
              <w:pStyle w:val="105"/>
            </w:pPr>
          </w:p>
        </w:tc>
        <w:tc>
          <w:tcPr>
            <w:tcW w:w="1701" w:type="dxa"/>
          </w:tcPr>
          <w:p>
            <w:pPr>
              <w:pStyle w:val="105"/>
            </w:pPr>
            <w:r>
              <w:t>Note3</w:t>
            </w:r>
          </w:p>
        </w:tc>
        <w:tc>
          <w:tcPr>
            <w:tcW w:w="1559" w:type="dxa"/>
          </w:tcPr>
          <w:p>
            <w:pPr>
              <w:pStyle w:val="105"/>
            </w:pPr>
            <w:r>
              <w:t>6</w:t>
            </w:r>
          </w:p>
        </w:tc>
        <w:tc>
          <w:tcPr>
            <w:tcW w:w="1414"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Allocated</w:t>
            </w:r>
            <w:r>
              <w:rPr>
                <w:spacing w:val="-4"/>
              </w:rPr>
              <w:t xml:space="preserve"> </w:t>
            </w:r>
            <w:r>
              <w:t>DL</w:t>
            </w:r>
            <w:r>
              <w:rPr>
                <w:spacing w:val="-2"/>
              </w:rPr>
              <w:t xml:space="preserve"> </w:t>
            </w:r>
            <w:r>
              <w:t>subframes</w:t>
            </w:r>
            <w:r>
              <w:rPr>
                <w:spacing w:val="-2"/>
              </w:rPr>
              <w:t xml:space="preserve"> </w:t>
            </w:r>
            <w:r>
              <w:t>per</w:t>
            </w:r>
            <w:r>
              <w:rPr>
                <w:spacing w:val="-5"/>
              </w:rPr>
              <w:t xml:space="preserve"> </w:t>
            </w:r>
            <w:r>
              <w:t>Radio</w:t>
            </w:r>
            <w:r>
              <w:rPr>
                <w:spacing w:val="-3"/>
              </w:rPr>
              <w:t xml:space="preserve"> </w:t>
            </w:r>
            <w:r>
              <w:rPr>
                <w:spacing w:val="-2"/>
              </w:rPr>
              <w:t>Frame</w:t>
            </w:r>
          </w:p>
        </w:tc>
        <w:tc>
          <w:tcPr>
            <w:tcW w:w="1843" w:type="dxa"/>
          </w:tcPr>
          <w:p>
            <w:pPr>
              <w:pStyle w:val="105"/>
            </w:pPr>
          </w:p>
        </w:tc>
        <w:tc>
          <w:tcPr>
            <w:tcW w:w="1701" w:type="dxa"/>
          </w:tcPr>
          <w:p>
            <w:pPr>
              <w:pStyle w:val="105"/>
            </w:pPr>
            <w:r>
              <w:t xml:space="preserve">Note </w:t>
            </w:r>
            <w:r>
              <w:rPr>
                <w:spacing w:val="-10"/>
              </w:rPr>
              <w:t>4</w:t>
            </w:r>
          </w:p>
        </w:tc>
        <w:tc>
          <w:tcPr>
            <w:tcW w:w="1559" w:type="dxa"/>
          </w:tcPr>
          <w:p>
            <w:pPr>
              <w:pStyle w:val="105"/>
            </w:pPr>
            <w:r>
              <w:t>Note 5</w:t>
            </w:r>
          </w:p>
        </w:tc>
        <w:tc>
          <w:tcPr>
            <w:tcW w:w="1414" w:type="dxa"/>
          </w:tcPr>
          <w:p>
            <w:pPr>
              <w:pStyle w:val="105"/>
            </w:pPr>
            <w:r>
              <w:t xml:space="preserve">Note </w:t>
            </w:r>
            <w:r>
              <w:rPr>
                <w:spacing w:val="-10"/>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rPr>
                <w:spacing w:val="-2"/>
              </w:rPr>
              <w:t>Modulation</w:t>
            </w:r>
          </w:p>
        </w:tc>
        <w:tc>
          <w:tcPr>
            <w:tcW w:w="1843" w:type="dxa"/>
          </w:tcPr>
          <w:p>
            <w:pPr>
              <w:pStyle w:val="105"/>
            </w:pPr>
          </w:p>
        </w:tc>
        <w:tc>
          <w:tcPr>
            <w:tcW w:w="1701" w:type="dxa"/>
          </w:tcPr>
          <w:p>
            <w:pPr>
              <w:pStyle w:val="105"/>
            </w:pPr>
            <w:r>
              <w:rPr>
                <w:spacing w:val="-4"/>
              </w:rPr>
              <w:t>16QAM</w:t>
            </w:r>
          </w:p>
        </w:tc>
        <w:tc>
          <w:tcPr>
            <w:tcW w:w="1559" w:type="dxa"/>
          </w:tcPr>
          <w:p>
            <w:pPr>
              <w:pStyle w:val="105"/>
            </w:pPr>
            <w:r>
              <w:rPr>
                <w:spacing w:val="-4"/>
              </w:rPr>
              <w:t>QPSK</w:t>
            </w:r>
          </w:p>
        </w:tc>
        <w:tc>
          <w:tcPr>
            <w:tcW w:w="1414" w:type="dxa"/>
          </w:tcPr>
          <w:p>
            <w:pPr>
              <w:pStyle w:val="105"/>
            </w:pPr>
            <w:r>
              <w:rPr>
                <w:spacing w:val="-4"/>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Target</w:t>
            </w:r>
            <w:r>
              <w:rPr>
                <w:spacing w:val="-5"/>
              </w:rPr>
              <w:t xml:space="preserve"> </w:t>
            </w:r>
            <w:r>
              <w:t>Coding</w:t>
            </w:r>
            <w:r>
              <w:rPr>
                <w:spacing w:val="-1"/>
              </w:rPr>
              <w:t xml:space="preserve"> </w:t>
            </w:r>
            <w:r>
              <w:rPr>
                <w:spacing w:val="-4"/>
              </w:rPr>
              <w:t>Rate</w:t>
            </w:r>
          </w:p>
        </w:tc>
        <w:tc>
          <w:tcPr>
            <w:tcW w:w="1843" w:type="dxa"/>
          </w:tcPr>
          <w:p>
            <w:pPr>
              <w:pStyle w:val="105"/>
            </w:pPr>
          </w:p>
        </w:tc>
        <w:tc>
          <w:tcPr>
            <w:tcW w:w="1701" w:type="dxa"/>
          </w:tcPr>
          <w:p>
            <w:pPr>
              <w:pStyle w:val="105"/>
            </w:pPr>
            <w:r>
              <w:rPr>
                <w:spacing w:val="-5"/>
              </w:rPr>
              <w:t>1/2</w:t>
            </w:r>
          </w:p>
        </w:tc>
        <w:tc>
          <w:tcPr>
            <w:tcW w:w="1559" w:type="dxa"/>
          </w:tcPr>
          <w:p>
            <w:pPr>
              <w:pStyle w:val="105"/>
            </w:pPr>
            <w:r>
              <w:rPr>
                <w:spacing w:val="-5"/>
              </w:rPr>
              <w:t>1/3</w:t>
            </w:r>
          </w:p>
        </w:tc>
        <w:tc>
          <w:tcPr>
            <w:tcW w:w="1414" w:type="dxa"/>
          </w:tcPr>
          <w:p>
            <w:pPr>
              <w:pStyle w:val="105"/>
            </w:pPr>
            <w:r>
              <w:rPr>
                <w:spacing w:val="-5"/>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Information</w:t>
            </w:r>
            <w:r>
              <w:rPr>
                <w:spacing w:val="-3"/>
              </w:rPr>
              <w:t xml:space="preserve"> </w:t>
            </w:r>
            <w:r>
              <w:t>Bit</w:t>
            </w:r>
            <w:r>
              <w:rPr>
                <w:spacing w:val="-3"/>
              </w:rPr>
              <w:t xml:space="preserve"> </w:t>
            </w:r>
            <w:r>
              <w:rPr>
                <w:spacing w:val="-2"/>
              </w:rPr>
              <w:t>Payload</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 xml:space="preserve">Sub-Frames </w:t>
            </w:r>
            <w:r>
              <w:rPr>
                <w:spacing w:val="-2"/>
              </w:rPr>
              <w:t>0,1,2,3,4,5,6,7,8,9</w:t>
            </w:r>
          </w:p>
        </w:tc>
        <w:tc>
          <w:tcPr>
            <w:tcW w:w="1843" w:type="dxa"/>
          </w:tcPr>
          <w:p>
            <w:pPr>
              <w:pStyle w:val="105"/>
            </w:pPr>
            <w:r>
              <w:rPr>
                <w:spacing w:val="-4"/>
              </w:rPr>
              <w:t>Bits</w:t>
            </w:r>
          </w:p>
        </w:tc>
        <w:tc>
          <w:tcPr>
            <w:tcW w:w="1701" w:type="dxa"/>
          </w:tcPr>
          <w:p>
            <w:pPr>
              <w:pStyle w:val="105"/>
            </w:pPr>
            <w:r>
              <w:rPr>
                <w:spacing w:val="-5"/>
              </w:rPr>
              <w:t>744</w:t>
            </w:r>
          </w:p>
        </w:tc>
        <w:tc>
          <w:tcPr>
            <w:tcW w:w="1559" w:type="dxa"/>
          </w:tcPr>
          <w:p>
            <w:pPr>
              <w:pStyle w:val="105"/>
            </w:pPr>
            <w:r>
              <w:rPr>
                <w:spacing w:val="-5"/>
              </w:rPr>
              <w:t>504</w:t>
            </w:r>
          </w:p>
        </w:tc>
        <w:tc>
          <w:tcPr>
            <w:tcW w:w="1414" w:type="dxa"/>
          </w:tcPr>
          <w:p>
            <w:pPr>
              <w:pStyle w:val="105"/>
            </w:pPr>
            <w:r>
              <w:rPr>
                <w:spacing w:val="-5"/>
              </w:rPr>
              <w:t>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Number</w:t>
            </w:r>
            <w:r>
              <w:rPr>
                <w:spacing w:val="-4"/>
              </w:rPr>
              <w:t xml:space="preserve"> </w:t>
            </w:r>
            <w:r>
              <w:t>of</w:t>
            </w:r>
            <w:r>
              <w:rPr>
                <w:spacing w:val="-1"/>
              </w:rPr>
              <w:t xml:space="preserve"> </w:t>
            </w:r>
            <w:r>
              <w:t xml:space="preserve">Code </w:t>
            </w:r>
            <w:r>
              <w:rPr>
                <w:spacing w:val="-2"/>
              </w:rPr>
              <w:t>Blocks</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 xml:space="preserve">Sub-Frames </w:t>
            </w:r>
            <w:r>
              <w:rPr>
                <w:spacing w:val="-2"/>
              </w:rPr>
              <w:t>0,1,2,3,4,5,6,7,8,9</w:t>
            </w:r>
          </w:p>
        </w:tc>
        <w:tc>
          <w:tcPr>
            <w:tcW w:w="1843" w:type="dxa"/>
          </w:tcPr>
          <w:p>
            <w:pPr>
              <w:pStyle w:val="105"/>
            </w:pPr>
            <w:r>
              <w:rPr>
                <w:spacing w:val="-4"/>
              </w:rPr>
              <w:t xml:space="preserve">Code </w:t>
            </w:r>
            <w:r>
              <w:rPr>
                <w:spacing w:val="-2"/>
              </w:rPr>
              <w:t>blocks</w:t>
            </w:r>
          </w:p>
        </w:tc>
        <w:tc>
          <w:tcPr>
            <w:tcW w:w="1701" w:type="dxa"/>
          </w:tcPr>
          <w:p>
            <w:pPr>
              <w:pStyle w:val="105"/>
            </w:pPr>
            <w:r>
              <w:t>1</w:t>
            </w:r>
          </w:p>
        </w:tc>
        <w:tc>
          <w:tcPr>
            <w:tcW w:w="1559" w:type="dxa"/>
          </w:tcPr>
          <w:p>
            <w:pPr>
              <w:pStyle w:val="105"/>
            </w:pPr>
            <w:r>
              <w:t>1</w:t>
            </w:r>
          </w:p>
        </w:tc>
        <w:tc>
          <w:tcPr>
            <w:tcW w:w="1414" w:type="dxa"/>
          </w:tcPr>
          <w:p>
            <w:pPr>
              <w:pStyle w:val="105"/>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Binary</w:t>
            </w:r>
            <w:r>
              <w:rPr>
                <w:spacing w:val="-5"/>
              </w:rPr>
              <w:t xml:space="preserve"> </w:t>
            </w:r>
            <w:r>
              <w:t>Channel</w:t>
            </w:r>
            <w:r>
              <w:rPr>
                <w:spacing w:val="-1"/>
              </w:rPr>
              <w:t xml:space="preserve"> </w:t>
            </w:r>
            <w:r>
              <w:rPr>
                <w:spacing w:val="-4"/>
              </w:rPr>
              <w:t>Bits</w:t>
            </w:r>
          </w:p>
        </w:tc>
        <w:tc>
          <w:tcPr>
            <w:tcW w:w="1843" w:type="dxa"/>
          </w:tcPr>
          <w:p>
            <w:pPr>
              <w:pStyle w:val="105"/>
            </w:pPr>
          </w:p>
        </w:tc>
        <w:tc>
          <w:tcPr>
            <w:tcW w:w="1701" w:type="dxa"/>
          </w:tcPr>
          <w:p>
            <w:pPr>
              <w:pStyle w:val="105"/>
            </w:pPr>
          </w:p>
        </w:tc>
        <w:tc>
          <w:tcPr>
            <w:tcW w:w="1559" w:type="dxa"/>
          </w:tcPr>
          <w:p>
            <w:pPr>
              <w:pStyle w:val="105"/>
            </w:pPr>
          </w:p>
        </w:tc>
        <w:tc>
          <w:tcPr>
            <w:tcW w:w="1414"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For</w:t>
            </w:r>
            <w:r>
              <w:rPr>
                <w:spacing w:val="-2"/>
              </w:rPr>
              <w:t xml:space="preserve"> </w:t>
            </w:r>
            <w:r>
              <w:t>Sub-Frames 0,</w:t>
            </w:r>
            <w:r>
              <w:rPr>
                <w:spacing w:val="-2"/>
              </w:rPr>
              <w:t>1,2,3,4,5,6,7,8,9</w:t>
            </w:r>
          </w:p>
        </w:tc>
        <w:tc>
          <w:tcPr>
            <w:tcW w:w="1843" w:type="dxa"/>
          </w:tcPr>
          <w:p>
            <w:pPr>
              <w:pStyle w:val="105"/>
            </w:pPr>
            <w:r>
              <w:rPr>
                <w:spacing w:val="-4"/>
              </w:rPr>
              <w:t>Bits</w:t>
            </w:r>
          </w:p>
        </w:tc>
        <w:tc>
          <w:tcPr>
            <w:tcW w:w="1701" w:type="dxa"/>
          </w:tcPr>
          <w:p>
            <w:pPr>
              <w:pStyle w:val="105"/>
              <w:rPr>
                <w:spacing w:val="-4"/>
              </w:rPr>
            </w:pPr>
            <w:r>
              <w:rPr>
                <w:spacing w:val="-4"/>
              </w:rPr>
              <w:t xml:space="preserve">1656 </w:t>
            </w:r>
          </w:p>
          <w:p>
            <w:pPr>
              <w:pStyle w:val="105"/>
            </w:pPr>
            <w:r>
              <w:rPr>
                <w:spacing w:val="-4"/>
              </w:rPr>
              <w:t>(Note 7, 8)</w:t>
            </w:r>
          </w:p>
        </w:tc>
        <w:tc>
          <w:tcPr>
            <w:tcW w:w="1559" w:type="dxa"/>
          </w:tcPr>
          <w:p>
            <w:pPr>
              <w:pStyle w:val="105"/>
            </w:pPr>
            <w:r>
              <w:rPr>
                <w:spacing w:val="-4"/>
              </w:rPr>
              <w:t>1656 (Note 7, 8)</w:t>
            </w:r>
          </w:p>
        </w:tc>
        <w:tc>
          <w:tcPr>
            <w:tcW w:w="1414" w:type="dxa"/>
          </w:tcPr>
          <w:p>
            <w:pPr>
              <w:pStyle w:val="105"/>
              <w:rPr>
                <w:spacing w:val="-4"/>
              </w:rPr>
            </w:pPr>
            <w:r>
              <w:rPr>
                <w:spacing w:val="-4"/>
              </w:rPr>
              <w:t xml:space="preserve">1656 </w:t>
            </w:r>
          </w:p>
          <w:p>
            <w:pPr>
              <w:pStyle w:val="105"/>
            </w:pPr>
            <w:r>
              <w:rPr>
                <w:spacing w:val="-4"/>
              </w:rPr>
              <w:t>(Note 7,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Max.</w:t>
            </w:r>
            <w:r>
              <w:rPr>
                <w:spacing w:val="-3"/>
              </w:rPr>
              <w:t xml:space="preserve"> </w:t>
            </w:r>
            <w:r>
              <w:t>Throughput</w:t>
            </w:r>
            <w:r>
              <w:rPr>
                <w:spacing w:val="-2"/>
              </w:rPr>
              <w:t xml:space="preserve"> </w:t>
            </w:r>
            <w:r>
              <w:t>averaged</w:t>
            </w:r>
            <w:r>
              <w:rPr>
                <w:spacing w:val="-5"/>
              </w:rPr>
              <w:t xml:space="preserve"> </w:t>
            </w:r>
            <w:r>
              <w:t>over</w:t>
            </w:r>
            <w:r>
              <w:rPr>
                <w:spacing w:val="-2"/>
              </w:rPr>
              <w:t xml:space="preserve"> </w:t>
            </w:r>
            <w:r>
              <w:t>one</w:t>
            </w:r>
            <w:r>
              <w:rPr>
                <w:spacing w:val="-4"/>
              </w:rPr>
              <w:t xml:space="preserve"> </w:t>
            </w:r>
            <w:r>
              <w:rPr>
                <w:spacing w:val="-2"/>
              </w:rPr>
              <w:t>period</w:t>
            </w:r>
          </w:p>
        </w:tc>
        <w:tc>
          <w:tcPr>
            <w:tcW w:w="1843" w:type="dxa"/>
          </w:tcPr>
          <w:p>
            <w:pPr>
              <w:pStyle w:val="105"/>
            </w:pPr>
            <w:r>
              <w:rPr>
                <w:spacing w:val="-4"/>
              </w:rPr>
              <w:t>Kbps</w:t>
            </w:r>
          </w:p>
        </w:tc>
        <w:tc>
          <w:tcPr>
            <w:tcW w:w="1701" w:type="dxa"/>
          </w:tcPr>
          <w:p>
            <w:pPr>
              <w:pStyle w:val="105"/>
            </w:pPr>
            <w:r>
              <w:rPr>
                <w:spacing w:val="-2"/>
              </w:rPr>
              <w:t>149</w:t>
            </w:r>
          </w:p>
        </w:tc>
        <w:tc>
          <w:tcPr>
            <w:tcW w:w="1559" w:type="dxa"/>
          </w:tcPr>
          <w:p>
            <w:pPr>
              <w:pStyle w:val="105"/>
            </w:pPr>
            <w:r>
              <w:rPr>
                <w:spacing w:val="-4"/>
              </w:rPr>
              <w:t>15.75</w:t>
            </w:r>
          </w:p>
        </w:tc>
        <w:tc>
          <w:tcPr>
            <w:tcW w:w="1414" w:type="dxa"/>
          </w:tcPr>
          <w:p>
            <w:pPr>
              <w:pStyle w:val="105"/>
            </w:pPr>
            <w:r>
              <w:rPr>
                <w:spacing w:val="-4"/>
              </w:rPr>
              <w:t>0.950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4" w:type="dxa"/>
          </w:tcPr>
          <w:p>
            <w:pPr>
              <w:pStyle w:val="103"/>
            </w:pPr>
            <w:r>
              <w:t>UE</w:t>
            </w:r>
            <w:r>
              <w:rPr>
                <w:spacing w:val="-1"/>
              </w:rPr>
              <w:t xml:space="preserve"> </w:t>
            </w:r>
            <w:r>
              <w:t xml:space="preserve">DL </w:t>
            </w:r>
            <w:r>
              <w:rPr>
                <w:spacing w:val="-2"/>
              </w:rPr>
              <w:t>Category</w:t>
            </w:r>
          </w:p>
        </w:tc>
        <w:tc>
          <w:tcPr>
            <w:tcW w:w="1843" w:type="dxa"/>
          </w:tcPr>
          <w:p>
            <w:pPr>
              <w:pStyle w:val="105"/>
            </w:pPr>
          </w:p>
        </w:tc>
        <w:tc>
          <w:tcPr>
            <w:tcW w:w="1701" w:type="dxa"/>
          </w:tcPr>
          <w:p>
            <w:pPr>
              <w:pStyle w:val="105"/>
            </w:pPr>
            <w:r>
              <w:t>M1</w:t>
            </w:r>
          </w:p>
        </w:tc>
        <w:tc>
          <w:tcPr>
            <w:tcW w:w="1559" w:type="dxa"/>
          </w:tcPr>
          <w:p>
            <w:pPr>
              <w:pStyle w:val="105"/>
            </w:pPr>
            <w:r>
              <w:t>M1</w:t>
            </w:r>
          </w:p>
        </w:tc>
        <w:tc>
          <w:tcPr>
            <w:tcW w:w="1414" w:type="dxa"/>
          </w:tcPr>
          <w:p>
            <w:pPr>
              <w:pStyle w:val="105"/>
            </w:pPr>
            <w: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31" w:type="dxa"/>
            <w:gridSpan w:val="5"/>
          </w:tcPr>
          <w:p>
            <w:pPr>
              <w:pStyle w:val="118"/>
              <w:rPr>
                <w:rFonts w:eastAsia="MS Mincho" w:cs="Arial"/>
                <w:lang w:eastAsia="ja-JP"/>
              </w:rPr>
            </w:pPr>
            <w:r>
              <w:rPr>
                <w:rFonts w:eastAsia="MS Mincho" w:cs="Arial"/>
                <w:lang w:eastAsia="ja-JP"/>
              </w:rPr>
              <w:t xml:space="preserve">Note </w:t>
            </w:r>
            <w:r>
              <w:rPr>
                <w:rFonts w:cs="Arial"/>
                <w:lang w:eastAsia="zh-CN"/>
              </w:rPr>
              <w:t>1</w:t>
            </w:r>
            <w:r>
              <w:rPr>
                <w:rFonts w:eastAsia="MS Mincho" w:cs="Arial"/>
                <w:lang w:eastAsia="ja-JP"/>
              </w:rPr>
              <w:t>:</w:t>
            </w:r>
            <w:r>
              <w:rPr>
                <w:szCs w:val="24"/>
                <w:lang w:eastAsia="zh-CN"/>
              </w:rPr>
              <w:tab/>
            </w:r>
            <w:r>
              <w:rPr>
                <w:spacing w:val="-2"/>
              </w:rPr>
              <w:t xml:space="preserve">2 </w:t>
            </w:r>
            <w:r>
              <w:t>symbols</w:t>
            </w:r>
            <w:r>
              <w:rPr>
                <w:spacing w:val="-2"/>
              </w:rPr>
              <w:t xml:space="preserve"> are </w:t>
            </w:r>
            <w:r>
              <w:t>allocated</w:t>
            </w:r>
            <w:r>
              <w:rPr>
                <w:spacing w:val="-3"/>
              </w:rPr>
              <w:t xml:space="preserve"> </w:t>
            </w:r>
            <w:r>
              <w:t xml:space="preserve">to </w:t>
            </w:r>
            <w:r>
              <w:rPr>
                <w:spacing w:val="-2"/>
              </w:rPr>
              <w:t>PDCCH.</w:t>
            </w:r>
          </w:p>
          <w:p>
            <w:pPr>
              <w:pStyle w:val="118"/>
              <w:rPr>
                <w:spacing w:val="-4"/>
              </w:rPr>
            </w:pPr>
            <w:r>
              <w:rPr>
                <w:rFonts w:eastAsia="MS Mincho" w:cs="Arial"/>
                <w:lang w:eastAsia="ja-JP"/>
              </w:rPr>
              <w:t xml:space="preserve">Note </w:t>
            </w:r>
            <w:r>
              <w:rPr>
                <w:rFonts w:cs="Arial"/>
                <w:lang w:eastAsia="zh-CN"/>
              </w:rPr>
              <w:t>2</w:t>
            </w:r>
            <w:r>
              <w:rPr>
                <w:rFonts w:eastAsia="MS Mincho" w:cs="Arial"/>
                <w:lang w:eastAsia="ja-JP"/>
              </w:rPr>
              <w:t>:</w:t>
            </w:r>
            <w:r>
              <w:rPr>
                <w:szCs w:val="24"/>
                <w:lang w:eastAsia="zh-CN"/>
              </w:rPr>
              <w:tab/>
            </w:r>
            <w:r>
              <w:t>Reference</w:t>
            </w:r>
            <w:r>
              <w:rPr>
                <w:spacing w:val="-4"/>
              </w:rPr>
              <w:t xml:space="preserve"> </w:t>
            </w:r>
            <w:r>
              <w:t>signal,</w:t>
            </w:r>
            <w:r>
              <w:rPr>
                <w:spacing w:val="-4"/>
              </w:rPr>
              <w:t xml:space="preserve"> </w:t>
            </w:r>
            <w:r>
              <w:t>synchronization</w:t>
            </w:r>
            <w:r>
              <w:rPr>
                <w:spacing w:val="-4"/>
              </w:rPr>
              <w:t xml:space="preserve"> </w:t>
            </w:r>
            <w:r>
              <w:t>signals</w:t>
            </w:r>
            <w:r>
              <w:rPr>
                <w:spacing w:val="-1"/>
              </w:rPr>
              <w:t xml:space="preserve"> </w:t>
            </w:r>
            <w:r>
              <w:t>and</w:t>
            </w:r>
            <w:r>
              <w:rPr>
                <w:spacing w:val="-2"/>
              </w:rPr>
              <w:t xml:space="preserve"> </w:t>
            </w:r>
            <w:r>
              <w:t>PBCH</w:t>
            </w:r>
            <w:r>
              <w:rPr>
                <w:spacing w:val="-3"/>
              </w:rPr>
              <w:t xml:space="preserve"> are </w:t>
            </w:r>
            <w:r>
              <w:t>allocated</w:t>
            </w:r>
            <w:r>
              <w:rPr>
                <w:spacing w:val="-2"/>
              </w:rPr>
              <w:t xml:space="preserve"> </w:t>
            </w:r>
            <w:r>
              <w:t>as</w:t>
            </w:r>
            <w:r>
              <w:rPr>
                <w:spacing w:val="-1"/>
              </w:rPr>
              <w:t xml:space="preserve"> </w:t>
            </w:r>
            <w:r>
              <w:t>per</w:t>
            </w:r>
            <w:r>
              <w:rPr>
                <w:spacing w:val="-2"/>
              </w:rPr>
              <w:t xml:space="preserve"> </w:t>
            </w:r>
            <w:r>
              <w:t>TS</w:t>
            </w:r>
            <w:r>
              <w:rPr>
                <w:spacing w:val="-2"/>
              </w:rPr>
              <w:t xml:space="preserve"> </w:t>
            </w:r>
            <w:r>
              <w:t>36.211</w:t>
            </w:r>
            <w:r>
              <w:rPr>
                <w:spacing w:val="-3"/>
              </w:rPr>
              <w:t xml:space="preserve"> </w:t>
            </w:r>
            <w:r>
              <w:rPr>
                <w:spacing w:val="-4"/>
              </w:rPr>
              <w:t>[3].</w:t>
            </w:r>
          </w:p>
          <w:p>
            <w:pPr>
              <w:pStyle w:val="118"/>
              <w:rPr>
                <w:rFonts w:eastAsia="MS Mincho" w:cs="Arial"/>
                <w:lang w:eastAsia="ja-JP"/>
              </w:rPr>
            </w:pPr>
            <w:r>
              <w:rPr>
                <w:rFonts w:eastAsia="MS Mincho" w:cs="Arial"/>
                <w:lang w:eastAsia="ja-JP"/>
              </w:rPr>
              <w:t xml:space="preserve">Note </w:t>
            </w:r>
            <w:r>
              <w:rPr>
                <w:rFonts w:cs="Arial"/>
                <w:lang w:eastAsia="zh-CN"/>
              </w:rPr>
              <w:t>3</w:t>
            </w:r>
            <w:r>
              <w:rPr>
                <w:rFonts w:eastAsia="MS Mincho" w:cs="Arial"/>
                <w:lang w:eastAsia="ja-JP"/>
              </w:rPr>
              <w:t>:</w:t>
            </w:r>
            <w:r>
              <w:rPr>
                <w:szCs w:val="24"/>
                <w:lang w:eastAsia="zh-CN"/>
              </w:rPr>
              <w:tab/>
            </w:r>
            <w:r>
              <w:rPr>
                <w:spacing w:val="-2"/>
              </w:rPr>
              <w:t xml:space="preserve">2 </w:t>
            </w:r>
            <w:r>
              <w:t>symbols</w:t>
            </w:r>
            <w:r>
              <w:rPr>
                <w:spacing w:val="-2"/>
              </w:rPr>
              <w:t xml:space="preserve"> are </w:t>
            </w:r>
            <w:r>
              <w:t>allocated</w:t>
            </w:r>
            <w:r>
              <w:rPr>
                <w:spacing w:val="-3"/>
              </w:rPr>
              <w:t xml:space="preserve"> </w:t>
            </w:r>
            <w:r>
              <w:t xml:space="preserve">to </w:t>
            </w:r>
            <w:r>
              <w:rPr>
                <w:spacing w:val="-2"/>
              </w:rPr>
              <w:t>PDCCH.</w:t>
            </w:r>
          </w:p>
          <w:p>
            <w:pPr>
              <w:pStyle w:val="118"/>
              <w:rPr>
                <w:rFonts w:cs="Arial"/>
                <w:lang w:eastAsia="zh-CN"/>
              </w:rPr>
            </w:pPr>
            <w:r>
              <w:rPr>
                <w:rFonts w:eastAsia="MS Mincho" w:cs="Arial"/>
                <w:lang w:eastAsia="ja-JP"/>
              </w:rPr>
              <w:t xml:space="preserve">Note </w:t>
            </w:r>
            <w:r>
              <w:rPr>
                <w:rFonts w:cs="Arial"/>
                <w:lang w:eastAsia="zh-CN"/>
              </w:rPr>
              <w:t>4</w:t>
            </w:r>
            <w:r>
              <w:rPr>
                <w:rFonts w:eastAsia="MS Mincho" w:cs="Arial"/>
                <w:lang w:eastAsia="ja-JP"/>
              </w:rPr>
              <w:t>:</w:t>
            </w:r>
            <w:r>
              <w:rPr>
                <w:szCs w:val="24"/>
                <w:lang w:eastAsia="zh-CN"/>
              </w:rPr>
              <w:tab/>
            </w:r>
            <w:r>
              <w:rPr>
                <w:lang w:val="en-US" w:eastAsia="zh-CN"/>
              </w:rPr>
              <w:t>The downlink subframes are scheduled at the 8</w:t>
            </w:r>
            <w:r>
              <w:rPr>
                <w:vertAlign w:val="superscript"/>
                <w:lang w:val="en-US" w:eastAsia="zh-CN"/>
              </w:rPr>
              <w:t>th</w:t>
            </w:r>
            <w:r>
              <w:rPr>
                <w:lang w:val="en-US" w:eastAsia="zh-CN"/>
              </w:rPr>
              <w:t xml:space="preserve"> and 9</w:t>
            </w:r>
            <w:r>
              <w:rPr>
                <w:vertAlign w:val="superscript"/>
                <w:lang w:val="en-US" w:eastAsia="zh-CN"/>
              </w:rPr>
              <w:t>th</w:t>
            </w:r>
            <w:r>
              <w:rPr>
                <w:lang w:val="en-US" w:eastAsia="zh-CN"/>
              </w:rPr>
              <w:t xml:space="preserve"> subframes every 10ms (starting from 0th </w:t>
            </w:r>
            <w:r>
              <w:rPr>
                <w:rFonts w:cs="Arial"/>
                <w:lang w:eastAsia="zh-CN"/>
              </w:rPr>
              <w:t>subframe). Information</w:t>
            </w:r>
            <w:r>
              <w:rPr>
                <w:rFonts w:cs="Arial"/>
                <w:lang w:val="en-US" w:eastAsia="zh-CN"/>
              </w:rPr>
              <w:t xml:space="preserve"> </w:t>
            </w:r>
            <w:r>
              <w:rPr>
                <w:rFonts w:cs="Arial"/>
                <w:lang w:eastAsia="zh-CN"/>
              </w:rPr>
              <w:t xml:space="preserve">bit payload is available from the </w:t>
            </w:r>
            <w:r>
              <w:rPr>
                <w:lang w:val="en-US" w:eastAsia="zh-CN"/>
              </w:rPr>
              <w:t>8</w:t>
            </w:r>
            <w:r>
              <w:rPr>
                <w:vertAlign w:val="superscript"/>
                <w:lang w:val="en-US" w:eastAsia="zh-CN"/>
              </w:rPr>
              <w:t>th</w:t>
            </w:r>
            <w:r>
              <w:rPr>
                <w:rFonts w:cs="Arial"/>
                <w:lang w:eastAsia="zh-CN"/>
              </w:rPr>
              <w:t xml:space="preserve"> to</w:t>
            </w:r>
            <w:r>
              <w:rPr>
                <w:rFonts w:cs="Arial"/>
                <w:lang w:val="en-US" w:eastAsia="zh-CN"/>
              </w:rPr>
              <w:t xml:space="preserve"> </w:t>
            </w:r>
            <w:r>
              <w:rPr>
                <w:lang w:val="en-US" w:eastAsia="zh-CN"/>
              </w:rPr>
              <w:t>9</w:t>
            </w:r>
            <w:r>
              <w:rPr>
                <w:vertAlign w:val="superscript"/>
                <w:lang w:val="en-US" w:eastAsia="zh-CN"/>
              </w:rPr>
              <w:t>th</w:t>
            </w:r>
            <w:r>
              <w:rPr>
                <w:rFonts w:cs="Arial"/>
                <w:lang w:eastAsia="zh-CN"/>
              </w:rPr>
              <w:t xml:space="preserve"> subframes</w:t>
            </w:r>
            <w:r>
              <w:rPr>
                <w:rFonts w:cs="Arial"/>
                <w:lang w:eastAsia="zh-TW"/>
              </w:rPr>
              <w:t>.</w:t>
            </w:r>
            <w:r>
              <w:rPr>
                <w:rFonts w:cs="Arial"/>
                <w:lang w:eastAsia="zh-CN"/>
              </w:rPr>
              <w:t xml:space="preserve"> The corresponding MPDCCH is scheduled 2 subframes before the corresponding PDSCH transmissions.</w:t>
            </w:r>
          </w:p>
          <w:p>
            <w:pPr>
              <w:pStyle w:val="118"/>
              <w:rPr>
                <w:rFonts w:eastAsia="MS Mincho" w:cs="Arial"/>
                <w:lang w:eastAsia="ja-JP"/>
              </w:rPr>
            </w:pPr>
            <w:r>
              <w:rPr>
                <w:rFonts w:eastAsia="MS Mincho" w:cs="Arial"/>
                <w:lang w:eastAsia="ja-JP"/>
              </w:rPr>
              <w:t xml:space="preserve">Note </w:t>
            </w:r>
            <w:r>
              <w:rPr>
                <w:rFonts w:cs="Arial"/>
                <w:lang w:eastAsia="zh-CN"/>
              </w:rPr>
              <w:t>5</w:t>
            </w:r>
            <w:r>
              <w:rPr>
                <w:rFonts w:eastAsia="MS Mincho" w:cs="Arial"/>
                <w:lang w:eastAsia="ja-JP"/>
              </w:rPr>
              <w:t>:</w:t>
            </w:r>
            <w:r>
              <w:rPr>
                <w:szCs w:val="24"/>
                <w:lang w:eastAsia="zh-CN"/>
              </w:rPr>
              <w:tab/>
            </w:r>
            <w:r>
              <w:rPr>
                <w:szCs w:val="24"/>
                <w:lang w:eastAsia="zh-CN"/>
              </w:rPr>
              <w:t>PDSCH subframes are scheduled at the 10</w:t>
            </w:r>
            <w:r>
              <w:rPr>
                <w:szCs w:val="24"/>
                <w:vertAlign w:val="superscript"/>
                <w:lang w:eastAsia="zh-CN"/>
              </w:rPr>
              <w:t>th</w:t>
            </w:r>
            <w:r>
              <w:rPr>
                <w:szCs w:val="24"/>
                <w:lang w:eastAsia="zh-CN"/>
              </w:rPr>
              <w:t xml:space="preserve"> to 17</w:t>
            </w:r>
            <w:r>
              <w:rPr>
                <w:szCs w:val="24"/>
                <w:vertAlign w:val="superscript"/>
                <w:lang w:eastAsia="zh-CN"/>
              </w:rPr>
              <w:t>th</w:t>
            </w:r>
            <w:r>
              <w:rPr>
                <w:szCs w:val="24"/>
                <w:lang w:eastAsia="zh-CN"/>
              </w:rPr>
              <w:t xml:space="preserve"> subframes every period (32ms). Information bit payload is available from the 10</w:t>
            </w:r>
            <w:r>
              <w:rPr>
                <w:szCs w:val="24"/>
                <w:vertAlign w:val="superscript"/>
                <w:lang w:eastAsia="zh-CN"/>
              </w:rPr>
              <w:t>th</w:t>
            </w:r>
            <w:r>
              <w:rPr>
                <w:szCs w:val="24"/>
                <w:lang w:eastAsia="zh-CN"/>
              </w:rPr>
              <w:t xml:space="preserve"> to 17</w:t>
            </w:r>
            <w:r>
              <w:rPr>
                <w:szCs w:val="24"/>
                <w:vertAlign w:val="superscript"/>
                <w:lang w:eastAsia="zh-CN"/>
              </w:rPr>
              <w:t>th</w:t>
            </w:r>
            <w:r>
              <w:rPr>
                <w:szCs w:val="24"/>
                <w:lang w:eastAsia="zh-CN"/>
              </w:rPr>
              <w:t xml:space="preserve"> subframes with repetition. (Starting from the 0</w:t>
            </w:r>
            <w:r>
              <w:rPr>
                <w:szCs w:val="24"/>
                <w:vertAlign w:val="superscript"/>
                <w:lang w:eastAsia="zh-CN"/>
              </w:rPr>
              <w:t>th</w:t>
            </w:r>
            <w:r>
              <w:rPr>
                <w:szCs w:val="24"/>
                <w:lang w:eastAsia="zh-CN"/>
              </w:rPr>
              <w:t xml:space="preserve"> subframe)</w:t>
            </w:r>
            <w:r>
              <w:rPr>
                <w:szCs w:val="24"/>
                <w:lang w:val="en-US" w:eastAsia="zh-CN"/>
              </w:rPr>
              <w:t>. The corresponding MPDCCH is scheduled from 1</w:t>
            </w:r>
            <w:r>
              <w:rPr>
                <w:szCs w:val="24"/>
                <w:vertAlign w:val="superscript"/>
                <w:lang w:val="en-US" w:eastAsia="zh-CN"/>
              </w:rPr>
              <w:t>st</w:t>
            </w:r>
            <w:r>
              <w:rPr>
                <w:szCs w:val="24"/>
                <w:lang w:val="en-US" w:eastAsia="zh-CN"/>
              </w:rPr>
              <w:t xml:space="preserve"> to 8</w:t>
            </w:r>
            <w:r>
              <w:rPr>
                <w:szCs w:val="24"/>
                <w:vertAlign w:val="superscript"/>
                <w:lang w:val="en-US" w:eastAsia="zh-CN"/>
              </w:rPr>
              <w:t>th</w:t>
            </w:r>
            <w:r>
              <w:rPr>
                <w:szCs w:val="24"/>
                <w:lang w:val="en-US" w:eastAsia="zh-CN"/>
              </w:rPr>
              <w:t xml:space="preserve"> subframe every 32ms (starting from 0</w:t>
            </w:r>
            <w:r>
              <w:rPr>
                <w:szCs w:val="24"/>
                <w:vertAlign w:val="superscript"/>
                <w:lang w:val="en-US" w:eastAsia="zh-CN"/>
              </w:rPr>
              <w:t>th</w:t>
            </w:r>
            <w:r>
              <w:rPr>
                <w:szCs w:val="24"/>
                <w:lang w:val="en-US" w:eastAsia="zh-CN"/>
              </w:rPr>
              <w:t xml:space="preserve"> subframe).</w:t>
            </w:r>
          </w:p>
          <w:p>
            <w:pPr>
              <w:pStyle w:val="118"/>
              <w:rPr>
                <w:rFonts w:eastAsiaTheme="minorEastAsia"/>
                <w:szCs w:val="24"/>
                <w:lang w:val="en-US" w:eastAsia="zh-CN"/>
              </w:rPr>
            </w:pPr>
            <w:r>
              <w:rPr>
                <w:rFonts w:eastAsia="MS Mincho" w:cs="Arial"/>
                <w:lang w:eastAsia="ja-JP"/>
              </w:rPr>
              <w:t xml:space="preserve">Note </w:t>
            </w:r>
            <w:r>
              <w:rPr>
                <w:rFonts w:cs="Arial"/>
                <w:lang w:eastAsia="zh-CN"/>
              </w:rPr>
              <w:t>6</w:t>
            </w:r>
            <w:r>
              <w:rPr>
                <w:rFonts w:eastAsia="MS Mincho" w:cs="Arial"/>
                <w:lang w:eastAsia="ja-JP"/>
              </w:rPr>
              <w:t>:</w:t>
            </w:r>
            <w:r>
              <w:rPr>
                <w:szCs w:val="24"/>
                <w:lang w:eastAsia="zh-CN"/>
              </w:rPr>
              <w:tab/>
            </w:r>
            <w:r>
              <w:rPr>
                <w:szCs w:val="24"/>
                <w:lang w:val="en-US" w:eastAsia="zh-CN"/>
              </w:rPr>
              <w:t>PDSCH subframes are scheduled at the 96</w:t>
            </w:r>
            <w:r>
              <w:rPr>
                <w:szCs w:val="24"/>
                <w:vertAlign w:val="superscript"/>
                <w:lang w:eastAsia="zh-CN"/>
              </w:rPr>
              <w:t>th</w:t>
            </w:r>
            <w:r>
              <w:rPr>
                <w:szCs w:val="24"/>
                <w:lang w:val="en-US" w:eastAsia="zh-CN"/>
              </w:rPr>
              <w:t xml:space="preserve"> to 159</w:t>
            </w:r>
            <w:r>
              <w:rPr>
                <w:szCs w:val="24"/>
                <w:vertAlign w:val="superscript"/>
                <w:lang w:eastAsia="zh-CN"/>
              </w:rPr>
              <w:t>th</w:t>
            </w:r>
            <w:r>
              <w:rPr>
                <w:szCs w:val="24"/>
                <w:lang w:val="en-US" w:eastAsia="zh-CN"/>
              </w:rPr>
              <w:t xml:space="preserve"> subframes every period (160ms). Information bit payload is available at the 96</w:t>
            </w:r>
            <w:r>
              <w:rPr>
                <w:szCs w:val="24"/>
                <w:vertAlign w:val="superscript"/>
                <w:lang w:eastAsia="zh-CN"/>
              </w:rPr>
              <w:t>th</w:t>
            </w:r>
            <w:r>
              <w:rPr>
                <w:szCs w:val="24"/>
                <w:lang w:val="en-US" w:eastAsia="zh-CN"/>
              </w:rPr>
              <w:t xml:space="preserve"> to 159</w:t>
            </w:r>
            <w:r>
              <w:rPr>
                <w:szCs w:val="24"/>
                <w:vertAlign w:val="superscript"/>
                <w:lang w:eastAsia="zh-CN"/>
              </w:rPr>
              <w:t>th</w:t>
            </w:r>
            <w:r>
              <w:rPr>
                <w:szCs w:val="24"/>
                <w:lang w:val="en-US" w:eastAsia="zh-CN"/>
              </w:rPr>
              <w:t xml:space="preserve"> subframes with repetition. (Starting from the 0th subframe) The corresponding MPDCCH is scheduled from 31</w:t>
            </w:r>
            <w:r>
              <w:rPr>
                <w:szCs w:val="24"/>
                <w:vertAlign w:val="superscript"/>
                <w:lang w:val="en-US" w:eastAsia="zh-CN"/>
              </w:rPr>
              <w:t>st</w:t>
            </w:r>
            <w:r>
              <w:rPr>
                <w:szCs w:val="24"/>
                <w:lang w:val="en-US" w:eastAsia="zh-CN"/>
              </w:rPr>
              <w:t xml:space="preserve"> to 94</w:t>
            </w:r>
            <w:r>
              <w:rPr>
                <w:szCs w:val="24"/>
                <w:vertAlign w:val="superscript"/>
                <w:lang w:val="en-US" w:eastAsia="zh-CN"/>
              </w:rPr>
              <w:t>th</w:t>
            </w:r>
            <w:r>
              <w:rPr>
                <w:szCs w:val="24"/>
                <w:lang w:val="en-US" w:eastAsia="zh-CN"/>
              </w:rPr>
              <w:t xml:space="preserve"> subframe every 160ms (starting from 0</w:t>
            </w:r>
            <w:r>
              <w:rPr>
                <w:szCs w:val="24"/>
                <w:vertAlign w:val="superscript"/>
                <w:lang w:val="en-US" w:eastAsia="zh-CN"/>
              </w:rPr>
              <w:t>th</w:t>
            </w:r>
            <w:r>
              <w:rPr>
                <w:szCs w:val="24"/>
                <w:lang w:val="en-US" w:eastAsia="zh-CN"/>
              </w:rPr>
              <w:t xml:space="preserve"> subframe).</w:t>
            </w:r>
          </w:p>
          <w:p>
            <w:pPr>
              <w:pStyle w:val="118"/>
              <w:rPr>
                <w:rFonts w:eastAsia="MS Mincho" w:cs="Arial"/>
                <w:lang w:eastAsia="ja-JP"/>
              </w:rPr>
            </w:pPr>
            <w:r>
              <w:rPr>
                <w:rFonts w:eastAsia="MS Mincho" w:cs="Arial"/>
                <w:lang w:eastAsia="ja-JP"/>
              </w:rPr>
              <w:t xml:space="preserve">Note </w:t>
            </w:r>
            <w:r>
              <w:rPr>
                <w:rFonts w:cs="Arial"/>
                <w:lang w:eastAsia="zh-CN"/>
              </w:rPr>
              <w:t>7</w:t>
            </w:r>
            <w:r>
              <w:rPr>
                <w:rFonts w:eastAsia="MS Mincho" w:cs="Arial"/>
                <w:lang w:eastAsia="ja-JP"/>
              </w:rPr>
              <w:t>:</w:t>
            </w:r>
            <w:r>
              <w:rPr>
                <w:szCs w:val="24"/>
                <w:lang w:eastAsia="zh-CN"/>
              </w:rPr>
              <w:tab/>
            </w:r>
            <w:r>
              <w:t>MPDCCH, and PDSCH are dropped when overlapped with SIB1-BR, or SIB2 or SIB3.</w:t>
            </w:r>
          </w:p>
          <w:p>
            <w:pPr>
              <w:pStyle w:val="118"/>
            </w:pPr>
            <w:r>
              <w:rPr>
                <w:rFonts w:eastAsia="MS Mincho" w:cs="Arial"/>
                <w:lang w:eastAsia="ja-JP"/>
              </w:rPr>
              <w:t xml:space="preserve">Note </w:t>
            </w:r>
            <w:r>
              <w:rPr>
                <w:rFonts w:cs="Arial"/>
                <w:lang w:eastAsia="zh-CN"/>
              </w:rPr>
              <w:t>8</w:t>
            </w:r>
            <w:r>
              <w:rPr>
                <w:rFonts w:eastAsia="MS Mincho" w:cs="Arial"/>
                <w:lang w:eastAsia="ja-JP"/>
              </w:rPr>
              <w:t>:</w:t>
            </w:r>
            <w:r>
              <w:rPr>
                <w:szCs w:val="24"/>
                <w:lang w:eastAsia="zh-CN"/>
              </w:rPr>
              <w:tab/>
            </w:r>
            <w:r>
              <w:t>MPDCCH, and PDSCH are punctured in overlapping Resource Elements (RE)s with PSS/SSS/PBCH.</w:t>
            </w:r>
          </w:p>
        </w:tc>
      </w:tr>
    </w:tbl>
    <w:p>
      <w:pPr>
        <w:jc w:val="center"/>
      </w:pPr>
    </w:p>
    <w:p>
      <w:bookmarkStart w:id="1039" w:name="_Toc232582119"/>
    </w:p>
    <w:bookmarkEnd w:id="1039"/>
    <w:p>
      <w:pPr>
        <w:pStyle w:val="4"/>
        <w:rPr>
          <w:rFonts w:eastAsia="宋体"/>
          <w:lang w:val="en-US" w:eastAsia="zh-CN"/>
        </w:rPr>
      </w:pPr>
      <w:bookmarkStart w:id="1040" w:name="_Toc232582128"/>
      <w:bookmarkStart w:id="1041" w:name="_Toc20977"/>
      <w:r>
        <w:t>A.3.5</w:t>
      </w:r>
      <w:r>
        <w:tab/>
      </w:r>
      <w:bookmarkEnd w:id="1040"/>
      <w:bookmarkStart w:id="1042" w:name="_Toc232582130"/>
      <w:r>
        <w:rPr>
          <w:rFonts w:eastAsia="宋体"/>
          <w:lang w:val="en-US" w:eastAsia="zh-CN"/>
        </w:rPr>
        <w:t>FFS</w:t>
      </w:r>
      <w:bookmarkEnd w:id="1041"/>
    </w:p>
    <w:bookmarkEnd w:id="1042"/>
    <w:p>
      <w:pPr>
        <w:rPr>
          <w:rFonts w:eastAsia="宋体"/>
          <w:lang w:val="en-US" w:eastAsia="zh-CN"/>
        </w:rPr>
      </w:pPr>
    </w:p>
    <w:p>
      <w:pPr>
        <w:pStyle w:val="4"/>
      </w:pPr>
      <w:bookmarkStart w:id="1043" w:name="_Toc9138"/>
      <w:r>
        <w:t>A.3.7</w:t>
      </w:r>
      <w:r>
        <w:tab/>
      </w:r>
      <w:r>
        <w:t>FFS</w:t>
      </w:r>
      <w:bookmarkEnd w:id="1043"/>
    </w:p>
    <w:p/>
    <w:p>
      <w:pPr>
        <w:pStyle w:val="4"/>
      </w:pPr>
      <w:bookmarkStart w:id="1044" w:name="_Toc13778"/>
      <w:r>
        <w:t>A.3.8</w:t>
      </w:r>
      <w:r>
        <w:tab/>
      </w:r>
      <w:r>
        <w:t>FFS</w:t>
      </w:r>
      <w:bookmarkEnd w:id="1044"/>
    </w:p>
    <w:p>
      <w:pPr>
        <w:rPr>
          <w:rFonts w:eastAsia="MS Mincho"/>
        </w:rPr>
      </w:pPr>
    </w:p>
    <w:p>
      <w:pPr>
        <w:pStyle w:val="4"/>
        <w:rPr>
          <w:rFonts w:eastAsia="宋体"/>
          <w:lang w:val="en-US" w:eastAsia="zh-CN"/>
        </w:rPr>
      </w:pPr>
      <w:bookmarkStart w:id="1045" w:name="_Toc22973"/>
      <w:r>
        <w:rPr>
          <w:rFonts w:eastAsia="MS Mincho"/>
        </w:rPr>
        <w:t>A.3.9</w:t>
      </w:r>
      <w:r>
        <w:rPr>
          <w:rFonts w:eastAsia="MS Mincho"/>
        </w:rPr>
        <w:tab/>
      </w:r>
      <w:r>
        <w:rPr>
          <w:rFonts w:hint="eastAsia" w:eastAsia="宋体"/>
          <w:lang w:val="en-US" w:eastAsia="zh-CN"/>
        </w:rPr>
        <w:t>FFS</w:t>
      </w:r>
      <w:bookmarkEnd w:id="1045"/>
    </w:p>
    <w:p>
      <w:pPr>
        <w:rPr>
          <w:lang w:eastAsia="ja-JP"/>
        </w:rPr>
      </w:pPr>
    </w:p>
    <w:p>
      <w:pPr>
        <w:pStyle w:val="4"/>
        <w:rPr>
          <w:rFonts w:hint="eastAsia" w:eastAsia="宋体"/>
          <w:lang w:val="en-US" w:eastAsia="zh-CN"/>
        </w:rPr>
      </w:pPr>
      <w:bookmarkStart w:id="1046" w:name="_Toc319859985"/>
      <w:bookmarkStart w:id="1047" w:name="_Toc19913"/>
      <w:r>
        <w:t>A</w:t>
      </w:r>
      <w:r>
        <w:rPr>
          <w:lang w:eastAsia="zh-CN"/>
        </w:rPr>
        <w:t>.</w:t>
      </w:r>
      <w:r>
        <w:t>3.10</w:t>
      </w:r>
      <w:r>
        <w:tab/>
      </w:r>
      <w:bookmarkEnd w:id="1046"/>
      <w:r>
        <w:rPr>
          <w:rFonts w:hint="eastAsia" w:eastAsia="宋体"/>
          <w:lang w:val="en-US" w:eastAsia="zh-CN"/>
        </w:rPr>
        <w:t>FFS</w:t>
      </w:r>
      <w:bookmarkEnd w:id="1047"/>
    </w:p>
    <w:p>
      <w:pPr>
        <w:rPr>
          <w:lang w:val="en-US" w:eastAsia="zh-CN"/>
        </w:rPr>
      </w:pPr>
    </w:p>
    <w:p>
      <w:pPr>
        <w:pStyle w:val="4"/>
      </w:pPr>
      <w:bookmarkStart w:id="1048" w:name="_Toc17968"/>
      <w:r>
        <w:t>A.3.</w:t>
      </w:r>
      <w:r>
        <w:rPr>
          <w:lang w:eastAsia="zh-CN"/>
        </w:rPr>
        <w:t>11</w:t>
      </w:r>
      <w:r>
        <w:tab/>
      </w:r>
      <w:r>
        <w:t xml:space="preserve">Reference Measurement Channels for </w:t>
      </w:r>
      <w:r>
        <w:rPr>
          <w:lang w:eastAsia="zh-CN"/>
        </w:rPr>
        <w:t>M</w:t>
      </w:r>
      <w:r>
        <w:t>PDCCH performance requirements</w:t>
      </w:r>
      <w:bookmarkEnd w:id="1048"/>
    </w:p>
    <w:p>
      <w:pPr>
        <w:pStyle w:val="5"/>
        <w:rPr>
          <w:rFonts w:eastAsia="MS Mincho"/>
        </w:rPr>
      </w:pPr>
      <w:bookmarkStart w:id="1049" w:name="_Toc17290"/>
      <w:r>
        <w:rPr>
          <w:rFonts w:eastAsia="MS Mincho"/>
        </w:rPr>
        <w:t>A.3.</w:t>
      </w:r>
      <w:r>
        <w:rPr>
          <w:lang w:eastAsia="zh-CN"/>
        </w:rPr>
        <w:t>11</w:t>
      </w:r>
      <w:r>
        <w:rPr>
          <w:rFonts w:eastAsia="MS Mincho"/>
        </w:rPr>
        <w:t>.1</w:t>
      </w:r>
      <w:r>
        <w:rPr>
          <w:rFonts w:eastAsia="MS Mincho"/>
        </w:rPr>
        <w:tab/>
      </w:r>
      <w:r>
        <w:rPr>
          <w:rFonts w:eastAsia="MS Mincho"/>
        </w:rPr>
        <w:t>FDD and half-duplex FDD</w:t>
      </w:r>
      <w:bookmarkEnd w:id="1049"/>
    </w:p>
    <w:p>
      <w:pPr>
        <w:rPr>
          <w:lang w:val="en-US" w:eastAsia="zh-CN"/>
        </w:rPr>
      </w:pPr>
      <w:r>
        <w:rPr>
          <w:rFonts w:hint="eastAsia"/>
          <w:lang w:val="en-US" w:eastAsia="zh-CN"/>
        </w:rPr>
        <w:t>FFS</w:t>
      </w:r>
    </w:p>
    <w:p>
      <w:pPr>
        <w:pStyle w:val="4"/>
      </w:pPr>
      <w:bookmarkStart w:id="1050" w:name="_Toc11073"/>
      <w:r>
        <w:t>A.3.12</w:t>
      </w:r>
      <w:r>
        <w:tab/>
      </w:r>
      <w:r>
        <w:t>Reference measurement channels for NPDSCH performance requirements</w:t>
      </w:r>
      <w:bookmarkEnd w:id="1050"/>
    </w:p>
    <w:p>
      <w:pPr>
        <w:pStyle w:val="112"/>
        <w:rPr>
          <w:lang w:eastAsia="zh-CN"/>
        </w:rPr>
      </w:pPr>
      <w:r>
        <w:rPr>
          <w:lang w:eastAsia="zh-CN"/>
        </w:rPr>
        <w:t>Editor’s note: The note 2 in Table A.3.12.1.2-1 and note 1 in Table A.3.12.2.1-1 are still under discussion with RAN4.</w:t>
      </w:r>
    </w:p>
    <w:p>
      <w:pPr>
        <w:keepNext/>
        <w:keepLines/>
        <w:overflowPunct w:val="0"/>
        <w:autoSpaceDE w:val="0"/>
        <w:autoSpaceDN w:val="0"/>
        <w:adjustRightInd w:val="0"/>
        <w:spacing w:before="120"/>
        <w:ind w:left="1134" w:hanging="1134"/>
        <w:textAlignment w:val="baseline"/>
        <w:outlineLvl w:val="2"/>
        <w:rPr>
          <w:rFonts w:ascii="Arial" w:hAnsi="Arial"/>
          <w:snapToGrid w:val="0"/>
          <w:sz w:val="28"/>
          <w:lang w:eastAsia="zh-CN"/>
        </w:rPr>
      </w:pPr>
      <w:r>
        <w:rPr>
          <w:rFonts w:ascii="Arial" w:hAnsi="Arial"/>
          <w:snapToGrid w:val="0"/>
          <w:sz w:val="28"/>
          <w:lang w:eastAsia="zh-CN"/>
        </w:rPr>
        <w:t>A.3.12.1</w:t>
      </w:r>
      <w:r>
        <w:rPr>
          <w:rFonts w:ascii="Arial" w:hAnsi="Arial"/>
          <w:snapToGrid w:val="0"/>
          <w:sz w:val="28"/>
          <w:lang w:eastAsia="zh-CN"/>
        </w:rPr>
        <w:tab/>
      </w:r>
      <w:r>
        <w:rPr>
          <w:rFonts w:ascii="Arial" w:hAnsi="Arial"/>
          <w:snapToGrid w:val="0"/>
          <w:sz w:val="28"/>
          <w:lang w:eastAsia="zh-CN"/>
        </w:rPr>
        <w:tab/>
      </w:r>
      <w:r>
        <w:rPr>
          <w:rFonts w:ascii="Arial" w:hAnsi="Arial"/>
          <w:snapToGrid w:val="0"/>
          <w:sz w:val="28"/>
          <w:lang w:eastAsia="zh-CN"/>
        </w:rPr>
        <w:t>Standalone</w:t>
      </w:r>
    </w:p>
    <w:p>
      <w:pPr>
        <w:keepNext/>
        <w:keepLines/>
        <w:overflowPunct w:val="0"/>
        <w:autoSpaceDE w:val="0"/>
        <w:autoSpaceDN w:val="0"/>
        <w:adjustRightInd w:val="0"/>
        <w:spacing w:before="120"/>
        <w:ind w:left="1418" w:hanging="1418"/>
        <w:textAlignment w:val="baseline"/>
        <w:outlineLvl w:val="3"/>
        <w:rPr>
          <w:rFonts w:ascii="Arial" w:hAnsi="Arial"/>
          <w:snapToGrid w:val="0"/>
          <w:sz w:val="24"/>
          <w:lang w:eastAsia="zh-CN"/>
        </w:rPr>
      </w:pPr>
      <w:r>
        <w:rPr>
          <w:rFonts w:ascii="Arial" w:hAnsi="Arial"/>
          <w:snapToGrid w:val="0"/>
          <w:sz w:val="24"/>
          <w:lang w:eastAsia="zh-CN"/>
        </w:rPr>
        <w:t>A.3.12.</w:t>
      </w:r>
      <w:r>
        <w:rPr>
          <w:rFonts w:ascii="Arial" w:hAnsi="Arial"/>
          <w:snapToGrid w:val="0"/>
          <w:sz w:val="24"/>
          <w:lang w:val="en-US" w:eastAsia="zh-CN"/>
        </w:rPr>
        <w:t>1</w:t>
      </w:r>
      <w:r>
        <w:rPr>
          <w:rFonts w:ascii="Arial" w:hAnsi="Arial"/>
          <w:snapToGrid w:val="0"/>
          <w:sz w:val="24"/>
          <w:lang w:eastAsia="zh-CN"/>
        </w:rPr>
        <w:t>.1 Single-antenna transmission</w:t>
      </w:r>
    </w:p>
    <w:p>
      <w:pPr>
        <w:pStyle w:val="113"/>
        <w:rPr>
          <w:lang w:val="en-US"/>
        </w:rPr>
      </w:pPr>
      <w:r>
        <w:t>Table A.3.12.</w:t>
      </w:r>
      <w:r>
        <w:rPr>
          <w:rFonts w:eastAsia="宋体"/>
          <w:lang w:val="en-US" w:eastAsia="zh-CN"/>
        </w:rPr>
        <w:t>1</w:t>
      </w:r>
      <w:r>
        <w:rPr>
          <w:lang w:eastAsia="zh-CN"/>
        </w:rPr>
        <w:t>.1</w:t>
      </w:r>
      <w:r>
        <w:t xml:space="preserve">-1: NPDSCH Reference Channel with </w:t>
      </w:r>
      <w:r>
        <w:rPr>
          <w:lang w:eastAsia="zh-CN"/>
        </w:rPr>
        <w:t>1</w:t>
      </w:r>
      <w:r>
        <w:t xml:space="preserve">Tx Antenna </w:t>
      </w:r>
      <w:r>
        <w:rPr>
          <w:bCs/>
          <w:lang w:eastAsia="zh-CN"/>
        </w:rPr>
        <w:t>for UE Category NB1 and NB2</w:t>
      </w:r>
      <w:r>
        <w:rPr>
          <w:bCs/>
          <w:lang w:val="en-US" w:eastAsia="zh-CN"/>
        </w:rPr>
        <w:t xml:space="preserve"> for FDD</w:t>
      </w:r>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Parameter</w:t>
            </w:r>
          </w:p>
        </w:tc>
        <w:tc>
          <w:tcPr>
            <w:tcW w:w="938"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Unit</w:t>
            </w:r>
          </w:p>
        </w:tc>
        <w:tc>
          <w:tcPr>
            <w:tcW w:w="1530"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c>
          <w:tcPr>
            <w:tcW w:w="1422"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Reference channel</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rPr>
              <w:t>R.NB.</w:t>
            </w:r>
            <w:r>
              <w:rPr>
                <w:rFonts w:ascii="Arial" w:hAnsi="Arial" w:cs="Arial"/>
                <w:sz w:val="18"/>
                <w:szCs w:val="18"/>
                <w:lang w:val="en-US" w:eastAsia="zh-CN"/>
              </w:rPr>
              <w:t>1</w:t>
            </w:r>
            <w:r>
              <w:rPr>
                <w:rFonts w:ascii="Arial" w:hAnsi="Arial" w:cs="Arial"/>
                <w:sz w:val="18"/>
                <w:szCs w:val="18"/>
                <w:lang w:eastAsia="zh-CN"/>
              </w:rPr>
              <w:t xml:space="preserve"> FDD</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R.NB.</w:t>
            </w:r>
            <w:r>
              <w:rPr>
                <w:rFonts w:ascii="Arial" w:hAnsi="Arial" w:cs="Arial"/>
                <w:sz w:val="18"/>
                <w:szCs w:val="18"/>
                <w:lang w:val="en-US" w:eastAsia="zh-CN"/>
              </w:rPr>
              <w:t>2</w:t>
            </w:r>
            <w:r>
              <w:rPr>
                <w:rFonts w:ascii="Arial" w:hAnsi="Arial" w:cs="Arial"/>
                <w:sz w:val="18"/>
                <w:szCs w:val="18"/>
                <w:lang w:eastAsia="zh-CN"/>
              </w:rPr>
              <w:t xml:space="preserve"> 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Carrier Type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Anchor</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Non-anchor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Channel bandwidth</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KHz</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Allocated subframes per Radio Frame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Modulation</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w:t>
            </w:r>
            <w:r>
              <w:rPr>
                <w:rFonts w:cs="Arial"/>
                <w:vertAlign w:val="subscript"/>
                <w:lang w:eastAsia="zh-CN"/>
              </w:rPr>
              <w:t>TBS</w:t>
            </w:r>
            <w:r>
              <w:rPr>
                <w:rFonts w:cs="Arial"/>
                <w:lang w:eastAsia="ko-KR"/>
              </w:rPr>
              <w:t>/I</w:t>
            </w:r>
            <w:r>
              <w:rPr>
                <w:rFonts w:cs="Arial"/>
                <w:vertAlign w:val="subscript"/>
                <w:lang w:eastAsia="zh-CN"/>
              </w:rPr>
              <w:t>SF</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9/3</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Target 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1/</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1/</w:t>
            </w:r>
            <w:r>
              <w:rPr>
                <w:rFonts w:cs="Aria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Information Bit Payload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vertAlign w:val="superscript"/>
              </w:rPr>
            </w:pPr>
            <w:r>
              <w:rPr>
                <w:rFonts w:cs="Arial"/>
              </w:rPr>
              <w:t>616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Number of Code Blocks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3</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Binary Channel Bits</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N/A</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r>
              <w:rPr>
                <w:rFonts w:cs="Arial"/>
                <w:lang w:eastAsia="ko-KR"/>
              </w:rPr>
              <w:t xml:space="preserve">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4</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Max. Average Throughput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B</w:t>
            </w:r>
            <w:r>
              <w:rPr>
                <w:rFonts w:cs="Arial"/>
                <w:lang w:eastAsia="ko-KR"/>
              </w:rPr>
              <w:t>ps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Note 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Note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UE Category</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NB1</w:t>
            </w:r>
            <w:r>
              <w:rPr>
                <w:rFonts w:cs="Arial"/>
              </w:rPr>
              <w:t>,NB2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NB1,NB2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347" w:type="dxa"/>
            <w:gridSpan w:val="4"/>
            <w:tcBorders>
              <w:top w:val="single" w:color="auto" w:sz="4" w:space="0"/>
              <w:left w:val="single" w:color="auto" w:sz="4" w:space="0"/>
              <w:bottom w:val="single" w:color="auto" w:sz="4" w:space="0"/>
              <w:right w:val="single" w:color="auto" w:sz="4" w:space="0"/>
            </w:tcBorders>
          </w:tcPr>
          <w:p>
            <w:pPr>
              <w:pStyle w:val="118"/>
              <w:rPr>
                <w:rFonts w:cs="Arial"/>
                <w:lang w:eastAsia="ja-JP"/>
              </w:rPr>
            </w:pPr>
            <w:r>
              <w:rPr>
                <w:rFonts w:cs="Arial"/>
                <w:lang w:eastAsia="ja-JP"/>
              </w:rPr>
              <w:t xml:space="preserve">Note </w:t>
            </w:r>
            <w:r>
              <w:rPr>
                <w:rFonts w:cs="Arial"/>
                <w:lang w:eastAsia="zh-CN"/>
              </w:rPr>
              <w:t>1</w:t>
            </w:r>
            <w:r>
              <w:rPr>
                <w:rFonts w:cs="Arial"/>
                <w:lang w:eastAsia="ja-JP"/>
              </w:rPr>
              <w:t>:</w:t>
            </w:r>
            <w:r>
              <w:rPr>
                <w:szCs w:val="24"/>
                <w:lang w:eastAsia="zh-CN"/>
              </w:rPr>
              <w:tab/>
            </w:r>
            <w:r>
              <w:rPr>
                <w:rFonts w:cs="Arial"/>
                <w:lang w:eastAsia="zh-CN"/>
              </w:rPr>
              <w:t>It shall depend on the specific NPDSCH scheduling</w:t>
            </w:r>
            <w:r>
              <w:rPr>
                <w:rFonts w:cs="Arial"/>
                <w:lang w:eastAsia="ja-JP"/>
              </w:rPr>
              <w:t>.</w:t>
            </w:r>
          </w:p>
          <w:p>
            <w:pPr>
              <w:pStyle w:val="118"/>
              <w:rPr>
                <w:rFonts w:cs="Arial"/>
                <w:lang w:eastAsia="zh-CN"/>
              </w:rPr>
            </w:pPr>
            <w:r>
              <w:rPr>
                <w:rFonts w:cs="Arial"/>
                <w:lang w:eastAsia="ja-JP"/>
              </w:rPr>
              <w:t xml:space="preserve">Note </w:t>
            </w:r>
            <w:r>
              <w:rPr>
                <w:rFonts w:cs="Arial"/>
                <w:lang w:eastAsia="zh-CN"/>
              </w:rPr>
              <w:t>2</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099" o:spt="75" type="#_x0000_t75" style="height:15.25pt;width:12pt;" o:ole="t" filled="f" o:preferrelative="t" stroked="f" coordsize="21600,21600">
                  <v:path/>
                  <v:fill on="f" focussize="0,0"/>
                  <v:stroke on="f" joinstyle="miter"/>
                  <v:imagedata r:id="rId141" o:title=""/>
                  <o:lock v:ext="edit" aspectratio="t"/>
                  <w10:wrap type="none"/>
                  <w10:anchorlock/>
                </v:shape>
                <o:OLEObject Type="Embed" ProgID="Equation.3" ShapeID="_x0000_i1099" DrawAspect="Content" ObjectID="_1468075799" r:id="rId140">
                  <o:LockedField>false</o:LockedField>
                </o:OLEObject>
              </w:object>
            </w:r>
            <w:r>
              <w:rPr>
                <w:rFonts w:cs="Arial"/>
                <w:lang w:eastAsia="ja-JP"/>
              </w:rPr>
              <w:t xml:space="preserve">mod 2 = 0, otherwise </w:t>
            </w:r>
            <w:r>
              <w:rPr>
                <w:rFonts w:cs="Arial"/>
                <w:lang w:eastAsia="zh-CN"/>
              </w:rPr>
              <w:t>616</w:t>
            </w:r>
            <w:r>
              <w:rPr>
                <w:rFonts w:cs="Arial"/>
                <w:lang w:eastAsia="ja-JP"/>
              </w:rPr>
              <w:t>.</w:t>
            </w:r>
          </w:p>
          <w:p>
            <w:pPr>
              <w:pStyle w:val="118"/>
              <w:rPr>
                <w:rFonts w:cs="Arial"/>
                <w:lang w:eastAsia="zh-CN"/>
              </w:rPr>
            </w:pPr>
            <w:r>
              <w:rPr>
                <w:rFonts w:cs="Arial"/>
                <w:lang w:eastAsia="ja-JP"/>
              </w:rPr>
              <w:t xml:space="preserve">Note </w:t>
            </w:r>
            <w:r>
              <w:rPr>
                <w:rFonts w:cs="Arial"/>
                <w:lang w:eastAsia="zh-CN"/>
              </w:rPr>
              <w:t>3</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0" o:spt="75" type="#_x0000_t75" style="height:15.25pt;width:12pt;" o:ole="t" filled="f" o:preferrelative="t" stroked="f" coordsize="21600,21600">
                  <v:path/>
                  <v:fill on="f" focussize="0,0"/>
                  <v:stroke on="f" joinstyle="miter"/>
                  <v:imagedata r:id="rId141" o:title=""/>
                  <o:lock v:ext="edit" aspectratio="t"/>
                  <w10:wrap type="none"/>
                  <w10:anchorlock/>
                </v:shape>
                <o:OLEObject Type="Embed" ProgID="Equation.3" ShapeID="_x0000_i1100" DrawAspect="Content" ObjectID="_1468075800" r:id="rId142">
                  <o:LockedField>false</o:LockedField>
                </o:OLEObject>
              </w:object>
            </w:r>
            <w:r>
              <w:rPr>
                <w:rFonts w:cs="Arial"/>
                <w:lang w:eastAsia="ja-JP"/>
              </w:rPr>
              <w:t>mod 2 = 0, otherwise 1.</w:t>
            </w:r>
          </w:p>
          <w:p>
            <w:pPr>
              <w:pStyle w:val="118"/>
              <w:rPr>
                <w:rFonts w:cs="Arial"/>
                <w:lang w:eastAsia="ja-JP"/>
              </w:rPr>
            </w:pPr>
            <w:r>
              <w:rPr>
                <w:rFonts w:cs="Arial"/>
                <w:lang w:eastAsia="ja-JP"/>
              </w:rPr>
              <w:t xml:space="preserve">Note </w:t>
            </w:r>
            <w:r>
              <w:rPr>
                <w:rFonts w:cs="Arial"/>
                <w:lang w:eastAsia="zh-CN"/>
              </w:rPr>
              <w:t>4</w:t>
            </w:r>
            <w:r>
              <w:rPr>
                <w:rFonts w:cs="Arial"/>
                <w:lang w:eastAsia="ja-JP"/>
              </w:rPr>
              <w:t>:</w:t>
            </w:r>
            <w:r>
              <w:rPr>
                <w:szCs w:val="24"/>
                <w:lang w:eastAsia="zh-CN"/>
              </w:rPr>
              <w:tab/>
            </w:r>
            <w:r>
              <w:rPr>
                <w:rFonts w:cs="Arial"/>
                <w:lang w:eastAsia="zh-CN"/>
              </w:rPr>
              <w:t>N/A</w:t>
            </w:r>
            <w:r>
              <w:rPr>
                <w:rFonts w:cs="Arial"/>
                <w:lang w:eastAsia="ja-JP"/>
              </w:rPr>
              <w:t xml:space="preserve"> when </w:t>
            </w:r>
            <w:r>
              <w:rPr>
                <w:rFonts w:cs="Arial"/>
                <w:position w:val="-10"/>
                <w:lang w:eastAsia="ko-KR"/>
              </w:rPr>
              <w:object>
                <v:shape id="_x0000_i1101" o:spt="75" type="#_x0000_t75" style="height:15.25pt;width:12pt;" o:ole="t" filled="f" o:preferrelative="t" stroked="f" coordsize="21600,21600">
                  <v:path/>
                  <v:fill on="f" focussize="0,0"/>
                  <v:stroke on="f" joinstyle="miter"/>
                  <v:imagedata r:id="rId141" o:title=""/>
                  <o:lock v:ext="edit" aspectratio="t"/>
                  <w10:wrap type="none"/>
                  <w10:anchorlock/>
                </v:shape>
                <o:OLEObject Type="Embed" ProgID="Equation.3" ShapeID="_x0000_i1101" DrawAspect="Content" ObjectID="_1468075801" r:id="rId143">
                  <o:LockedField>false</o:LockedField>
                </o:OLEObject>
              </w:object>
            </w:r>
            <w:r>
              <w:rPr>
                <w:rFonts w:cs="Arial"/>
                <w:lang w:eastAsia="ja-JP"/>
              </w:rPr>
              <w:t xml:space="preserve">mod 2 = 0, otherwise </w:t>
            </w:r>
            <w:r>
              <w:rPr>
                <w:rFonts w:cs="Arial"/>
                <w:lang w:eastAsia="zh-CN"/>
              </w:rPr>
              <w:t>320</w:t>
            </w:r>
            <w:r>
              <w:rPr>
                <w:rFonts w:cs="Arial"/>
                <w:lang w:eastAsia="ja-JP"/>
              </w:rPr>
              <w:t>.</w:t>
            </w:r>
          </w:p>
          <w:p>
            <w:pPr>
              <w:pStyle w:val="118"/>
              <w:rPr>
                <w:rFonts w:cs="Arial"/>
                <w:lang w:eastAsia="zh-CN"/>
              </w:rPr>
            </w:pPr>
            <w:r>
              <w:rPr>
                <w:rFonts w:cs="Arial"/>
                <w:lang w:eastAsia="zh-CN"/>
              </w:rPr>
              <w:t>Note 5:</w:t>
            </w:r>
            <w:r>
              <w:rPr>
                <w:szCs w:val="24"/>
                <w:lang w:eastAsia="zh-CN"/>
              </w:rPr>
              <w:tab/>
            </w:r>
            <w:r>
              <w:rPr>
                <w:rFonts w:cs="Arial"/>
                <w:lang w:eastAsia="zh-CN"/>
              </w:rPr>
              <w:t>Maximum Average Throughput equals to sum of TB(i) divided by sum of T(i), where TB(i) is the TB size of NPDSCH over i</w:t>
            </w:r>
            <w:r>
              <w:rPr>
                <w:rFonts w:cs="Arial"/>
                <w:vertAlign w:val="superscript"/>
                <w:lang w:eastAsia="zh-CN"/>
              </w:rPr>
              <w:t>th</w:t>
            </w:r>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Pr>
                <w:rFonts w:cs="Arial"/>
                <w:vertAlign w:val="superscript"/>
                <w:lang w:eastAsia="zh-CN"/>
              </w:rPr>
              <w:t>th</w:t>
            </w:r>
            <w:r>
              <w:rPr>
                <w:rFonts w:cs="Arial"/>
                <w:lang w:eastAsia="zh-CN"/>
              </w:rPr>
              <w:t xml:space="preserve"> NPDSCH scheduling period.</w:t>
            </w:r>
          </w:p>
        </w:tc>
      </w:tr>
    </w:tbl>
    <w:p/>
    <w:p>
      <w:pPr>
        <w:pStyle w:val="113"/>
        <w:rPr>
          <w:bCs/>
          <w:lang w:eastAsia="zh-CN"/>
        </w:rPr>
      </w:pPr>
      <w:r>
        <w:rPr>
          <w:bCs/>
        </w:rPr>
        <w:t>Table A.3.12.2</w:t>
      </w:r>
      <w:r>
        <w:rPr>
          <w:bCs/>
          <w:lang w:eastAsia="zh-CN"/>
        </w:rPr>
        <w:t>.1</w:t>
      </w:r>
      <w:r>
        <w:rPr>
          <w:bCs/>
        </w:rPr>
        <w:t>-</w:t>
      </w:r>
      <w:r>
        <w:rPr>
          <w:bCs/>
          <w:lang w:eastAsia="zh-CN"/>
        </w:rPr>
        <w:t>2</w:t>
      </w:r>
      <w:r>
        <w:rPr>
          <w:bCs/>
        </w:rPr>
        <w:t xml:space="preserve">: NPDSCH Reference Channel with </w:t>
      </w:r>
      <w:r>
        <w:rPr>
          <w:bCs/>
          <w:lang w:eastAsia="zh-CN"/>
        </w:rPr>
        <w:t>1</w:t>
      </w:r>
      <w:r>
        <w:rPr>
          <w:bCs/>
        </w:rPr>
        <w:t>Tx Antenna</w:t>
      </w:r>
      <w:r>
        <w:rPr>
          <w:bCs/>
          <w:lang w:eastAsia="zh-CN"/>
        </w:rPr>
        <w:t xml:space="preserve"> for UE Category NB2</w:t>
      </w:r>
    </w:p>
    <w:tbl>
      <w:tblPr>
        <w:tblStyle w:val="89"/>
        <w:tblW w:w="8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57"/>
        <w:gridCol w:w="938"/>
        <w:gridCol w:w="1530"/>
        <w:gridCol w:w="1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Parameter</w:t>
            </w:r>
          </w:p>
        </w:tc>
        <w:tc>
          <w:tcPr>
            <w:tcW w:w="938"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Unit</w:t>
            </w:r>
          </w:p>
        </w:tc>
        <w:tc>
          <w:tcPr>
            <w:tcW w:w="1530"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c>
          <w:tcPr>
            <w:tcW w:w="1422" w:type="dxa"/>
            <w:tcBorders>
              <w:top w:val="single" w:color="auto" w:sz="4" w:space="0"/>
              <w:left w:val="single" w:color="auto" w:sz="4" w:space="0"/>
              <w:bottom w:val="single" w:color="auto" w:sz="4" w:space="0"/>
              <w:right w:val="single" w:color="auto" w:sz="4" w:space="0"/>
            </w:tcBorders>
          </w:tcPr>
          <w:p>
            <w:pPr>
              <w:pStyle w:val="104"/>
              <w:rPr>
                <w:lang w:eastAsia="ko-KR"/>
              </w:rPr>
            </w:pPr>
            <w:r>
              <w:rPr>
                <w:lang w:eastAsia="ko-KR"/>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Reference channel</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rPr>
              <w:t>R.NB.</w:t>
            </w:r>
            <w:r>
              <w:rPr>
                <w:rFonts w:ascii="Arial" w:hAnsi="Arial" w:cs="Arial"/>
                <w:sz w:val="18"/>
                <w:szCs w:val="18"/>
                <w:lang w:eastAsia="zh-CN"/>
              </w:rPr>
              <w:t>7 FDD</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Carrier Type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r>
              <w:rPr>
                <w:rFonts w:ascii="Arial" w:hAnsi="Arial" w:cs="Arial"/>
                <w:sz w:val="18"/>
                <w:szCs w:val="18"/>
                <w:lang w:eastAsia="zh-CN"/>
              </w:rPr>
              <w:t>Non-anchor</w:t>
            </w:r>
          </w:p>
        </w:tc>
        <w:tc>
          <w:tcPr>
            <w:tcW w:w="1422"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Channel bandwidth</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KHz</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200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Allocated subframes per Radio Frame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Note 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Modulation</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QPSK</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w:t>
            </w:r>
            <w:r>
              <w:rPr>
                <w:rFonts w:cs="Arial"/>
                <w:vertAlign w:val="subscript"/>
                <w:lang w:eastAsia="zh-CN"/>
              </w:rPr>
              <w:t>TBS</w:t>
            </w:r>
            <w:r>
              <w:rPr>
                <w:rFonts w:cs="Arial"/>
                <w:lang w:eastAsia="ko-KR"/>
              </w:rPr>
              <w:t>/I</w:t>
            </w:r>
            <w:r>
              <w:rPr>
                <w:rFonts w:cs="Arial"/>
                <w:vertAlign w:val="subscript"/>
                <w:lang w:eastAsia="zh-CN"/>
              </w:rPr>
              <w:t>SF</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Target 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1/</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zh-CN"/>
              </w:rPr>
              <w:t>Coding Rate</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0.5</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Information Bit Payload</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vertAlign w:val="superscript"/>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936</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Number of Code Blocks </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1</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Binary Channel Bits</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zh-CN"/>
              </w:rPr>
            </w:pPr>
            <w:r>
              <w:rPr>
                <w:rFonts w:cs="Arial"/>
                <w:lang w:eastAsia="ko-KR"/>
              </w:rPr>
              <w:t xml:space="preserve">  For Sub-Frames 1,2,3,6,7,8</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0,5</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 xml:space="preserve">  For Sub-Frame </w:t>
            </w:r>
            <w:r>
              <w:rPr>
                <w:rFonts w:cs="Arial"/>
                <w:lang w:eastAsia="zh-CN"/>
              </w:rPr>
              <w:t>4,9</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lang w:eastAsia="ko-KR"/>
              </w:rPr>
              <w:t>Bits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320</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Max. Average Throughput</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r>
              <w:rPr>
                <w:rFonts w:cs="Arial"/>
              </w:rPr>
              <w:t>B</w:t>
            </w:r>
            <w:r>
              <w:rPr>
                <w:rFonts w:cs="Arial"/>
                <w:lang w:eastAsia="ko-KR"/>
              </w:rPr>
              <w:t>ps</w:t>
            </w: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lang w:eastAsia="ko-KR"/>
              </w:rPr>
              <w:t xml:space="preserve">Note </w:t>
            </w:r>
            <w:r>
              <w:rPr>
                <w:rFonts w:cs="Arial"/>
              </w:rPr>
              <w:t>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457" w:type="dxa"/>
            <w:tcBorders>
              <w:top w:val="single" w:color="auto" w:sz="4" w:space="0"/>
              <w:left w:val="single" w:color="auto" w:sz="4" w:space="0"/>
              <w:bottom w:val="single" w:color="auto" w:sz="4" w:space="0"/>
              <w:right w:val="single" w:color="auto" w:sz="4" w:space="0"/>
            </w:tcBorders>
          </w:tcPr>
          <w:p>
            <w:pPr>
              <w:pStyle w:val="103"/>
              <w:rPr>
                <w:rFonts w:cs="Arial"/>
                <w:lang w:eastAsia="ko-KR"/>
              </w:rPr>
            </w:pPr>
            <w:r>
              <w:rPr>
                <w:rFonts w:cs="Arial"/>
                <w:lang w:eastAsia="ko-KR"/>
              </w:rPr>
              <w:t>UE Category</w:t>
            </w:r>
          </w:p>
        </w:tc>
        <w:tc>
          <w:tcPr>
            <w:tcW w:w="938" w:type="dxa"/>
            <w:tcBorders>
              <w:top w:val="single" w:color="auto" w:sz="4" w:space="0"/>
              <w:left w:val="single" w:color="auto" w:sz="4" w:space="0"/>
              <w:bottom w:val="single" w:color="auto" w:sz="4" w:space="0"/>
              <w:right w:val="single" w:color="auto" w:sz="4" w:space="0"/>
            </w:tcBorders>
          </w:tcPr>
          <w:p>
            <w:pPr>
              <w:pStyle w:val="105"/>
              <w:rPr>
                <w:rFonts w:cs="Arial"/>
                <w:lang w:eastAsia="ko-KR"/>
              </w:rPr>
            </w:pPr>
          </w:p>
        </w:tc>
        <w:tc>
          <w:tcPr>
            <w:tcW w:w="1530" w:type="dxa"/>
            <w:tcBorders>
              <w:top w:val="single" w:color="auto" w:sz="4" w:space="0"/>
              <w:left w:val="single" w:color="auto" w:sz="4" w:space="0"/>
              <w:bottom w:val="single" w:color="auto" w:sz="4" w:space="0"/>
              <w:right w:val="single" w:color="auto" w:sz="4" w:space="0"/>
            </w:tcBorders>
          </w:tcPr>
          <w:p>
            <w:pPr>
              <w:pStyle w:val="105"/>
              <w:rPr>
                <w:rFonts w:cs="Arial"/>
              </w:rPr>
            </w:pPr>
            <w:r>
              <w:rPr>
                <w:rFonts w:cs="Arial"/>
              </w:rPr>
              <w:t>NB2</w:t>
            </w:r>
          </w:p>
        </w:tc>
        <w:tc>
          <w:tcPr>
            <w:tcW w:w="1422" w:type="dxa"/>
            <w:tcBorders>
              <w:top w:val="single" w:color="auto" w:sz="4" w:space="0"/>
              <w:left w:val="single" w:color="auto" w:sz="4" w:space="0"/>
              <w:bottom w:val="single" w:color="auto" w:sz="4" w:space="0"/>
              <w:right w:val="single" w:color="auto" w:sz="4" w:space="0"/>
            </w:tcBorders>
          </w:tcPr>
          <w:p>
            <w:pPr>
              <w:pStyle w:val="105"/>
              <w:rPr>
                <w:rFonts w:cs="Aria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347" w:type="dxa"/>
            <w:gridSpan w:val="4"/>
            <w:tcBorders>
              <w:top w:val="single" w:color="auto" w:sz="4" w:space="0"/>
              <w:left w:val="single" w:color="auto" w:sz="4" w:space="0"/>
              <w:bottom w:val="single" w:color="auto" w:sz="4" w:space="0"/>
              <w:right w:val="single" w:color="auto" w:sz="4" w:space="0"/>
            </w:tcBorders>
          </w:tcPr>
          <w:p>
            <w:pPr>
              <w:pStyle w:val="118"/>
              <w:rPr>
                <w:rFonts w:cs="Arial"/>
                <w:lang w:eastAsia="ja-JP"/>
              </w:rPr>
            </w:pPr>
            <w:r>
              <w:rPr>
                <w:rFonts w:cs="Arial"/>
                <w:lang w:eastAsia="ja-JP"/>
              </w:rPr>
              <w:t xml:space="preserve">Note </w:t>
            </w:r>
            <w:r>
              <w:rPr>
                <w:rFonts w:cs="Arial"/>
                <w:lang w:eastAsia="zh-CN"/>
              </w:rPr>
              <w:t>1</w:t>
            </w:r>
            <w:r>
              <w:rPr>
                <w:rFonts w:cs="Arial"/>
                <w:lang w:eastAsia="ja-JP"/>
              </w:rPr>
              <w:t>:</w:t>
            </w:r>
            <w:r>
              <w:rPr>
                <w:szCs w:val="24"/>
                <w:lang w:eastAsia="zh-CN"/>
              </w:rPr>
              <w:tab/>
            </w:r>
            <w:r>
              <w:rPr>
                <w:rFonts w:cs="Arial"/>
                <w:lang w:eastAsia="zh-CN"/>
              </w:rPr>
              <w:t>It shall depend on the specific NPDSCH scheduling</w:t>
            </w:r>
            <w:r>
              <w:rPr>
                <w:rFonts w:cs="Arial"/>
                <w:lang w:eastAsia="ja-JP"/>
              </w:rPr>
              <w:t>.</w:t>
            </w:r>
          </w:p>
          <w:p>
            <w:pPr>
              <w:pStyle w:val="118"/>
              <w:rPr>
                <w:rFonts w:cs="Arial"/>
                <w:lang w:eastAsia="zh-CN"/>
              </w:rPr>
            </w:pPr>
            <w:r>
              <w:rPr>
                <w:rFonts w:cs="Arial"/>
                <w:lang w:eastAsia="zh-CN"/>
              </w:rPr>
              <w:t>Note 2:</w:t>
            </w:r>
            <w:r>
              <w:rPr>
                <w:szCs w:val="24"/>
                <w:lang w:eastAsia="zh-CN"/>
              </w:rPr>
              <w:tab/>
            </w:r>
            <w:r>
              <w:rPr>
                <w:rFonts w:cs="Arial"/>
                <w:lang w:eastAsia="zh-CN"/>
              </w:rPr>
              <w:t>Maximum Average Throughput equals to sum of TB(i) divided by sum of T(i), where TB(i) is the TB size of NPDSCH over i</w:t>
            </w:r>
            <w:r>
              <w:rPr>
                <w:rFonts w:cs="Arial"/>
                <w:vertAlign w:val="superscript"/>
                <w:lang w:eastAsia="zh-CN"/>
              </w:rPr>
              <w:t>th</w:t>
            </w:r>
            <w:r>
              <w:rPr>
                <w:rFonts w:cs="Arial"/>
                <w:lang w:eastAsia="zh-CN"/>
              </w:rPr>
              <w:t> NPDSCH scheduling period, and T(i)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i</w:t>
            </w:r>
            <w:r>
              <w:rPr>
                <w:rFonts w:cs="Arial"/>
                <w:vertAlign w:val="superscript"/>
                <w:lang w:eastAsia="zh-CN"/>
              </w:rPr>
              <w:t>th</w:t>
            </w:r>
            <w:r>
              <w:rPr>
                <w:rFonts w:cs="Arial"/>
                <w:lang w:eastAsia="zh-CN"/>
              </w:rPr>
              <w:t xml:space="preserve"> NPDSCH scheduling period.</w:t>
            </w:r>
          </w:p>
        </w:tc>
      </w:tr>
    </w:tbl>
    <w:p>
      <w:pPr>
        <w:overflowPunct w:val="0"/>
        <w:autoSpaceDE w:val="0"/>
        <w:autoSpaceDN w:val="0"/>
        <w:adjustRightInd w:val="0"/>
        <w:textAlignment w:val="baseline"/>
        <w:rPr>
          <w:lang w:eastAsia="ja-JP"/>
        </w:rPr>
      </w:pPr>
    </w:p>
    <w:p>
      <w:pPr>
        <w:keepNext/>
        <w:keepLines/>
        <w:overflowPunct w:val="0"/>
        <w:autoSpaceDE w:val="0"/>
        <w:autoSpaceDN w:val="0"/>
        <w:adjustRightInd w:val="0"/>
        <w:spacing w:before="180"/>
        <w:ind w:left="1134" w:hanging="1134"/>
        <w:textAlignment w:val="baseline"/>
        <w:outlineLvl w:val="1"/>
        <w:rPr>
          <w:rFonts w:ascii="Arial" w:hAnsi="Arial" w:eastAsia="MS Mincho"/>
          <w:sz w:val="32"/>
          <w:lang w:eastAsia="zh-CN"/>
        </w:rPr>
      </w:pPr>
      <w:r>
        <w:rPr>
          <w:rFonts w:ascii="Arial" w:hAnsi="Arial" w:eastAsia="MS Mincho"/>
          <w:sz w:val="32"/>
          <w:lang w:eastAsia="zh-CN"/>
        </w:rPr>
        <w:t>A.3.13</w:t>
      </w:r>
      <w:r>
        <w:rPr>
          <w:rFonts w:ascii="Arial" w:hAnsi="Arial" w:eastAsia="MS Mincho"/>
          <w:sz w:val="32"/>
          <w:lang w:eastAsia="zh-CN"/>
        </w:rPr>
        <w:tab/>
      </w:r>
      <w:r>
        <w:rPr>
          <w:rFonts w:ascii="Arial" w:hAnsi="Arial"/>
          <w:sz w:val="32"/>
          <w:lang w:eastAsia="zh-CN"/>
        </w:rPr>
        <w:t xml:space="preserve">Reference measurement channels </w:t>
      </w:r>
      <w:r>
        <w:rPr>
          <w:rFonts w:ascii="Arial" w:hAnsi="Arial" w:eastAsia="MS Mincho"/>
          <w:sz w:val="32"/>
          <w:lang w:eastAsia="zh-CN"/>
        </w:rPr>
        <w:t>for NPDCCH performance requirements</w:t>
      </w:r>
    </w:p>
    <w:p>
      <w:pPr>
        <w:keepNext/>
        <w:keepLines/>
        <w:overflowPunct w:val="0"/>
        <w:autoSpaceDE w:val="0"/>
        <w:autoSpaceDN w:val="0"/>
        <w:adjustRightInd w:val="0"/>
        <w:spacing w:before="120"/>
        <w:ind w:left="1134" w:hanging="1134"/>
        <w:textAlignment w:val="baseline"/>
        <w:outlineLvl w:val="2"/>
        <w:rPr>
          <w:rFonts w:ascii="Arial" w:hAnsi="Arial" w:eastAsia="MS Mincho"/>
          <w:sz w:val="28"/>
          <w:lang w:eastAsia="zh-CN"/>
        </w:rPr>
      </w:pPr>
      <w:r>
        <w:rPr>
          <w:rFonts w:ascii="Arial" w:hAnsi="Arial" w:eastAsia="MS Mincho"/>
          <w:sz w:val="28"/>
          <w:lang w:eastAsia="zh-CN"/>
        </w:rPr>
        <w:t>A.3.13.1</w:t>
      </w:r>
      <w:r>
        <w:rPr>
          <w:rFonts w:ascii="Arial" w:hAnsi="Arial" w:eastAsia="MS Mincho"/>
          <w:sz w:val="28"/>
          <w:lang w:eastAsia="zh-CN"/>
        </w:rPr>
        <w:tab/>
      </w:r>
      <w:r>
        <w:rPr>
          <w:rFonts w:ascii="Arial" w:hAnsi="Arial" w:eastAsia="MS Mincho"/>
          <w:sz w:val="28"/>
          <w:lang w:eastAsia="zh-CN"/>
        </w:rPr>
        <w:t>Half-duplex FDD</w:t>
      </w:r>
    </w:p>
    <w:p>
      <w:pPr>
        <w:pStyle w:val="113"/>
      </w:pPr>
      <w:r>
        <w:t xml:space="preserve">Table A.3.13.1-1 </w:t>
      </w:r>
      <w:r>
        <w:rPr>
          <w:rFonts w:hint="eastAsia" w:eastAsia="宋体"/>
          <w:lang w:val="en-US" w:eastAsia="zh-CN"/>
        </w:rPr>
        <w:t xml:space="preserve">NPDCCH </w:t>
      </w:r>
      <w:r>
        <w:t xml:space="preserve">Reference Channel for Category NB1 </w:t>
      </w:r>
      <w:r>
        <w:rPr>
          <w:rFonts w:hint="eastAsia" w:eastAsia="宋体"/>
          <w:lang w:val="en-US" w:eastAsia="zh-CN"/>
        </w:rPr>
        <w:t xml:space="preserve">and NB2 </w:t>
      </w:r>
      <w:r>
        <w:t>UE</w:t>
      </w:r>
    </w:p>
    <w:tbl>
      <w:tblPr>
        <w:tblStyle w:val="8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538"/>
        <w:gridCol w:w="1270"/>
        <w:gridCol w:w="131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4"/>
            </w:pPr>
            <w:r>
              <w:t>Parameter</w:t>
            </w:r>
          </w:p>
        </w:tc>
        <w:tc>
          <w:tcPr>
            <w:tcW w:w="1270" w:type="dxa"/>
          </w:tcPr>
          <w:p>
            <w:pPr>
              <w:pStyle w:val="104"/>
            </w:pPr>
            <w:r>
              <w:rPr>
                <w:spacing w:val="-4"/>
              </w:rPr>
              <w:t>Unit</w:t>
            </w:r>
          </w:p>
        </w:tc>
        <w:tc>
          <w:tcPr>
            <w:tcW w:w="1312" w:type="dxa"/>
          </w:tcPr>
          <w:p>
            <w:pPr>
              <w:pStyle w:val="104"/>
            </w:pPr>
            <w:r>
              <w:rPr>
                <w:spacing w:val="-4"/>
              </w:rPr>
              <w:t>Value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3538" w:type="dxa"/>
          </w:tcPr>
          <w:p>
            <w:pPr>
              <w:pStyle w:val="103"/>
            </w:pPr>
            <w:r>
              <w:t>Reference</w:t>
            </w:r>
            <w:r>
              <w:rPr>
                <w:spacing w:val="-6"/>
              </w:rPr>
              <w:t xml:space="preserve"> </w:t>
            </w:r>
            <w:r>
              <w:rPr>
                <w:spacing w:val="-2"/>
              </w:rPr>
              <w:t>channel</w:t>
            </w:r>
          </w:p>
        </w:tc>
        <w:tc>
          <w:tcPr>
            <w:tcW w:w="1270" w:type="dxa"/>
          </w:tcPr>
          <w:p>
            <w:pPr>
              <w:pStyle w:val="105"/>
            </w:pPr>
          </w:p>
        </w:tc>
        <w:tc>
          <w:tcPr>
            <w:tcW w:w="1312" w:type="dxa"/>
          </w:tcPr>
          <w:p>
            <w:pPr>
              <w:pStyle w:val="105"/>
            </w:pPr>
            <w:r>
              <w:t>R.NB.3 FDD</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Number</w:t>
            </w:r>
            <w:r>
              <w:rPr>
                <w:spacing w:val="-3"/>
              </w:rPr>
              <w:t xml:space="preserve"> </w:t>
            </w:r>
            <w:r>
              <w:t>of</w:t>
            </w:r>
            <w:r>
              <w:rPr>
                <w:spacing w:val="-1"/>
              </w:rPr>
              <w:t xml:space="preserve"> </w:t>
            </w:r>
            <w:r>
              <w:t>NRS</w:t>
            </w:r>
            <w:r>
              <w:rPr>
                <w:spacing w:val="-1"/>
              </w:rPr>
              <w:t xml:space="preserve"> </w:t>
            </w:r>
            <w:r>
              <w:rPr>
                <w:spacing w:val="-2"/>
              </w:rPr>
              <w:t>ports</w:t>
            </w:r>
          </w:p>
        </w:tc>
        <w:tc>
          <w:tcPr>
            <w:tcW w:w="1270" w:type="dxa"/>
          </w:tcPr>
          <w:p>
            <w:pPr>
              <w:pStyle w:val="105"/>
            </w:pPr>
          </w:p>
        </w:tc>
        <w:tc>
          <w:tcPr>
            <w:tcW w:w="1312" w:type="dxa"/>
          </w:tcPr>
          <w:p>
            <w:pPr>
              <w:pStyle w:val="105"/>
            </w:pPr>
            <w: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3"/>
            </w:pPr>
            <w:bookmarkStart w:id="1051" w:name="A.3.13.1_Half-duplex_FDD"/>
            <w:bookmarkEnd w:id="1051"/>
            <w:r>
              <w:t>Channel</w:t>
            </w:r>
            <w:r>
              <w:rPr>
                <w:spacing w:val="-5"/>
              </w:rPr>
              <w:t xml:space="preserve"> </w:t>
            </w:r>
            <w:r>
              <w:rPr>
                <w:spacing w:val="-2"/>
              </w:rPr>
              <w:t>bandwidth</w:t>
            </w:r>
          </w:p>
        </w:tc>
        <w:tc>
          <w:tcPr>
            <w:tcW w:w="1270" w:type="dxa"/>
          </w:tcPr>
          <w:p>
            <w:pPr>
              <w:pStyle w:val="105"/>
            </w:pPr>
            <w:r>
              <w:rPr>
                <w:spacing w:val="-5"/>
              </w:rPr>
              <w:t>MHz</w:t>
            </w:r>
          </w:p>
        </w:tc>
        <w:tc>
          <w:tcPr>
            <w:tcW w:w="1312" w:type="dxa"/>
          </w:tcPr>
          <w:p>
            <w:pPr>
              <w:pStyle w:val="105"/>
            </w:pPr>
            <w:r>
              <w:rPr>
                <w:spacing w:val="-5"/>
              </w:rPr>
              <w:t>0.2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Aggregation</w:t>
            </w:r>
            <w:r>
              <w:rPr>
                <w:spacing w:val="-6"/>
              </w:rPr>
              <w:t xml:space="preserve"> </w:t>
            </w:r>
            <w:r>
              <w:rPr>
                <w:spacing w:val="-2"/>
              </w:rPr>
              <w:t>level</w:t>
            </w:r>
          </w:p>
        </w:tc>
        <w:tc>
          <w:tcPr>
            <w:tcW w:w="1270" w:type="dxa"/>
          </w:tcPr>
          <w:p>
            <w:pPr>
              <w:pStyle w:val="105"/>
            </w:pPr>
            <w:r>
              <w:rPr>
                <w:spacing w:val="-4"/>
              </w:rPr>
              <w:t>NCCE</w:t>
            </w:r>
          </w:p>
        </w:tc>
        <w:tc>
          <w:tcPr>
            <w:tcW w:w="1312" w:type="dxa"/>
          </w:tcPr>
          <w:p>
            <w:pPr>
              <w:pStyle w:val="105"/>
            </w:pPr>
            <w:r>
              <w:t>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3538" w:type="dxa"/>
          </w:tcPr>
          <w:p>
            <w:pPr>
              <w:pStyle w:val="103"/>
            </w:pPr>
            <w:r>
              <w:t>DCI</w:t>
            </w:r>
            <w:r>
              <w:rPr>
                <w:spacing w:val="-4"/>
              </w:rPr>
              <w:t xml:space="preserve"> </w:t>
            </w:r>
            <w:r>
              <w:rPr>
                <w:spacing w:val="-2"/>
              </w:rPr>
              <w:t>Format</w:t>
            </w:r>
          </w:p>
        </w:tc>
        <w:tc>
          <w:tcPr>
            <w:tcW w:w="1270" w:type="dxa"/>
          </w:tcPr>
          <w:p>
            <w:pPr>
              <w:pStyle w:val="105"/>
            </w:pPr>
          </w:p>
        </w:tc>
        <w:tc>
          <w:tcPr>
            <w:tcW w:w="1312" w:type="dxa"/>
          </w:tcPr>
          <w:p>
            <w:pPr>
              <w:pStyle w:val="105"/>
            </w:pPr>
            <w:r>
              <w:rPr>
                <w:spacing w:val="-5"/>
              </w:rPr>
              <w:t>N1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6" w:hRule="atLeast"/>
          <w:jc w:val="center"/>
        </w:trPr>
        <w:tc>
          <w:tcPr>
            <w:tcW w:w="3538" w:type="dxa"/>
          </w:tcPr>
          <w:p>
            <w:pPr>
              <w:pStyle w:val="103"/>
            </w:pPr>
            <w:r>
              <w:t>Payload</w:t>
            </w:r>
            <w:r>
              <w:rPr>
                <w:spacing w:val="-3"/>
              </w:rPr>
              <w:t xml:space="preserve"> </w:t>
            </w:r>
            <w:r>
              <w:t>(without</w:t>
            </w:r>
            <w:r>
              <w:rPr>
                <w:spacing w:val="-4"/>
              </w:rPr>
              <w:t xml:space="preserve"> CRC)</w:t>
            </w:r>
          </w:p>
        </w:tc>
        <w:tc>
          <w:tcPr>
            <w:tcW w:w="1270" w:type="dxa"/>
          </w:tcPr>
          <w:p>
            <w:pPr>
              <w:pStyle w:val="105"/>
            </w:pPr>
            <w:r>
              <w:rPr>
                <w:spacing w:val="-4"/>
              </w:rPr>
              <w:t>Bits</w:t>
            </w:r>
          </w:p>
        </w:tc>
        <w:tc>
          <w:tcPr>
            <w:tcW w:w="1312" w:type="dxa"/>
          </w:tcPr>
          <w:p>
            <w:pPr>
              <w:pStyle w:val="105"/>
            </w:pPr>
            <w:r>
              <w:rPr>
                <w:spacing w:val="-5"/>
              </w:rPr>
              <w:t>23</w:t>
            </w:r>
          </w:p>
        </w:tc>
      </w:tr>
    </w:tbl>
    <w:p>
      <w:pPr>
        <w:keepNext w:val="0"/>
        <w:keepLines w:val="0"/>
        <w:overflowPunct/>
        <w:autoSpaceDE/>
        <w:autoSpaceDN/>
        <w:adjustRightInd/>
        <w:spacing w:before="0"/>
        <w:ind w:left="0" w:firstLine="0"/>
        <w:textAlignment w:val="auto"/>
        <w:outlineLvl w:val="9"/>
        <w:rPr>
          <w:rFonts w:ascii="Arial" w:hAnsi="Arial" w:eastAsia="MS Mincho"/>
          <w:sz w:val="32"/>
          <w:lang w:eastAsia="zh-CN"/>
        </w:rPr>
      </w:pPr>
    </w:p>
    <w:p>
      <w:pPr>
        <w:keepNext/>
        <w:keepLines/>
        <w:overflowPunct w:val="0"/>
        <w:autoSpaceDE w:val="0"/>
        <w:autoSpaceDN w:val="0"/>
        <w:adjustRightInd w:val="0"/>
        <w:spacing w:before="180"/>
        <w:ind w:left="1134" w:hanging="1134"/>
        <w:textAlignment w:val="baseline"/>
        <w:outlineLvl w:val="1"/>
        <w:rPr>
          <w:rFonts w:ascii="Arial" w:hAnsi="Arial" w:eastAsia="MS Mincho"/>
          <w:sz w:val="32"/>
          <w:lang w:eastAsia="zh-CN"/>
        </w:rPr>
      </w:pPr>
      <w:r>
        <w:rPr>
          <w:rFonts w:ascii="Arial" w:hAnsi="Arial" w:eastAsia="MS Mincho"/>
          <w:sz w:val="32"/>
          <w:lang w:eastAsia="zh-CN"/>
        </w:rPr>
        <w:t>A.3.14</w:t>
      </w:r>
      <w:r>
        <w:rPr>
          <w:rFonts w:ascii="Arial" w:hAnsi="Arial" w:eastAsia="MS Mincho"/>
          <w:sz w:val="32"/>
          <w:lang w:eastAsia="zh-CN"/>
        </w:rPr>
        <w:tab/>
      </w:r>
      <w:r>
        <w:rPr>
          <w:rFonts w:ascii="Arial" w:hAnsi="Arial"/>
          <w:sz w:val="32"/>
          <w:lang w:eastAsia="zh-CN"/>
        </w:rPr>
        <w:t xml:space="preserve">Reference measurement channels </w:t>
      </w:r>
      <w:r>
        <w:rPr>
          <w:rFonts w:ascii="Arial" w:hAnsi="Arial" w:eastAsia="MS Mincho"/>
          <w:sz w:val="32"/>
          <w:lang w:eastAsia="zh-CN"/>
        </w:rPr>
        <w:t>for NPBCH performance requirements for Cat NB1 UEs</w:t>
      </w:r>
    </w:p>
    <w:p>
      <w:pPr>
        <w:pStyle w:val="113"/>
      </w:pPr>
      <w:r>
        <w:t>Table A.3.14-1: Reference Channel for Category NB1 UE</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46"/>
        <w:gridCol w:w="900"/>
        <w:gridCol w:w="2269"/>
        <w:gridCol w:w="20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Parameter</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Unit</w:t>
            </w:r>
          </w:p>
        </w:tc>
        <w:tc>
          <w:tcPr>
            <w:tcW w:w="4305" w:type="dxa"/>
            <w:gridSpan w:val="2"/>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Reference channel</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R.NB.1</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R.NB.2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Number of transmitter antennas</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1</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Channel bandwidth</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KHz</w:t>
            </w: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200</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 xml:space="preserve">Modulation </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QPSK</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Target coding rate</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lang w:eastAsia="zh-CN"/>
              </w:rPr>
              <w:t>50/1600</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lang w:eastAsia="zh-CN"/>
              </w:rPr>
              <w:t>50/1600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94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Payload (without CRC)</w:t>
            </w:r>
          </w:p>
        </w:tc>
        <w:tc>
          <w:tcPr>
            <w:tcW w:w="900"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textAlignment w:val="baseline"/>
              <w:rPr>
                <w:rFonts w:ascii="Arial" w:hAnsi="Arial" w:cs="Arial"/>
                <w:sz w:val="18"/>
              </w:rPr>
            </w:pPr>
            <w:r>
              <w:rPr>
                <w:rFonts w:ascii="Arial" w:hAnsi="Arial" w:cs="Arial"/>
                <w:sz w:val="18"/>
              </w:rPr>
              <w:t>Bits</w:t>
            </w:r>
          </w:p>
        </w:tc>
        <w:tc>
          <w:tcPr>
            <w:tcW w:w="2269"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34</w:t>
            </w:r>
          </w:p>
        </w:tc>
        <w:tc>
          <w:tcPr>
            <w:tcW w:w="2036"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cs="Arial"/>
                <w:sz w:val="18"/>
              </w:rPr>
            </w:pPr>
            <w:r>
              <w:rPr>
                <w:rFonts w:ascii="Arial" w:hAnsi="Arial" w:cs="Arial"/>
                <w:sz w:val="18"/>
              </w:rPr>
              <w:t>34</w:t>
            </w:r>
          </w:p>
        </w:tc>
      </w:tr>
    </w:tbl>
    <w:p/>
    <w:p>
      <w:pPr>
        <w:pStyle w:val="3"/>
      </w:pPr>
      <w:bookmarkStart w:id="1052" w:name="_Toc23161"/>
      <w:bookmarkStart w:id="1053" w:name="_Toc232582131"/>
      <w:r>
        <w:t>A.4</w:t>
      </w:r>
      <w:r>
        <w:tab/>
      </w:r>
      <w:r>
        <w:t>CQI reference measurement channels</w:t>
      </w:r>
      <w:bookmarkEnd w:id="1052"/>
      <w:bookmarkEnd w:id="1053"/>
    </w:p>
    <w:p>
      <w:pPr>
        <w:rPr>
          <w:rFonts w:eastAsia="宋体"/>
          <w:lang w:val="en-US" w:eastAsia="zh-CN"/>
        </w:rPr>
      </w:pPr>
      <w:r>
        <w:rPr>
          <w:rFonts w:hint="eastAsia" w:eastAsia="宋体"/>
          <w:lang w:val="en-US" w:eastAsia="zh-CN"/>
        </w:rPr>
        <w:t>FFS</w:t>
      </w:r>
    </w:p>
    <w:p>
      <w:pPr>
        <w:pStyle w:val="3"/>
      </w:pPr>
      <w:bookmarkStart w:id="1054" w:name="_Toc18597"/>
      <w:r>
        <w:t>A.5</w:t>
      </w:r>
      <w:r>
        <w:tab/>
      </w:r>
      <w:r>
        <w:t>OFDMA Channel Noise Generator (OCNG)</w:t>
      </w:r>
      <w:bookmarkEnd w:id="1054"/>
    </w:p>
    <w:p>
      <w:pPr>
        <w:pStyle w:val="4"/>
      </w:pPr>
      <w:bookmarkStart w:id="1055" w:name="_Toc15833"/>
      <w:r>
        <w:t>A.5.1</w:t>
      </w:r>
      <w:r>
        <w:tab/>
      </w:r>
      <w:r>
        <w:t>OCNG Patterns for FDD</w:t>
      </w:r>
      <w:bookmarkEnd w:id="1055"/>
    </w:p>
    <w:p>
      <w:pPr>
        <w:rPr>
          <w:rFonts w:eastAsia="宋体"/>
          <w:lang w:eastAsia="zh-CN"/>
        </w:rPr>
      </w:pPr>
      <w:r>
        <w:rPr>
          <w:rFonts w:eastAsia="宋体"/>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pPr>
        <w:rPr>
          <w:rFonts w:eastAsia="宋体"/>
          <w:lang w:eastAsia="zh-CN"/>
        </w:rPr>
      </w:pPr>
      <w:r>
        <w:rPr>
          <w:rFonts w:eastAsia="宋体"/>
          <w:lang w:eastAsia="zh-CN"/>
        </w:rPr>
        <w:t>In each test case the OCNG is expressed by parameters OCNG_RA and OCNG_RB which together with a relative power level (</w:t>
      </w:r>
      <w:r>
        <w:rPr>
          <w:rFonts w:eastAsia="宋体"/>
          <w:position w:val="-10"/>
          <w:lang w:eastAsia="zh-CN"/>
        </w:rPr>
        <w:object>
          <v:shape id="_x0000_i1102" o:spt="75" type="#_x0000_t75" style="height:13.1pt;width:9.8pt;" o:ole="t" filled="f" o:preferrelative="t" stroked="f" coordsize="21600,21600">
            <v:path/>
            <v:fill on="f" focussize="0,0"/>
            <v:stroke on="f" joinstyle="miter"/>
            <v:imagedata r:id="rId145" o:title=""/>
            <o:lock v:ext="edit" aspectratio="t"/>
            <w10:wrap type="none"/>
            <w10:anchorlock/>
          </v:shape>
          <o:OLEObject Type="Embed" ProgID="Equation.3" ShapeID="_x0000_i1102" DrawAspect="Content" ObjectID="_1468075802" r:id="rId144">
            <o:LockedField>false</o:LockedField>
          </o:OLEObject>
        </w:object>
      </w:r>
      <w:r>
        <w:rPr>
          <w:rFonts w:eastAsia="宋体"/>
          <w:lang w:eastAsia="zh-CN"/>
        </w:rPr>
        <w:t>) specifies the PDSCH EPRE-to-RS EPRE ratios in OFDM symbols with and without reference symbols, respectively. The relative power, which is used for modelling boosting per virtual UE allocation, is expressed by:</w:t>
      </w:r>
    </w:p>
    <w:p>
      <w:pPr>
        <w:pStyle w:val="95"/>
        <w:jc w:val="center"/>
      </w:pPr>
      <w:r>
        <w:rPr>
          <w:position w:val="-12"/>
        </w:rPr>
        <w:object>
          <v:shape id="_x0000_i1103" o:spt="75" type="#_x0000_t75" style="height:19.1pt;width:308.75pt;" o:ole="t" filled="f" o:preferrelative="t" stroked="f" coordsize="21600,21600">
            <v:path/>
            <v:fill on="f" focussize="0,0"/>
            <v:stroke on="f" joinstyle="miter"/>
            <v:imagedata r:id="rId147" o:title=""/>
            <o:lock v:ext="edit" aspectratio="t"/>
            <w10:wrap type="none"/>
            <w10:anchorlock/>
          </v:shape>
          <o:OLEObject Type="Embed" ProgID="Equation.3" ShapeID="_x0000_i1103" DrawAspect="Content" ObjectID="_1468075803" r:id="rId146">
            <o:LockedField>false</o:LockedField>
          </o:OLEObject>
        </w:object>
      </w:r>
    </w:p>
    <w:p>
      <w:pPr>
        <w:rPr>
          <w:rFonts w:eastAsia="宋体"/>
          <w:lang w:eastAsia="zh-CN"/>
        </w:rPr>
      </w:pPr>
      <w:r>
        <w:rPr>
          <w:rFonts w:eastAsia="宋体"/>
          <w:lang w:eastAsia="zh-CN"/>
        </w:rPr>
        <w:t xml:space="preserve">where </w:t>
      </w:r>
      <w:r>
        <w:rPr>
          <w:rFonts w:eastAsia="宋体"/>
          <w:position w:val="-12"/>
          <w:lang w:eastAsia="zh-CN"/>
        </w:rPr>
        <w:object>
          <v:shape id="_x0000_i1104" o:spt="75" type="#_x0000_t75" style="height:19.1pt;width:12pt;" o:ole="t" filled="f" o:preferrelative="t" stroked="f" coordsize="21600,21600">
            <v:path/>
            <v:fill on="f" focussize="0,0"/>
            <v:stroke on="f" joinstyle="miter"/>
            <v:imagedata r:id="rId149" o:title=""/>
            <o:lock v:ext="edit" aspectratio="t"/>
            <w10:wrap type="none"/>
            <w10:anchorlock/>
          </v:shape>
          <o:OLEObject Type="Embed" ProgID="Equation.3" ShapeID="_x0000_i1104" DrawAspect="Content" ObjectID="_1468075804" r:id="rId148">
            <o:LockedField>false</o:LockedField>
          </o:OLEObject>
        </w:object>
      </w:r>
      <w:r>
        <w:rPr>
          <w:rFonts w:eastAsia="宋体"/>
          <w:lang w:eastAsia="zh-CN"/>
        </w:rPr>
        <w:t xml:space="preserve"> denotes the relative power level of the </w:t>
      </w:r>
      <w:r>
        <w:rPr>
          <w:rFonts w:eastAsia="宋体"/>
          <w:i/>
          <w:iCs/>
          <w:lang w:eastAsia="zh-CN"/>
        </w:rPr>
        <w:t xml:space="preserve">i:th </w:t>
      </w:r>
      <w:r>
        <w:rPr>
          <w:rFonts w:eastAsia="宋体"/>
          <w:lang w:eastAsia="zh-CN"/>
        </w:rPr>
        <w:t xml:space="preserve">virtual UE. The parameter settings of OCNG_RA, OCNG_RB, and the set of relative power levels </w:t>
      </w:r>
      <w:r>
        <w:rPr>
          <w:rFonts w:eastAsia="宋体"/>
          <w:position w:val="-10"/>
          <w:lang w:eastAsia="zh-CN"/>
        </w:rPr>
        <w:object>
          <v:shape id="_x0000_i1105" o:spt="75" type="#_x0000_t75" style="height:13.1pt;width:9.8pt;" o:ole="t" filled="f" o:preferrelative="t" stroked="f" coordsize="21600,21600">
            <v:path/>
            <v:fill on="f" focussize="0,0"/>
            <v:stroke on="f" joinstyle="miter"/>
            <v:imagedata r:id="rId151" o:title=""/>
            <o:lock v:ext="edit" aspectratio="t"/>
            <w10:wrap type="none"/>
            <w10:anchorlock/>
          </v:shape>
          <o:OLEObject Type="Embed" ProgID="Equation.3" ShapeID="_x0000_i1105" DrawAspect="Content" ObjectID="_1468075805" r:id="rId150">
            <o:LockedField>false</o:LockedField>
          </o:OLEObject>
        </w:object>
      </w:r>
      <w:r>
        <w:rPr>
          <w:rFonts w:eastAsia="宋体"/>
          <w:lang w:eastAsia="zh-CN"/>
        </w:rPr>
        <w:t>are chosen such that when also taking allocations to the UE under test into account, as given by a PDSCH reference channel, a transmitted power spectral density that is constant on an OFDM symbol basis is targeted.</w:t>
      </w:r>
    </w:p>
    <w:p>
      <w:pPr>
        <w:rPr>
          <w:rFonts w:eastAsia="宋体"/>
          <w:lang w:eastAsia="zh-CN"/>
        </w:rPr>
      </w:pPr>
      <w:r>
        <w:rPr>
          <w:rFonts w:eastAsia="宋体"/>
          <w:lang w:eastAsia="zh-CN"/>
        </w:rPr>
        <w:t>Moreover</w:t>
      </w:r>
      <w:r>
        <w:rPr>
          <w:rFonts w:hint="eastAsia" w:eastAsia="宋体"/>
          <w:lang w:val="en-US" w:eastAsia="zh-CN"/>
        </w:rPr>
        <w:t>,</w:t>
      </w:r>
      <w:r>
        <w:rPr>
          <w:rFonts w:eastAsia="宋体"/>
          <w:lang w:eastAsia="zh-CN"/>
        </w:rPr>
        <w:t xml:space="preserve">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pPr>
        <w:pStyle w:val="5"/>
        <w:rPr>
          <w:snapToGrid w:val="0"/>
        </w:rPr>
      </w:pPr>
      <w:bookmarkStart w:id="1056" w:name="_Toc249799615"/>
      <w:bookmarkStart w:id="1057" w:name="_Toc17799"/>
      <w:r>
        <w:rPr>
          <w:snapToGrid w:val="0"/>
        </w:rPr>
        <w:t>A.5.1.1</w:t>
      </w:r>
      <w:r>
        <w:rPr>
          <w:snapToGrid w:val="0"/>
        </w:rPr>
        <w:tab/>
      </w:r>
      <w:r>
        <w:rPr>
          <w:snapToGrid w:val="0"/>
        </w:rPr>
        <w:t>OCNG FDD pattern 1: One sided dynamic OCNG FDD pattern</w:t>
      </w:r>
      <w:bookmarkEnd w:id="1056"/>
      <w:bookmarkEnd w:id="1057"/>
    </w:p>
    <w:p>
      <w:pPr>
        <w:rPr>
          <w:rFonts w:ascii="Arial" w:hAnsi="Arial" w:cs="Arial"/>
          <w:sz w:val="18"/>
          <w:szCs w:val="18"/>
        </w:rPr>
      </w:pPr>
      <w:r>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pPr>
        <w:pStyle w:val="113"/>
      </w:pPr>
      <w:r>
        <w:t>Table A.5.1.1-1: OP.1 FDD: One sided dynamic OCNG FDD Pattern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4"/>
        <w:gridCol w:w="2464"/>
        <w:gridCol w:w="2464"/>
        <w:gridCol w:w="9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92" w:type="dxa"/>
            <w:gridSpan w:val="3"/>
          </w:tcPr>
          <w:p>
            <w:pPr>
              <w:pStyle w:val="104"/>
              <w:rPr>
                <w:snapToGrid w:val="0"/>
                <w:lang w:eastAsia="zh-CN"/>
              </w:rPr>
            </w:pPr>
            <w:r>
              <w:rPr>
                <w:lang w:eastAsia="zh-CN"/>
              </w:rPr>
              <w:t xml:space="preserve">Relative power level </w:t>
            </w:r>
            <w:r>
              <w:rPr>
                <w:position w:val="-10"/>
                <w:lang w:eastAsia="zh-CN"/>
              </w:rPr>
              <w:object>
                <v:shape id="_x0000_i1106" o:spt="75" type="#_x0000_t75" style="height:17.45pt;width:24pt;" o:ole="t" filled="f" o:preferrelative="t" stroked="f" coordsize="21600,21600">
                  <v:path/>
                  <v:fill on="f" focussize="0,0"/>
                  <v:stroke on="f" joinstyle="miter"/>
                  <v:imagedata r:id="rId153" o:title=""/>
                  <o:lock v:ext="edit" aspectratio="t"/>
                  <w10:wrap type="none"/>
                  <w10:anchorlock/>
                </v:shape>
                <o:OLEObject Type="Embed" ProgID="Equation.3" ShapeID="_x0000_i1106" DrawAspect="Content" ObjectID="_1468075806" r:id="rId152">
                  <o:LockedField>false</o:LockedField>
                </o:OLEObject>
              </w:object>
            </w:r>
            <w:r>
              <w:rPr>
                <w:lang w:eastAsia="zh-CN"/>
              </w:rPr>
              <w:t xml:space="preserve"> [dB]</w:t>
            </w:r>
          </w:p>
        </w:tc>
        <w:tc>
          <w:tcPr>
            <w:tcW w:w="998" w:type="dxa"/>
            <w:vMerge w:val="restart"/>
            <w:vAlign w:val="center"/>
          </w:tcPr>
          <w:p>
            <w:pPr>
              <w:pStyle w:val="104"/>
              <w:rPr>
                <w:snapToGrid w:val="0"/>
                <w:lang w:eastAsia="zh-CN"/>
              </w:rPr>
            </w:pPr>
            <w:r>
              <w:rPr>
                <w:lang w:eastAsia="zh-CN"/>
              </w:rPr>
              <w:t>PDSCH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7392" w:type="dxa"/>
            <w:gridSpan w:val="3"/>
          </w:tcPr>
          <w:p>
            <w:pPr>
              <w:pStyle w:val="104"/>
              <w:rPr>
                <w:snapToGrid w:val="0"/>
                <w:lang w:eastAsia="zh-CN"/>
              </w:rPr>
            </w:pPr>
            <w:r>
              <w:rPr>
                <w:lang w:eastAsia="zh-CN"/>
              </w:rPr>
              <w:t>Subframe</w:t>
            </w:r>
          </w:p>
        </w:tc>
        <w:tc>
          <w:tcPr>
            <w:tcW w:w="998" w:type="dxa"/>
            <w:vMerge w:val="continue"/>
          </w:tcPr>
          <w:p>
            <w:pPr>
              <w:pStyle w:val="104"/>
              <w:rPr>
                <w:snapToGrid w:val="0"/>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2464" w:type="dxa"/>
          </w:tcPr>
          <w:p>
            <w:pPr>
              <w:pStyle w:val="105"/>
              <w:rPr>
                <w:snapToGrid w:val="0"/>
              </w:rPr>
            </w:pPr>
            <w:r>
              <w:rPr>
                <w:snapToGrid w:val="0"/>
              </w:rPr>
              <w:t>0</w:t>
            </w:r>
          </w:p>
        </w:tc>
        <w:tc>
          <w:tcPr>
            <w:tcW w:w="2464" w:type="dxa"/>
          </w:tcPr>
          <w:p>
            <w:pPr>
              <w:pStyle w:val="105"/>
              <w:rPr>
                <w:snapToGrid w:val="0"/>
              </w:rPr>
            </w:pPr>
            <w:r>
              <w:rPr>
                <w:snapToGrid w:val="0"/>
              </w:rPr>
              <w:t>5</w:t>
            </w:r>
          </w:p>
        </w:tc>
        <w:tc>
          <w:tcPr>
            <w:tcW w:w="2464" w:type="dxa"/>
          </w:tcPr>
          <w:p>
            <w:pPr>
              <w:pStyle w:val="105"/>
              <w:rPr>
                <w:snapToGrid w:val="0"/>
              </w:rPr>
            </w:pPr>
            <w:r>
              <w:t>1 – 4, 6 – 9</w:t>
            </w:r>
          </w:p>
        </w:tc>
        <w:tc>
          <w:tcPr>
            <w:tcW w:w="998" w:type="dxa"/>
            <w:vMerge w:val="continue"/>
          </w:tcPr>
          <w:p>
            <w:pPr>
              <w:pStyle w:val="105"/>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392" w:type="dxa"/>
            <w:gridSpan w:val="3"/>
          </w:tcPr>
          <w:p>
            <w:pPr>
              <w:pStyle w:val="104"/>
              <w:rPr>
                <w:snapToGrid w:val="0"/>
                <w:lang w:eastAsia="zh-CN"/>
              </w:rPr>
            </w:pPr>
            <w:r>
              <w:rPr>
                <w:lang w:eastAsia="zh-CN"/>
              </w:rPr>
              <w:t>Allocation</w:t>
            </w:r>
          </w:p>
        </w:tc>
        <w:tc>
          <w:tcPr>
            <w:tcW w:w="998" w:type="dxa"/>
            <w:vMerge w:val="continue"/>
          </w:tcPr>
          <w:p>
            <w:pPr>
              <w:pStyle w:val="5"/>
              <w:ind w:left="0" w:firstLine="0"/>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64" w:type="dxa"/>
          </w:tcPr>
          <w:p>
            <w:pPr>
              <w:pStyle w:val="105"/>
              <w:rPr>
                <w:snapToGrid w:val="0"/>
              </w:rPr>
            </w:pPr>
            <w:r>
              <w:t>First unallocated PRB</w:t>
            </w:r>
            <w:r>
              <w:br w:type="textWrapping"/>
            </w:r>
            <w:r>
              <w:t>–</w:t>
            </w:r>
            <w:r>
              <w:br w:type="textWrapping"/>
            </w:r>
            <w:r>
              <w:t>Last unallocated PRB</w:t>
            </w:r>
          </w:p>
        </w:tc>
        <w:tc>
          <w:tcPr>
            <w:tcW w:w="2464" w:type="dxa"/>
          </w:tcPr>
          <w:p>
            <w:pPr>
              <w:pStyle w:val="105"/>
              <w:rPr>
                <w:snapToGrid w:val="0"/>
              </w:rPr>
            </w:pPr>
            <w:r>
              <w:t>First unallocated PRB</w:t>
            </w:r>
            <w:r>
              <w:br w:type="textWrapping"/>
            </w:r>
            <w:r>
              <w:t>–</w:t>
            </w:r>
            <w:r>
              <w:br w:type="textWrapping"/>
            </w:r>
            <w:r>
              <w:t>Last unallocated PRB</w:t>
            </w:r>
          </w:p>
        </w:tc>
        <w:tc>
          <w:tcPr>
            <w:tcW w:w="2464" w:type="dxa"/>
          </w:tcPr>
          <w:p>
            <w:pPr>
              <w:pStyle w:val="105"/>
              <w:rPr>
                <w:snapToGrid w:val="0"/>
              </w:rPr>
            </w:pPr>
            <w:r>
              <w:t>First unallocated PRB</w:t>
            </w:r>
            <w:r>
              <w:br w:type="textWrapping"/>
            </w:r>
            <w:r>
              <w:t>–</w:t>
            </w:r>
            <w:r>
              <w:br w:type="textWrapping"/>
            </w:r>
            <w:r>
              <w:t>Last unallocated PRB</w:t>
            </w:r>
          </w:p>
        </w:tc>
        <w:tc>
          <w:tcPr>
            <w:tcW w:w="998" w:type="dxa"/>
            <w:vMerge w:val="continue"/>
          </w:tcPr>
          <w:p>
            <w:pPr>
              <w:pStyle w:val="105"/>
              <w:rPr>
                <w:snapToGrid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4" w:type="dxa"/>
          </w:tcPr>
          <w:p>
            <w:pPr>
              <w:pStyle w:val="105"/>
              <w:rPr>
                <w:snapToGrid w:val="0"/>
              </w:rPr>
            </w:pPr>
            <w:r>
              <w:rPr>
                <w:snapToGrid w:val="0"/>
              </w:rPr>
              <w:t>0</w:t>
            </w:r>
          </w:p>
        </w:tc>
        <w:tc>
          <w:tcPr>
            <w:tcW w:w="2464" w:type="dxa"/>
          </w:tcPr>
          <w:p>
            <w:pPr>
              <w:pStyle w:val="105"/>
              <w:rPr>
                <w:snapToGrid w:val="0"/>
              </w:rPr>
            </w:pPr>
            <w:r>
              <w:rPr>
                <w:snapToGrid w:val="0"/>
              </w:rPr>
              <w:t>0</w:t>
            </w:r>
          </w:p>
        </w:tc>
        <w:tc>
          <w:tcPr>
            <w:tcW w:w="2464" w:type="dxa"/>
          </w:tcPr>
          <w:p>
            <w:pPr>
              <w:pStyle w:val="105"/>
              <w:rPr>
                <w:snapToGrid w:val="0"/>
              </w:rPr>
            </w:pPr>
            <w:r>
              <w:rPr>
                <w:snapToGrid w:val="0"/>
              </w:rPr>
              <w:t>0</w:t>
            </w:r>
          </w:p>
        </w:tc>
        <w:tc>
          <w:tcPr>
            <w:tcW w:w="998" w:type="dxa"/>
          </w:tcPr>
          <w:p>
            <w:pPr>
              <w:pStyle w:val="105"/>
              <w:rPr>
                <w:snapToGrid w:val="0"/>
              </w:rPr>
            </w:pPr>
            <w:r>
              <w:t>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90" w:type="dxa"/>
            <w:gridSpan w:val="4"/>
          </w:tcPr>
          <w:p>
            <w:pPr>
              <w:pStyle w:val="118"/>
            </w:pPr>
            <w:r>
              <w:t>Note 1:</w:t>
            </w:r>
            <w:r>
              <w:tab/>
            </w:r>
            <w:r>
              <w:t xml:space="preserve">These physical resource blocks are assigned to an arbitrary number of virtual UEs with one PDSCH per virtual UE; the data transmitted over the OCNG PDSCHs shall be uncorrelated pseudo random data, which is QPSK modulated. </w:t>
            </w:r>
            <w:r>
              <w:rPr>
                <w:szCs w:val="18"/>
              </w:rPr>
              <w:t>The parameter</w:t>
            </w:r>
            <w:r>
              <w:rPr>
                <w:position w:val="-10"/>
                <w:szCs w:val="18"/>
              </w:rPr>
              <w:object>
                <v:shape id="_x0000_i1107" o:spt="75" type="#_x0000_t75" style="height:17.45pt;width:24pt;" o:ole="t" filled="f" o:preferrelative="t" stroked="f" coordsize="21600,21600">
                  <v:path/>
                  <v:fill on="f" focussize="0,0"/>
                  <v:stroke on="f" joinstyle="miter"/>
                  <v:imagedata r:id="rId155" o:title=""/>
                  <o:lock v:ext="edit" aspectratio="t"/>
                  <w10:wrap type="none"/>
                  <w10:anchorlock/>
                </v:shape>
                <o:OLEObject Type="Embed" ProgID="Equation.3" ShapeID="_x0000_i1107" DrawAspect="Content" ObjectID="_1468075807" r:id="rId154">
                  <o:LockedField>false</o:LockedField>
                </o:OLEObject>
              </w:object>
            </w:r>
            <w:r>
              <w:rPr>
                <w:szCs w:val="18"/>
              </w:rPr>
              <w:t>is used to scale the power of PDSCH.</w:t>
            </w:r>
          </w:p>
          <w:p>
            <w:pPr>
              <w:pStyle w:val="118"/>
              <w:rPr>
                <w:snapToGrid w:val="0"/>
              </w:rPr>
            </w:pPr>
            <w:r>
              <w:t>Note 2:</w:t>
            </w:r>
            <w:r>
              <w:tab/>
            </w:r>
            <w:r>
              <w:t>If two or more transmit antennas with CRS are used in the test, the OCNG shall be transmitted to the virtual users by all the transmit antennas with CRS according to transmission mode 2. The parameter</w:t>
            </w:r>
            <w:r>
              <w:rPr>
                <w:position w:val="-10"/>
              </w:rPr>
              <w:object>
                <v:shape id="_x0000_i1108" o:spt="75" type="#_x0000_t75" style="height:17.45pt;width:24pt;" o:ole="t" filled="f" o:preferrelative="t" stroked="f" coordsize="21600,21600">
                  <v:path/>
                  <v:fill on="f" focussize="0,0"/>
                  <v:stroke on="f" joinstyle="miter"/>
                  <v:imagedata r:id="rId155" o:title=""/>
                  <o:lock v:ext="edit" aspectratio="t"/>
                  <w10:wrap type="none"/>
                  <w10:anchorlock/>
                </v:shape>
                <o:OLEObject Type="Embed" ProgID="Equation.3" ShapeID="_x0000_i1108" DrawAspect="Content" ObjectID="_1468075808" r:id="rId156">
                  <o:LockedField>false</o:LockedField>
                </o:OLEObject>
              </w:object>
            </w:r>
            <w:r>
              <w:t xml:space="preserve"> applies to each antenna port separately, so the transmit power is equal between all the transmit antennas with CRS used in the test. The antenna transmission modes are specified in section 7.1 in 3GPP TS 36.213.</w:t>
            </w:r>
          </w:p>
        </w:tc>
      </w:tr>
    </w:tbl>
    <w:p>
      <w:pPr>
        <w:rPr>
          <w:snapToGrid w:val="0"/>
          <w:lang w:val="en-US" w:eastAsia="zh-TW"/>
        </w:rPr>
      </w:pPr>
      <w:bookmarkStart w:id="1058" w:name="_Toc137386469"/>
      <w:bookmarkStart w:id="1059" w:name="_Toc137401355"/>
      <w:bookmarkStart w:id="1060" w:name="_Toc138894879"/>
    </w:p>
    <w:p>
      <w:pPr>
        <w:pStyle w:val="5"/>
        <w:rPr>
          <w:snapToGrid w:val="0"/>
          <w:lang w:val="en-US" w:eastAsia="zh-CN"/>
        </w:rPr>
      </w:pPr>
      <w:bookmarkStart w:id="1061" w:name="_Toc17740"/>
      <w:r>
        <w:rPr>
          <w:snapToGrid w:val="0"/>
          <w:lang w:val="en-US" w:eastAsia="zh-TW"/>
        </w:rPr>
        <w:t>A</w:t>
      </w:r>
      <w:r>
        <w:rPr>
          <w:snapToGrid w:val="0"/>
          <w:lang w:val="en-US"/>
        </w:rPr>
        <w:t>.</w:t>
      </w:r>
      <w:r>
        <w:rPr>
          <w:rFonts w:eastAsia="宋体"/>
          <w:snapToGrid w:val="0"/>
          <w:lang w:val="en-US" w:eastAsia="zh-CN"/>
        </w:rPr>
        <w:t>5</w:t>
      </w:r>
      <w:r>
        <w:rPr>
          <w:snapToGrid w:val="0"/>
          <w:lang w:val="en-US"/>
        </w:rPr>
        <w:t>.</w:t>
      </w:r>
      <w:r>
        <w:rPr>
          <w:rFonts w:eastAsia="宋体"/>
          <w:snapToGrid w:val="0"/>
          <w:lang w:val="en-US" w:eastAsia="zh-CN"/>
        </w:rPr>
        <w:t>1</w:t>
      </w:r>
      <w:r>
        <w:rPr>
          <w:snapToGrid w:val="0"/>
          <w:lang w:val="en-US"/>
        </w:rPr>
        <w:t>.</w:t>
      </w:r>
      <w:r>
        <w:rPr>
          <w:snapToGrid w:val="0"/>
          <w:lang w:val="en-US" w:eastAsia="zh-CN"/>
        </w:rPr>
        <w:t>2</w:t>
      </w:r>
      <w:r>
        <w:rPr>
          <w:snapToGrid w:val="0"/>
          <w:lang w:val="en-US"/>
        </w:rPr>
        <w:tab/>
      </w:r>
      <w:r>
        <w:t xml:space="preserve">OCNG FDD Pattern </w:t>
      </w:r>
      <w:r>
        <w:rPr>
          <w:rFonts w:eastAsia="宋体"/>
          <w:lang w:val="en-US" w:eastAsia="zh-CN"/>
        </w:rPr>
        <w:t>2</w:t>
      </w:r>
      <w:r>
        <w:t>: Two sided dynamic OCNG FDD pattern</w:t>
      </w:r>
      <w:bookmarkEnd w:id="1058"/>
      <w:bookmarkEnd w:id="1059"/>
      <w:bookmarkEnd w:id="1060"/>
      <w:bookmarkEnd w:id="1061"/>
    </w:p>
    <w:p>
      <w:pPr>
        <w:spacing w:before="182"/>
        <w:ind w:right="512"/>
        <w:rPr>
          <w:spacing w:val="-5"/>
          <w:position w:val="1"/>
          <w:sz w:val="18"/>
        </w:rPr>
      </w:pPr>
      <w:r>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sz w:val="18"/>
        </w:rPr>
        <w:t>.</w:t>
      </w:r>
    </w:p>
    <w:p>
      <w:pPr>
        <w:pStyle w:val="113"/>
        <w:rPr>
          <w:sz w:val="15"/>
        </w:rPr>
      </w:pPr>
      <w:r>
        <w:t>Table</w:t>
      </w:r>
      <w:r>
        <w:rPr>
          <w:spacing w:val="-6"/>
        </w:rPr>
        <w:t xml:space="preserve"> </w:t>
      </w:r>
      <w:r>
        <w:t>A.</w:t>
      </w:r>
      <w:r>
        <w:rPr>
          <w:rFonts w:eastAsia="宋体"/>
          <w:lang w:val="en-US" w:eastAsia="zh-CN"/>
        </w:rPr>
        <w:t>5</w:t>
      </w:r>
      <w:r>
        <w:t>.</w:t>
      </w:r>
      <w:r>
        <w:rPr>
          <w:rFonts w:eastAsia="宋体"/>
          <w:lang w:val="en-US" w:eastAsia="zh-CN"/>
        </w:rPr>
        <w:t>1</w:t>
      </w:r>
      <w:r>
        <w:t>.</w:t>
      </w:r>
      <w:r>
        <w:rPr>
          <w:rFonts w:eastAsia="宋体"/>
          <w:lang w:val="en-US" w:eastAsia="zh-CN"/>
        </w:rPr>
        <w:t>2</w:t>
      </w:r>
      <w:r>
        <w:t>-1:</w:t>
      </w:r>
      <w:r>
        <w:rPr>
          <w:spacing w:val="-6"/>
        </w:rPr>
        <w:t xml:space="preserve"> </w:t>
      </w:r>
      <w:r>
        <w:t>OP.1</w:t>
      </w:r>
      <w:r>
        <w:rPr>
          <w:spacing w:val="-5"/>
        </w:rPr>
        <w:t xml:space="preserve"> </w:t>
      </w:r>
      <w:r>
        <w:t>FDD:</w:t>
      </w:r>
      <w:r>
        <w:rPr>
          <w:spacing w:val="-6"/>
        </w:rPr>
        <w:t xml:space="preserve"> </w:t>
      </w:r>
      <w:r>
        <w:t>Two</w:t>
      </w:r>
      <w:r>
        <w:rPr>
          <w:spacing w:val="-6"/>
        </w:rPr>
        <w:t xml:space="preserve"> </w:t>
      </w:r>
      <w:r>
        <w:t>sided</w:t>
      </w:r>
      <w:r>
        <w:rPr>
          <w:spacing w:val="-6"/>
        </w:rPr>
        <w:t xml:space="preserve"> </w:t>
      </w:r>
      <w:r>
        <w:t>dynamic</w:t>
      </w:r>
      <w:r>
        <w:rPr>
          <w:spacing w:val="-6"/>
        </w:rPr>
        <w:t xml:space="preserve"> </w:t>
      </w:r>
      <w:r>
        <w:t>OCNG</w:t>
      </w:r>
      <w:r>
        <w:rPr>
          <w:spacing w:val="-6"/>
        </w:rPr>
        <w:t xml:space="preserve"> </w:t>
      </w:r>
      <w:r>
        <w:t>FDD</w:t>
      </w:r>
      <w:r>
        <w:rPr>
          <w:spacing w:val="-6"/>
        </w:rPr>
        <w:t xml:space="preserve"> </w:t>
      </w:r>
      <w:r>
        <w:rPr>
          <w:spacing w:val="-2"/>
        </w:rPr>
        <w:t>Pattern</w:t>
      </w:r>
    </w:p>
    <w:tbl>
      <w:tblPr>
        <w:tblStyle w:val="89"/>
        <w:tblW w:w="963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10"/>
        <w:gridCol w:w="2408"/>
        <w:gridCol w:w="2410"/>
        <w:gridCol w:w="240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7" w:hRule="atLeast"/>
          <w:jc w:val="center"/>
        </w:trPr>
        <w:tc>
          <w:tcPr>
            <w:tcW w:w="7228" w:type="dxa"/>
            <w:gridSpan w:val="3"/>
          </w:tcPr>
          <w:p>
            <w:pPr>
              <w:pStyle w:val="104"/>
            </w:pPr>
            <w:r>
              <w:t>Relative</w:t>
            </w:r>
            <w:r>
              <w:rPr>
                <w:spacing w:val="-13"/>
              </w:rPr>
              <w:t xml:space="preserve"> </w:t>
            </w:r>
            <w:r>
              <w:t>power</w:t>
            </w:r>
            <w:r>
              <w:rPr>
                <w:spacing w:val="-7"/>
              </w:rPr>
              <w:t xml:space="preserve"> </w:t>
            </w:r>
            <w:r>
              <w:t>level</w:t>
            </w:r>
            <w:r>
              <w:rPr>
                <w:spacing w:val="41"/>
              </w:rPr>
              <w:t xml:space="preserve"> </w:t>
            </w:r>
            <w:r>
              <w:rPr>
                <w:rFonts w:ascii="Symbol" w:hAnsi="Symbol"/>
                <w:i/>
                <w:sz w:val="25"/>
              </w:rPr>
              <w:t></w:t>
            </w:r>
            <w:r>
              <w:rPr>
                <w:spacing w:val="-20"/>
                <w:sz w:val="25"/>
              </w:rPr>
              <w:t xml:space="preserve"> </w:t>
            </w:r>
            <w:r>
              <w:rPr>
                <w:i/>
                <w:sz w:val="25"/>
                <w:vertAlign w:val="subscript"/>
              </w:rPr>
              <w:t>PRB</w:t>
            </w:r>
            <w:r>
              <w:rPr>
                <w:i/>
                <w:spacing w:val="50"/>
                <w:sz w:val="25"/>
              </w:rPr>
              <w:t xml:space="preserve"> </w:t>
            </w:r>
            <w:r>
              <w:rPr>
                <w:spacing w:val="-4"/>
              </w:rPr>
              <w:t>[dB]</w:t>
            </w:r>
          </w:p>
        </w:tc>
        <w:tc>
          <w:tcPr>
            <w:tcW w:w="2405" w:type="dxa"/>
            <w:vMerge w:val="restart"/>
          </w:tcPr>
          <w:p>
            <w:pPr>
              <w:pStyle w:val="104"/>
            </w:pPr>
          </w:p>
          <w:p>
            <w:pPr>
              <w:pStyle w:val="104"/>
            </w:pPr>
          </w:p>
          <w:p>
            <w:pPr>
              <w:pStyle w:val="104"/>
            </w:pPr>
          </w:p>
          <w:p>
            <w:pPr>
              <w:pStyle w:val="104"/>
            </w:pPr>
          </w:p>
          <w:p>
            <w:pPr>
              <w:pStyle w:val="104"/>
            </w:pPr>
            <w:r>
              <w:t>PDSCH</w:t>
            </w:r>
            <w:r>
              <w:rPr>
                <w:spacing w:val="-6"/>
              </w:rPr>
              <w:t xml:space="preserve"> </w:t>
            </w:r>
            <w:r>
              <w:rPr>
                <w:spacing w:val="-4"/>
              </w:rPr>
              <w:t>Data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7228" w:type="dxa"/>
            <w:gridSpan w:val="3"/>
          </w:tcPr>
          <w:p>
            <w:pPr>
              <w:pStyle w:val="104"/>
            </w:pPr>
            <w:r>
              <w:rPr>
                <w:spacing w:val="-2"/>
              </w:rPr>
              <w:t>Subframe</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2410" w:type="dxa"/>
          </w:tcPr>
          <w:p>
            <w:pPr>
              <w:pStyle w:val="105"/>
            </w:pPr>
            <w:r>
              <w:t>0</w:t>
            </w:r>
          </w:p>
        </w:tc>
        <w:tc>
          <w:tcPr>
            <w:tcW w:w="2408" w:type="dxa"/>
          </w:tcPr>
          <w:p>
            <w:pPr>
              <w:pStyle w:val="105"/>
            </w:pPr>
            <w:r>
              <w:t>5</w:t>
            </w:r>
          </w:p>
        </w:tc>
        <w:tc>
          <w:tcPr>
            <w:tcW w:w="2410" w:type="dxa"/>
          </w:tcPr>
          <w:p>
            <w:pPr>
              <w:pStyle w:val="105"/>
            </w:pPr>
            <w:r>
              <w:t>1 – 4,</w:t>
            </w:r>
            <w:r>
              <w:rPr>
                <w:spacing w:val="-2"/>
              </w:rPr>
              <w:t xml:space="preserve"> </w:t>
            </w:r>
            <w:r>
              <w:t>6 –</w:t>
            </w:r>
            <w:r>
              <w:rPr>
                <w:spacing w:val="-2"/>
              </w:rPr>
              <w:t xml:space="preserve"> </w:t>
            </w:r>
            <w:r>
              <w:rPr>
                <w:spacing w:val="-10"/>
              </w:rPr>
              <w:t>9</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8" w:hRule="atLeast"/>
          <w:jc w:val="center"/>
        </w:trPr>
        <w:tc>
          <w:tcPr>
            <w:tcW w:w="7228" w:type="dxa"/>
            <w:gridSpan w:val="3"/>
          </w:tcPr>
          <w:p>
            <w:pPr>
              <w:pStyle w:val="104"/>
            </w:pPr>
            <w:r>
              <w:t>Allocation</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0" w:hRule="atLeast"/>
          <w:jc w:val="center"/>
        </w:trPr>
        <w:tc>
          <w:tcPr>
            <w:tcW w:w="2410"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8"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10" w:type="dxa"/>
          </w:tcPr>
          <w:p>
            <w:pPr>
              <w:pStyle w:val="105"/>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pPr>
              <w:pStyle w:val="105"/>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pPr>
              <w:pStyle w:val="105"/>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5" w:type="dxa"/>
            <w:vMerge w:val="continue"/>
            <w:tcBorders>
              <w:top w:val="nil"/>
            </w:tcBorders>
          </w:tcPr>
          <w:p>
            <w:pPr>
              <w:rPr>
                <w:sz w:val="2"/>
                <w:szCs w:val="2"/>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5" w:hRule="atLeast"/>
          <w:jc w:val="center"/>
        </w:trPr>
        <w:tc>
          <w:tcPr>
            <w:tcW w:w="2410" w:type="dxa"/>
          </w:tcPr>
          <w:p>
            <w:pPr>
              <w:pStyle w:val="105"/>
            </w:pPr>
            <w:r>
              <w:t>0</w:t>
            </w:r>
          </w:p>
        </w:tc>
        <w:tc>
          <w:tcPr>
            <w:tcW w:w="2408" w:type="dxa"/>
          </w:tcPr>
          <w:p>
            <w:pPr>
              <w:pStyle w:val="105"/>
            </w:pPr>
            <w:r>
              <w:t>0</w:t>
            </w:r>
          </w:p>
        </w:tc>
        <w:tc>
          <w:tcPr>
            <w:tcW w:w="2410" w:type="dxa"/>
          </w:tcPr>
          <w:p>
            <w:pPr>
              <w:pStyle w:val="105"/>
            </w:pPr>
            <w:r>
              <w:t>0</w:t>
            </w:r>
          </w:p>
        </w:tc>
        <w:tc>
          <w:tcPr>
            <w:tcW w:w="2405" w:type="dxa"/>
          </w:tcPr>
          <w:p>
            <w:pPr>
              <w:pStyle w:val="105"/>
            </w:pPr>
            <w:r>
              <w:t xml:space="preserve">Note </w:t>
            </w:r>
            <w:r>
              <w:rPr>
                <w:spacing w:val="-10"/>
              </w:rPr>
              <w:t>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 w:hRule="atLeast"/>
          <w:jc w:val="center"/>
        </w:trPr>
        <w:tc>
          <w:tcPr>
            <w:tcW w:w="9633" w:type="dxa"/>
            <w:gridSpan w:val="4"/>
          </w:tcPr>
          <w:p>
            <w:pPr>
              <w:pStyle w:val="118"/>
            </w:pPr>
            <w:r>
              <w:t>Note 1:</w:t>
            </w:r>
            <w:r>
              <w:tab/>
            </w:r>
            <w:r>
              <w:t>These physical resource blocks are assigned to an arbitrary number of virtual UEs with one PDSCH per virtual</w:t>
            </w:r>
            <w:r>
              <w:rPr>
                <w:spacing w:val="-3"/>
              </w:rPr>
              <w:t xml:space="preserve"> </w:t>
            </w:r>
            <w:r>
              <w:t>UE;</w:t>
            </w:r>
            <w:r>
              <w:rPr>
                <w:spacing w:val="-2"/>
              </w:rPr>
              <w:t xml:space="preserve"> </w:t>
            </w:r>
            <w:r>
              <w:t>the</w:t>
            </w:r>
            <w:r>
              <w:rPr>
                <w:spacing w:val="-3"/>
              </w:rPr>
              <w:t xml:space="preserve"> </w:t>
            </w:r>
            <w:r>
              <w:t>data</w:t>
            </w:r>
            <w:r>
              <w:rPr>
                <w:spacing w:val="-3"/>
              </w:rPr>
              <w:t xml:space="preserve"> </w:t>
            </w:r>
            <w:r>
              <w:t>transmitted</w:t>
            </w:r>
            <w:r>
              <w:rPr>
                <w:spacing w:val="-3"/>
              </w:rPr>
              <w:t xml:space="preserve"> </w:t>
            </w:r>
            <w:r>
              <w:t>over</w:t>
            </w:r>
            <w:r>
              <w:rPr>
                <w:spacing w:val="-3"/>
              </w:rPr>
              <w:t xml:space="preserve"> </w:t>
            </w:r>
            <w:r>
              <w:t>the</w:t>
            </w:r>
            <w:r>
              <w:rPr>
                <w:spacing w:val="-5"/>
              </w:rPr>
              <w:t xml:space="preserve"> </w:t>
            </w:r>
            <w:r>
              <w:t>OCNG</w:t>
            </w:r>
            <w:r>
              <w:rPr>
                <w:spacing w:val="-4"/>
              </w:rPr>
              <w:t xml:space="preserve"> </w:t>
            </w:r>
            <w:r>
              <w:t>PDSCHs</w:t>
            </w:r>
            <w:r>
              <w:rPr>
                <w:spacing w:val="-2"/>
              </w:rPr>
              <w:t xml:space="preserve"> </w:t>
            </w:r>
            <w:r>
              <w:t>shall</w:t>
            </w:r>
            <w:r>
              <w:rPr>
                <w:spacing w:val="-3"/>
              </w:rPr>
              <w:t xml:space="preserve"> </w:t>
            </w:r>
            <w:r>
              <w:t>be</w:t>
            </w:r>
            <w:r>
              <w:rPr>
                <w:spacing w:val="-3"/>
              </w:rPr>
              <w:t xml:space="preserve"> </w:t>
            </w:r>
            <w:r>
              <w:t>uncorrelated</w:t>
            </w:r>
            <w:r>
              <w:rPr>
                <w:spacing w:val="-3"/>
              </w:rPr>
              <w:t xml:space="preserve"> </w:t>
            </w:r>
            <w:r>
              <w:t>pseudo</w:t>
            </w:r>
            <w:r>
              <w:rPr>
                <w:spacing w:val="-3"/>
              </w:rPr>
              <w:t xml:space="preserve"> </w:t>
            </w:r>
            <w:r>
              <w:t>random</w:t>
            </w:r>
            <w:r>
              <w:rPr>
                <w:spacing w:val="-5"/>
              </w:rPr>
              <w:t xml:space="preserve"> </w:t>
            </w:r>
            <w:r>
              <w:t>data,</w:t>
            </w:r>
            <w:r>
              <w:rPr>
                <w:spacing w:val="-5"/>
              </w:rPr>
              <w:t xml:space="preserve"> </w:t>
            </w:r>
            <w:r>
              <w:t>which is QPSK modulated. The parameter</w:t>
            </w:r>
            <w:r>
              <w:rPr>
                <w:spacing w:val="-29"/>
              </w:rPr>
              <w:t xml:space="preserve"> </w:t>
            </w:r>
            <w:r>
              <w:rPr>
                <w:rFonts w:ascii="Symbol" w:hAnsi="Symbol"/>
                <w:i/>
                <w:sz w:val="25"/>
              </w:rPr>
              <w:t></w:t>
            </w:r>
            <w:r>
              <w:rPr>
                <w:spacing w:val="-14"/>
                <w:sz w:val="25"/>
              </w:rPr>
              <w:t xml:space="preserve"> </w:t>
            </w:r>
            <w:r>
              <w:rPr>
                <w:i/>
                <w:sz w:val="25"/>
                <w:vertAlign w:val="subscript"/>
              </w:rPr>
              <w:t>PRB</w:t>
            </w:r>
            <w:r>
              <w:rPr>
                <w:i/>
                <w:spacing w:val="-11"/>
                <w:sz w:val="25"/>
              </w:rPr>
              <w:t xml:space="preserve"> </w:t>
            </w:r>
            <w:r>
              <w:t>is used to scale the power of PDSCH.</w:t>
            </w:r>
          </w:p>
        </w:tc>
      </w:tr>
    </w:tbl>
    <w:p/>
    <w:p>
      <w:pPr>
        <w:pStyle w:val="4"/>
        <w:rPr>
          <w:rFonts w:eastAsia="宋体"/>
          <w:lang w:val="en-US" w:eastAsia="zh-CN"/>
        </w:rPr>
      </w:pPr>
      <w:bookmarkStart w:id="1062" w:name="_Toc23427"/>
      <w:r>
        <w:t>A.5.2</w:t>
      </w:r>
      <w:r>
        <w:tab/>
      </w:r>
      <w:r>
        <w:rPr>
          <w:rFonts w:hint="eastAsia" w:eastAsia="宋体"/>
          <w:lang w:val="en-US" w:eastAsia="zh-CN"/>
        </w:rPr>
        <w:t>FFS</w:t>
      </w:r>
      <w:bookmarkEnd w:id="1062"/>
    </w:p>
    <w:p/>
    <w:p>
      <w:pPr>
        <w:pStyle w:val="4"/>
        <w:ind w:left="0" w:firstLine="0"/>
        <w:rPr>
          <w:lang w:eastAsia="zh-CN"/>
        </w:rPr>
      </w:pPr>
      <w:bookmarkStart w:id="1063" w:name="_Toc2681"/>
      <w:r>
        <w:t>A.5.3</w:t>
      </w:r>
      <w:r>
        <w:tab/>
      </w:r>
      <w:r>
        <w:t xml:space="preserve">OCNG Patterns for </w:t>
      </w:r>
      <w:r>
        <w:rPr>
          <w:lang w:eastAsia="zh-CN"/>
        </w:rPr>
        <w:t>Narrowband IoT</w:t>
      </w:r>
      <w:bookmarkEnd w:id="1063"/>
    </w:p>
    <w:p>
      <w:pPr>
        <w:rPr>
          <w:lang w:eastAsia="zh-CN"/>
        </w:rPr>
      </w:pPr>
      <w:r>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pPr>
        <w:rPr>
          <w:lang w:eastAsia="zh-CN"/>
        </w:rPr>
      </w:pPr>
      <w:r>
        <w:rPr>
          <w:lang w:eastAsia="zh-CN"/>
        </w:rPr>
        <w:t>In each test case the OCNG is expressed by parameters OCNG_RA and OCNG_RB which together with a relative power level (</w:t>
      </w:r>
      <w:r>
        <w:rPr>
          <w:position w:val="-10"/>
          <w:lang w:eastAsia="zh-CN"/>
        </w:rPr>
        <w:object>
          <v:shape id="_x0000_i1109" o:spt="75" type="#_x0000_t75" style="height:13.1pt;width:9.8pt;" o:ole="t" filled="f" o:preferrelative="t" stroked="f" coordsize="21600,21600">
            <v:path/>
            <v:fill on="f" focussize="0,0"/>
            <v:stroke on="f" joinstyle="miter"/>
            <v:imagedata r:id="rId145" o:title=""/>
            <o:lock v:ext="edit" aspectratio="t"/>
            <w10:wrap type="none"/>
            <w10:anchorlock/>
          </v:shape>
          <o:OLEObject Type="Embed" ProgID="Equation.3" ShapeID="_x0000_i1109" DrawAspect="Content" ObjectID="_1468075809" r:id="rId157">
            <o:LockedField>false</o:LockedField>
          </o:OLEObject>
        </w:object>
      </w:r>
      <w:r>
        <w:rPr>
          <w:lang w:eastAsia="zh-CN"/>
        </w:rPr>
        <w:t>) specifies the NPDSCH EPRE-to-NRS EPRE ratios in OFDM symbols with and without Narrowband reference symbols, respectively. The relative power, which is used for modelling boosting per virtual UE allocation, is expressed by:</w:t>
      </w:r>
    </w:p>
    <w:p>
      <w:pPr>
        <w:pStyle w:val="95"/>
        <w:jc w:val="center"/>
      </w:pPr>
      <w:r>
        <w:rPr>
          <w:position w:val="-12"/>
        </w:rPr>
        <w:object>
          <v:shape id="_x0000_i1110" o:spt="75" type="#_x0000_t75" style="height:19.1pt;width:325.1pt;" o:ole="t" filled="f" o:preferrelative="t" stroked="f" coordsize="21600,21600">
            <v:path/>
            <v:fill on="f" focussize="0,0"/>
            <v:stroke on="f" joinstyle="miter"/>
            <v:imagedata r:id="rId159" o:title=""/>
            <o:lock v:ext="edit" aspectratio="t"/>
            <w10:wrap type="none"/>
            <w10:anchorlock/>
          </v:shape>
          <o:OLEObject Type="Embed" ProgID="Equation.DSMT4" ShapeID="_x0000_i1110" DrawAspect="Content" ObjectID="_1468075810" r:id="rId158">
            <o:LockedField>false</o:LockedField>
          </o:OLEObject>
        </w:object>
      </w:r>
    </w:p>
    <w:p>
      <w:pPr>
        <w:rPr>
          <w:lang w:eastAsia="zh-CN"/>
        </w:rPr>
      </w:pPr>
      <w:r>
        <w:rPr>
          <w:lang w:eastAsia="zh-CN"/>
        </w:rPr>
        <w:t xml:space="preserve">where </w:t>
      </w:r>
      <w:r>
        <w:rPr>
          <w:position w:val="-12"/>
          <w:lang w:eastAsia="zh-CN"/>
        </w:rPr>
        <w:object>
          <v:shape id="_x0000_i1111" o:spt="75" type="#_x0000_t75" style="height:19.1pt;width:12pt;" o:ole="t" filled="f" o:preferrelative="t" stroked="f" coordsize="21600,21600">
            <v:path/>
            <v:fill on="f" focussize="0,0"/>
            <v:stroke on="f" joinstyle="miter"/>
            <v:imagedata r:id="rId149" o:title=""/>
            <o:lock v:ext="edit" aspectratio="t"/>
            <w10:wrap type="none"/>
            <w10:anchorlock/>
          </v:shape>
          <o:OLEObject Type="Embed" ProgID="Equation.3" ShapeID="_x0000_i1111" DrawAspect="Content" ObjectID="_1468075811" r:id="rId160">
            <o:LockedField>false</o:LockedField>
          </o:OLEObject>
        </w:object>
      </w:r>
      <w:r>
        <w:rPr>
          <w:lang w:eastAsia="zh-CN"/>
        </w:rPr>
        <w:t xml:space="preserve"> denotes the relative power level of the </w:t>
      </w:r>
      <w:r>
        <w:rPr>
          <w:i/>
          <w:iCs/>
          <w:lang w:eastAsia="zh-CN"/>
        </w:rPr>
        <w:t xml:space="preserve">i:th </w:t>
      </w:r>
      <w:r>
        <w:rPr>
          <w:lang w:eastAsia="zh-CN"/>
        </w:rPr>
        <w:t xml:space="preserve">virtual UE. The parameter settings of OCNG_RA, OCNG_RB, and the set of relative power levels </w:t>
      </w:r>
      <w:r>
        <w:rPr>
          <w:position w:val="-10"/>
          <w:lang w:eastAsia="zh-CN"/>
        </w:rPr>
        <w:object>
          <v:shape id="_x0000_i1112" o:spt="75" type="#_x0000_t75" style="height:13.1pt;width:9.8pt;" o:ole="t" filled="f" o:preferrelative="t" stroked="f" coordsize="21600,21600">
            <v:path/>
            <v:fill on="f" focussize="0,0"/>
            <v:stroke on="f" joinstyle="miter"/>
            <v:imagedata r:id="rId151" o:title=""/>
            <o:lock v:ext="edit" aspectratio="t"/>
            <w10:wrap type="none"/>
            <w10:anchorlock/>
          </v:shape>
          <o:OLEObject Type="Embed" ProgID="Equation.3" ShapeID="_x0000_i1112" DrawAspect="Content" ObjectID="_1468075812" r:id="rId161">
            <o:LockedField>false</o:LockedField>
          </o:OLEObject>
        </w:object>
      </w:r>
      <w:r>
        <w:rPr>
          <w:lang w:eastAsia="zh-CN"/>
        </w:rPr>
        <w:t>are chosen such that when also taking allocations to the UE under test into account, as given by a NPDSCH or NPDCCH reference channel, a transmitted power spectral density that is constant on an OFDM symbol basis is targeted.</w:t>
      </w:r>
    </w:p>
    <w:p>
      <w:pPr>
        <w:pStyle w:val="5"/>
        <w:ind w:hanging="566"/>
        <w:rPr>
          <w:snapToGrid w:val="0"/>
          <w:lang w:eastAsia="zh-CN"/>
        </w:rPr>
      </w:pPr>
      <w:bookmarkStart w:id="1064" w:name="_Toc21044"/>
      <w:r>
        <w:rPr>
          <w:snapToGrid w:val="0"/>
        </w:rPr>
        <w:t>A.5.</w:t>
      </w:r>
      <w:r>
        <w:rPr>
          <w:snapToGrid w:val="0"/>
          <w:lang w:eastAsia="zh-CN"/>
        </w:rPr>
        <w:t>3</w:t>
      </w:r>
      <w:r>
        <w:rPr>
          <w:snapToGrid w:val="0"/>
        </w:rPr>
        <w:t>.1</w:t>
      </w:r>
      <w:r>
        <w:rPr>
          <w:snapToGrid w:val="0"/>
        </w:rPr>
        <w:tab/>
      </w:r>
      <w:r>
        <w:rPr>
          <w:lang w:eastAsia="zh-CN"/>
        </w:rPr>
        <w:t>Narrowband IoT</w:t>
      </w:r>
      <w:r>
        <w:rPr>
          <w:snapToGrid w:val="0"/>
        </w:rPr>
        <w:t xml:space="preserve"> OCNG pattern 1</w:t>
      </w:r>
      <w:bookmarkEnd w:id="1064"/>
    </w:p>
    <w:p>
      <w:pPr>
        <w:pStyle w:val="113"/>
        <w:rPr>
          <w:lang w:eastAsia="zh-CN"/>
        </w:rPr>
      </w:pPr>
      <w:r>
        <w:t>Table A.5.</w:t>
      </w:r>
      <w:r>
        <w:rPr>
          <w:lang w:eastAsia="zh-CN"/>
        </w:rPr>
        <w:t>3</w:t>
      </w:r>
      <w:r>
        <w:t xml:space="preserve">.1-1: </w:t>
      </w:r>
      <w:r>
        <w:rPr>
          <w:lang w:eastAsia="zh-CN"/>
        </w:rPr>
        <w:t>NB.</w:t>
      </w:r>
      <w:r>
        <w:t xml:space="preserve">OP.1 </w:t>
      </w:r>
      <w:r>
        <w:rPr>
          <w:lang w:eastAsia="zh-CN"/>
        </w:rPr>
        <w:t>F</w:t>
      </w:r>
      <w:r>
        <w:t xml:space="preserve">DD: </w:t>
      </w:r>
      <w:r>
        <w:rPr>
          <w:lang w:eastAsia="zh-CN"/>
        </w:rPr>
        <w:t>OCNG FDD Pattern 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13"/>
        <w:gridCol w:w="4591"/>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3"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Bandwidth</w:t>
            </w:r>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 xml:space="preserve">Relative power level </w:t>
            </w:r>
            <w:r>
              <w:rPr>
                <w:rFonts w:cs="Arial"/>
                <w:position w:val="-10"/>
                <w:lang w:eastAsia="zh-CN"/>
              </w:rPr>
              <w:object>
                <v:shape id="_x0000_i1113" o:spt="75" type="#_x0000_t75" style="height:13.1pt;width:9.8pt;" o:ole="t" filled="f" o:preferrelative="t" stroked="f" coordsize="21600,21600">
                  <v:path/>
                  <v:fill on="f" focussize="0,0"/>
                  <v:stroke on="f" joinstyle="miter"/>
                  <v:imagedata r:id="rId163" o:title=""/>
                  <o:lock v:ext="edit" aspectratio="t"/>
                  <w10:wrap type="none"/>
                  <w10:anchorlock/>
                </v:shape>
                <o:OLEObject Type="Embed" ProgID="Equation.DSMT4" ShapeID="_x0000_i1113" DrawAspect="Content" ObjectID="_1468075813" r:id="rId162">
                  <o:LockedField>false</o:LockedField>
                </o:OLEObject>
              </w:object>
            </w:r>
            <w:r>
              <w:rPr>
                <w:rFonts w:cs="Arial"/>
                <w:lang w:eastAsia="zh-CN"/>
              </w:rPr>
              <w:t xml:space="preserve"> [dB]</w:t>
            </w:r>
          </w:p>
        </w:tc>
        <w:tc>
          <w:tcPr>
            <w:tcW w:w="1842" w:type="dxa"/>
            <w:vMerge w:val="restart"/>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NPDCCH and corresponding NPDSCH</w:t>
            </w:r>
          </w:p>
          <w:p>
            <w:pPr>
              <w:pStyle w:val="104"/>
              <w:rPr>
                <w:rFonts w:cs="Arial"/>
                <w:lang w:eastAsia="zh-CN"/>
              </w:rPr>
            </w:pPr>
            <w:r>
              <w:rPr>
                <w:rFonts w:cs="Arial"/>
                <w:lang w:eastAsia="zh-CN"/>
              </w:rPr>
              <w:t>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4"/>
              <w:rPr>
                <w:rFonts w:cs="Arial"/>
                <w:lang w:eastAsia="zh-CN"/>
              </w:rPr>
            </w:pPr>
            <w:r>
              <w:rPr>
                <w:rFonts w:cs="Arial"/>
                <w:lang w:eastAsia="zh-CN"/>
              </w:rPr>
              <w:t>Subframe</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lang w:eastAsia="zh-CN"/>
              </w:rPr>
            </w:pPr>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Unused subframes</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rPr>
                <w:rFonts w:ascii="Arial" w:hAnsi="Arial" w:cs="Arial"/>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3"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200KHz</w:t>
            </w:r>
          </w:p>
        </w:tc>
        <w:tc>
          <w:tcPr>
            <w:tcW w:w="4591"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0</w:t>
            </w:r>
          </w:p>
        </w:tc>
        <w:tc>
          <w:tcPr>
            <w:tcW w:w="1842" w:type="dxa"/>
            <w:tcBorders>
              <w:top w:val="single" w:color="auto" w:sz="4" w:space="0"/>
              <w:left w:val="single" w:color="auto" w:sz="4" w:space="0"/>
              <w:bottom w:val="single" w:color="auto" w:sz="4" w:space="0"/>
              <w:right w:val="single" w:color="auto" w:sz="4" w:space="0"/>
            </w:tcBorders>
            <w:vAlign w:val="center"/>
          </w:tcPr>
          <w:p>
            <w:pPr>
              <w:pStyle w:val="105"/>
              <w:rPr>
                <w:rFonts w:cs="Arial"/>
              </w:rPr>
            </w:pPr>
            <w:r>
              <w:rPr>
                <w:rFonts w:cs="Arial"/>
              </w:rPr>
              <w:t>Note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46" w:type="dxa"/>
            <w:gridSpan w:val="3"/>
            <w:tcBorders>
              <w:top w:val="single" w:color="auto" w:sz="4" w:space="0"/>
              <w:left w:val="single" w:color="auto" w:sz="4" w:space="0"/>
              <w:bottom w:val="single" w:color="auto" w:sz="4" w:space="0"/>
              <w:right w:val="single" w:color="auto" w:sz="4" w:space="0"/>
            </w:tcBorders>
            <w:vAlign w:val="center"/>
          </w:tcPr>
          <w:p>
            <w:pPr>
              <w:pStyle w:val="118"/>
              <w:rPr>
                <w:rFonts w:cs="Arial"/>
              </w:rPr>
            </w:pPr>
            <w:r>
              <w:rPr>
                <w:rFonts w:cs="Arial"/>
              </w:rPr>
              <w:t>Note 1:</w:t>
            </w:r>
            <w:r>
              <w:rPr>
                <w:rFonts w:cs="Arial"/>
              </w:rPr>
              <w:tab/>
            </w:r>
            <w:r>
              <w:rPr>
                <w:rFonts w:cs="Arial"/>
              </w:rPr>
              <w:t xml:space="preserve">These </w:t>
            </w:r>
            <w:r>
              <w:rPr>
                <w:rFonts w:cs="Arial"/>
                <w:lang w:eastAsia="zh-CN"/>
              </w:rPr>
              <w:t xml:space="preserve">subframes </w:t>
            </w:r>
            <w:r>
              <w:rPr>
                <w:rFonts w:cs="Arial"/>
              </w:rPr>
              <w:t xml:space="preserve">are assigned to an arbitrary number of virtual UEs with one </w:t>
            </w:r>
            <w:r>
              <w:rPr>
                <w:rFonts w:cs="Arial"/>
                <w:lang w:eastAsia="zh-CN"/>
              </w:rPr>
              <w:t>N</w:t>
            </w:r>
            <w:r>
              <w:rPr>
                <w:rFonts w:cs="Arial"/>
              </w:rPr>
              <w:t>PDSCH per virtual UE</w:t>
            </w:r>
            <w:r>
              <w:rPr>
                <w:rFonts w:cs="Arial"/>
                <w:lang w:eastAsia="zh-CN"/>
              </w:rPr>
              <w:t xml:space="preserve"> with corresponding NPDCCH</w:t>
            </w:r>
            <w:r>
              <w:rPr>
                <w:rFonts w:cs="Arial"/>
              </w:rPr>
              <w:t xml:space="preserve">; the data transmitted over the OCNG </w:t>
            </w:r>
            <w:r>
              <w:rPr>
                <w:rFonts w:cs="Arial"/>
                <w:lang w:eastAsia="zh-CN"/>
              </w:rPr>
              <w:t>N</w:t>
            </w:r>
            <w:r>
              <w:rPr>
                <w:rFonts w:cs="Arial"/>
              </w:rPr>
              <w:t>PDSCHs shall be uncorrelated pseudo random data, which is QPSK modulated. The parameter</w:t>
            </w:r>
            <w:r>
              <w:rPr>
                <w:rFonts w:cs="Arial"/>
                <w:position w:val="-10"/>
              </w:rPr>
              <w:object>
                <v:shape id="_x0000_i1114" o:spt="75" type="#_x0000_t75" style="height:13.1pt;width:9.8pt;" o:ole="t" filled="f" o:preferrelative="t" stroked="f" coordsize="21600,21600">
                  <v:path/>
                  <v:fill on="f" focussize="0,0"/>
                  <v:stroke on="f" joinstyle="miter"/>
                  <v:imagedata r:id="rId165" o:title=""/>
                  <o:lock v:ext="edit" aspectratio="t"/>
                  <w10:wrap type="none"/>
                  <w10:anchorlock/>
                </v:shape>
                <o:OLEObject Type="Embed" ProgID="Equation.DSMT4" ShapeID="_x0000_i1114" DrawAspect="Content" ObjectID="_1468075814" r:id="rId164">
                  <o:LockedField>false</o:LockedField>
                </o:OLEObject>
              </w:object>
            </w:r>
            <w:r>
              <w:rPr>
                <w:rFonts w:cs="Arial"/>
              </w:rPr>
              <w:t xml:space="preserve">is used to scale the power of </w:t>
            </w:r>
            <w:r>
              <w:rPr>
                <w:rFonts w:cs="Arial"/>
                <w:lang w:eastAsia="zh-CN"/>
              </w:rPr>
              <w:t>N</w:t>
            </w:r>
            <w:r>
              <w:rPr>
                <w:rFonts w:cs="Arial"/>
              </w:rPr>
              <w:t>PDSCH</w:t>
            </w:r>
            <w:r>
              <w:rPr>
                <w:rFonts w:cs="Arial"/>
                <w:lang w:eastAsia="zh-CN"/>
              </w:rPr>
              <w:t xml:space="preserve"> and NPDCCH</w:t>
            </w:r>
            <w:r>
              <w:rPr>
                <w:rFonts w:cs="Arial"/>
              </w:rPr>
              <w:t>.</w:t>
            </w:r>
          </w:p>
          <w:p>
            <w:pPr>
              <w:pStyle w:val="118"/>
              <w:rPr>
                <w:rFonts w:cs="Arial"/>
                <w:lang w:eastAsia="zh-CN"/>
              </w:rPr>
            </w:pPr>
            <w:r>
              <w:rPr>
                <w:rFonts w:cs="Arial"/>
              </w:rPr>
              <w:t>Note 2:</w:t>
            </w:r>
            <w:r>
              <w:rPr>
                <w:rFonts w:cs="Arial"/>
              </w:rPr>
              <w:tab/>
            </w:r>
            <w:r>
              <w:rPr>
                <w:rFonts w:cs="Arial"/>
              </w:rPr>
              <w:t xml:space="preserve">Subframes </w:t>
            </w:r>
            <w:r>
              <w:rPr>
                <w:rFonts w:cs="Arial"/>
                <w:lang w:eastAsia="zh-CN"/>
              </w:rPr>
              <w:t xml:space="preserve">and/or REs </w:t>
            </w:r>
            <w:r>
              <w:rPr>
                <w:rFonts w:cs="Arial"/>
              </w:rPr>
              <w:t xml:space="preserve">available for </w:t>
            </w:r>
            <w:r>
              <w:rPr>
                <w:rFonts w:cs="Arial"/>
                <w:lang w:eastAsia="zh-CN"/>
              </w:rPr>
              <w:t xml:space="preserve">narrowband IOT </w:t>
            </w:r>
            <w:r>
              <w:rPr>
                <w:rFonts w:cs="Arial"/>
              </w:rPr>
              <w:t xml:space="preserve">DL transmission depend on the </w:t>
            </w:r>
            <w:r>
              <w:rPr>
                <w:rFonts w:cs="Arial"/>
                <w:lang w:eastAsia="zh-CN"/>
              </w:rPr>
              <w:t>in-band, guard band or standalone</w:t>
            </w:r>
            <w:r>
              <w:rPr>
                <w:rFonts w:cs="Arial"/>
              </w:rPr>
              <w:t xml:space="preserve"> </w:t>
            </w:r>
            <w:r>
              <w:rPr>
                <w:rFonts w:cs="Arial"/>
                <w:lang w:eastAsia="zh-CN"/>
              </w:rPr>
              <w:t>mode indicated in MIB, and scheduling delay between NPDCCH, NPDSCH, NPUSCH format 2 and NPDCCH specified in test cases.</w:t>
            </w:r>
          </w:p>
          <w:p>
            <w:pPr>
              <w:pStyle w:val="118"/>
              <w:ind w:left="0" w:firstLine="0"/>
              <w:rPr>
                <w:rFonts w:cs="Arial"/>
              </w:rPr>
            </w:pPr>
          </w:p>
        </w:tc>
      </w:tr>
    </w:tbl>
    <w:p/>
    <w:p>
      <w:pPr>
        <w:pStyle w:val="11"/>
      </w:pPr>
      <w:bookmarkStart w:id="1065" w:name="_Toc16605"/>
      <w:bookmarkStart w:id="1066" w:name="_Toc232582132"/>
      <w:bookmarkStart w:id="1067" w:name="_Toc336620324"/>
      <w:bookmarkStart w:id="1068" w:name="_Toc111062107"/>
      <w:bookmarkStart w:id="1069" w:name="_Toc120570120"/>
      <w:bookmarkStart w:id="1070" w:name="_Toc121162912"/>
      <w:bookmarkStart w:id="1071" w:name="_Toc6558"/>
      <w:bookmarkStart w:id="1072" w:name="_Toc2896"/>
      <w:r>
        <w:t>Annex B (</w:t>
      </w:r>
      <w:r>
        <w:rPr>
          <w:lang w:eastAsia="en-GB"/>
        </w:rPr>
        <w:t>normative</w:t>
      </w:r>
      <w:r>
        <w:t>):</w:t>
      </w:r>
      <w:r>
        <w:br w:type="textWrapping"/>
      </w:r>
      <w:r>
        <w:t>Propagation Conditions</w:t>
      </w:r>
      <w:bookmarkEnd w:id="1065"/>
      <w:bookmarkEnd w:id="1066"/>
    </w:p>
    <w:p>
      <w:pPr>
        <w:rPr>
          <w:lang w:eastAsia="ja-JP"/>
        </w:rPr>
      </w:pPr>
      <w:r>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1073" w:name="_Toc232582133"/>
    </w:p>
    <w:p>
      <w:pPr>
        <w:pStyle w:val="3"/>
      </w:pPr>
      <w:bookmarkStart w:id="1074" w:name="_Toc6215"/>
      <w:r>
        <w:t>B.0</w:t>
      </w:r>
      <w:r>
        <w:tab/>
      </w:r>
      <w:r>
        <w:t>No interference</w:t>
      </w:r>
      <w:bookmarkEnd w:id="1073"/>
      <w:bookmarkEnd w:id="1074"/>
    </w:p>
    <w:p>
      <w:pPr>
        <w:rPr>
          <w:lang w:eastAsia="ja-JP"/>
        </w:rPr>
      </w:pPr>
      <w:r>
        <w:t>The downlink connection between the System Simulator and the UE is without Additive White Gaussian Noise, and has no fading or multipath effects.</w:t>
      </w:r>
    </w:p>
    <w:p>
      <w:pPr>
        <w:pStyle w:val="3"/>
      </w:pPr>
      <w:bookmarkStart w:id="1075" w:name="_Toc2311"/>
      <w:bookmarkStart w:id="1076" w:name="_Toc232582134"/>
      <w:r>
        <w:t>B.1</w:t>
      </w:r>
      <w:r>
        <w:tab/>
      </w:r>
      <w:r>
        <w:t>Static propagation condition</w:t>
      </w:r>
      <w:bookmarkEnd w:id="1075"/>
      <w:bookmarkEnd w:id="1076"/>
    </w:p>
    <w:p>
      <w:r>
        <w:t>The downlink connection between the System Simulator and the UE is an Additive White Gaussian Noise (AWGN) environment (unless otherwise stated) with no fading or multipath effects.</w:t>
      </w:r>
    </w:p>
    <w:p>
      <w:pPr>
        <w:pStyle w:val="4"/>
      </w:pPr>
      <w:bookmarkStart w:id="1077" w:name="_Toc28226"/>
      <w:bookmarkStart w:id="1078" w:name="_Toc232582135"/>
      <w:r>
        <w:t>B.1.1</w:t>
      </w:r>
      <w:r>
        <w:tab/>
      </w:r>
      <w:r>
        <w:t>Definition of Additive White Gaussian Noise (AWGN) Interferer</w:t>
      </w:r>
      <w:bookmarkEnd w:id="1077"/>
      <w:bookmarkEnd w:id="1078"/>
    </w:p>
    <w:p>
      <w:pPr>
        <w:rPr>
          <w:lang w:eastAsia="ja-JP"/>
        </w:rPr>
      </w:pPr>
      <w:r>
        <w:rPr>
          <w:lang w:eastAsia="ja-JP"/>
        </w:rPr>
        <w:t>Note that the AWGN interferer can be used in static propagation conditions, or in conjunction with multi-path fading.</w:t>
      </w:r>
    </w:p>
    <w:p>
      <w:pPr>
        <w:rPr>
          <w:lang w:eastAsia="ja-JP"/>
        </w:rPr>
      </w:pPr>
      <w:r>
        <w:rPr>
          <w:lang w:eastAsia="ja-JP"/>
        </w:rPr>
        <w:t>The acceptable uncertainties of the AWGN interferer are defined in Annex F.</w:t>
      </w:r>
    </w:p>
    <w:p>
      <w:pPr>
        <w:pStyle w:val="3"/>
      </w:pPr>
      <w:bookmarkStart w:id="1079" w:name="_Toc232582136"/>
      <w:bookmarkStart w:id="1080" w:name="_Toc720"/>
      <w:r>
        <w:t>B.2</w:t>
      </w:r>
      <w:r>
        <w:tab/>
      </w:r>
      <w:r>
        <w:t>Multi-path fading Propagation Conditions</w:t>
      </w:r>
      <w:bookmarkEnd w:id="1079"/>
      <w:bookmarkEnd w:id="1080"/>
    </w:p>
    <w:p>
      <w:pPr>
        <w:rPr>
          <w:snapToGrid w:val="0"/>
        </w:rPr>
      </w:pPr>
      <w:r>
        <w:rPr>
          <w:snapToGrid w:val="0"/>
        </w:rPr>
        <w:t>The multipath propagation conditions consist of several parts:</w:t>
      </w:r>
    </w:p>
    <w:p>
      <w:pPr>
        <w:pStyle w:val="111"/>
        <w:rPr>
          <w:snapToGrid w:val="0"/>
        </w:rPr>
      </w:pPr>
      <w:r>
        <w:rPr>
          <w:snapToGrid w:val="0"/>
        </w:rPr>
        <w:t>-</w:t>
      </w:r>
      <w:r>
        <w:rPr>
          <w:snapToGrid w:val="0"/>
        </w:rPr>
        <w:tab/>
      </w:r>
      <w:r>
        <w:rPr>
          <w:snapToGrid w:val="0"/>
        </w:rPr>
        <w:t>A delay profile in the form of a "tapped delay-line", characterized by a number of taps at fixed positions on a sampling grid. The profile can be further characterized by the r.m.s. delay spread and the maximum delay spanned by the taps.</w:t>
      </w:r>
    </w:p>
    <w:p>
      <w:pPr>
        <w:pStyle w:val="111"/>
        <w:rPr>
          <w:snapToGrid w:val="0"/>
        </w:rPr>
      </w:pPr>
      <w:r>
        <w:rPr>
          <w:snapToGrid w:val="0"/>
        </w:rPr>
        <w:t>-</w:t>
      </w:r>
      <w:r>
        <w:rPr>
          <w:snapToGrid w:val="0"/>
        </w:rPr>
        <w:tab/>
      </w:r>
      <w:r>
        <w:rPr>
          <w:snapToGrid w:val="0"/>
        </w:rPr>
        <w:t>A combination of channel model parameters that include the Delay profile and the Doppler spectrum that is characterized by a classical spectrum shape and a maximum Doppler frequency</w:t>
      </w:r>
    </w:p>
    <w:p>
      <w:pPr>
        <w:pStyle w:val="111"/>
        <w:rPr>
          <w:snapToGrid w:val="0"/>
        </w:rPr>
      </w:pPr>
      <w:r>
        <w:rPr>
          <w:snapToGrid w:val="0"/>
        </w:rPr>
        <w:t>-</w:t>
      </w:r>
      <w:r>
        <w:rPr>
          <w:snapToGrid w:val="0"/>
        </w:rPr>
        <w:tab/>
      </w:r>
      <w:r>
        <w:rPr>
          <w:snapToGrid w:val="0"/>
        </w:rPr>
        <w:t>A set of correlation matrices defining the correlation between the UE and eNodeB antennas in case of multi-antenna systems.</w:t>
      </w:r>
    </w:p>
    <w:p>
      <w:pPr>
        <w:pStyle w:val="111"/>
        <w:rPr>
          <w:snapToGrid w:val="0"/>
        </w:rPr>
      </w:pPr>
    </w:p>
    <w:p>
      <w:pPr>
        <w:pStyle w:val="4"/>
        <w:rPr>
          <w:snapToGrid w:val="0"/>
        </w:rPr>
      </w:pPr>
      <w:bookmarkStart w:id="1081" w:name="_Toc232582137"/>
      <w:bookmarkStart w:id="1082" w:name="_Toc30809"/>
      <w:r>
        <w:rPr>
          <w:snapToGrid w:val="0"/>
        </w:rPr>
        <w:t>B.2.1</w:t>
      </w:r>
      <w:r>
        <w:rPr>
          <w:snapToGrid w:val="0"/>
        </w:rPr>
        <w:tab/>
      </w:r>
      <w:r>
        <w:rPr>
          <w:snapToGrid w:val="0"/>
        </w:rPr>
        <w:t>Delay profiles</w:t>
      </w:r>
      <w:bookmarkEnd w:id="1081"/>
      <w:bookmarkEnd w:id="1082"/>
    </w:p>
    <w:p>
      <w:pPr>
        <w:spacing w:before="100" w:beforeAutospacing="1"/>
        <w:rPr>
          <w:rFonts w:eastAsia="宋体"/>
          <w:lang w:val="en-US" w:eastAsia="zh-CN"/>
        </w:rPr>
      </w:pPr>
      <w:r>
        <w:rPr>
          <w:rFonts w:hint="eastAsia" w:eastAsia="宋体"/>
          <w:lang w:val="en-US" w:eastAsia="zh-CN"/>
        </w:rPr>
        <w:t>Th</w:t>
      </w:r>
      <w:r>
        <w:rPr>
          <w:rFonts w:eastAsia="宋体"/>
          <w:lang w:val="en-US" w:eastAsia="zh-CN"/>
        </w:rPr>
        <w:t>e delay profiles are derived from the TR</w:t>
      </w:r>
      <w:r>
        <w:rPr>
          <w:rFonts w:hint="eastAsia" w:eastAsia="宋体"/>
          <w:lang w:val="en-US" w:eastAsia="zh-CN"/>
        </w:rPr>
        <w:t xml:space="preserve"> </w:t>
      </w:r>
      <w:r>
        <w:rPr>
          <w:rFonts w:eastAsia="宋体"/>
          <w:lang w:val="en-US" w:eastAsia="zh-CN"/>
        </w:rPr>
        <w:t xml:space="preserve">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.1-1: Delay profiles for IoT NTN channel models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1445"/>
        <w:gridCol w:w="1350"/>
        <w:gridCol w:w="16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Type</w:t>
            </w:r>
          </w:p>
        </w:tc>
        <w:tc>
          <w:tcPr>
            <w:tcW w:w="1445"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Model</w:t>
            </w:r>
          </w:p>
        </w:tc>
        <w:tc>
          <w:tcPr>
            <w:tcW w:w="1350"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Delay spread (r.m.s.)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hint="eastAsia" w:eastAsia="宋体" w:cs="Arial"/>
                <w:lang w:val="en-US" w:eastAsia="zh-CN"/>
              </w:rPr>
              <w:t>Delay resolution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NLOS</w:t>
            </w:r>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NTN-TDLA100</w:t>
            </w:r>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100 ns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7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LOS</w:t>
            </w:r>
          </w:p>
        </w:tc>
        <w:tc>
          <w:tcPr>
            <w:tcW w:w="144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NTN-TDLC5</w:t>
            </w:r>
          </w:p>
        </w:tc>
        <w:tc>
          <w:tcPr>
            <w:tcW w:w="1350"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5 ns</w:t>
            </w:r>
          </w:p>
        </w:tc>
        <w:tc>
          <w:tcPr>
            <w:tcW w:w="1609"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ns</w:t>
            </w:r>
          </w:p>
        </w:tc>
      </w:tr>
    </w:tbl>
    <w:p>
      <w:pPr>
        <w:rPr>
          <w:rFonts w:eastAsia="宋体"/>
          <w:lang w:val="en-US" w:eastAsia="zh-CN"/>
        </w:rPr>
      </w:pPr>
    </w:p>
    <w:p>
      <w:pPr>
        <w:keepNext/>
        <w:keepLines/>
        <w:widowControl w:val="0"/>
        <w:spacing w:before="60"/>
        <w:jc w:val="center"/>
        <w:rPr>
          <w:rFonts w:ascii="Arial" w:hAnsi="Arial" w:eastAsia="宋体"/>
          <w:b/>
          <w:lang w:val="en-US" w:eastAsia="zh-CN"/>
        </w:rPr>
      </w:pPr>
      <w:r>
        <w:rPr>
          <w:rFonts w:hint="eastAsia" w:ascii="Arial" w:hAnsi="Arial" w:eastAsia="宋体"/>
          <w:b/>
          <w:lang w:val="en-US" w:eastAsia="zh-CN"/>
        </w:rPr>
        <w:t xml:space="preserve">Table </w:t>
      </w:r>
      <w:r>
        <w:rPr>
          <w:rFonts w:ascii="Arial" w:hAnsi="Arial" w:eastAsia="宋体"/>
          <w:b/>
          <w:lang w:val="en-US" w:eastAsia="zh-CN"/>
        </w:rPr>
        <w:t>B.2.1-</w:t>
      </w:r>
      <w:r>
        <w:rPr>
          <w:rFonts w:hint="eastAsia" w:ascii="Arial" w:hAnsi="Arial" w:eastAsia="宋体"/>
          <w:b/>
          <w:lang w:val="en-US" w:eastAsia="zh-CN"/>
        </w:rPr>
        <w:t>2: NTN-TDLA100 (DS = 100 ns)</w:t>
      </w:r>
    </w:p>
    <w:tbl>
      <w:tblPr>
        <w:tblStyle w:val="89"/>
        <w:tblW w:w="49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1080"/>
        <w:gridCol w:w="1233"/>
        <w:gridCol w:w="18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720" w:type="dxa"/>
            <w:shd w:val="clear" w:color="auto" w:fill="auto"/>
            <w:vAlign w:val="center"/>
          </w:tcPr>
          <w:p>
            <w:pPr>
              <w:pStyle w:val="104"/>
              <w:rPr>
                <w:rFonts w:eastAsia="宋体"/>
                <w:lang w:val="en-US" w:eastAsia="zh-CN"/>
              </w:rPr>
            </w:pPr>
            <w:r>
              <w:rPr>
                <w:rFonts w:eastAsia="宋体"/>
                <w:lang w:val="en-US" w:eastAsia="zh-CN"/>
              </w:rPr>
              <w:t>Tap #</w:t>
            </w:r>
          </w:p>
        </w:tc>
        <w:tc>
          <w:tcPr>
            <w:tcW w:w="1080" w:type="dxa"/>
            <w:shd w:val="clear" w:color="auto" w:fill="auto"/>
            <w:vAlign w:val="center"/>
          </w:tcPr>
          <w:p>
            <w:pPr>
              <w:pStyle w:val="104"/>
              <w:rPr>
                <w:rFonts w:eastAsia="宋体"/>
                <w:lang w:val="en-US" w:eastAsia="zh-CN"/>
              </w:rPr>
            </w:pPr>
            <w:r>
              <w:rPr>
                <w:rFonts w:eastAsia="宋体"/>
                <w:lang w:val="en-US" w:eastAsia="zh-CN"/>
              </w:rPr>
              <w:t>Delay [ns]</w:t>
            </w:r>
          </w:p>
        </w:tc>
        <w:tc>
          <w:tcPr>
            <w:tcW w:w="1233" w:type="dxa"/>
            <w:shd w:val="clear" w:color="auto" w:fill="auto"/>
            <w:vAlign w:val="center"/>
          </w:tcPr>
          <w:p>
            <w:pPr>
              <w:pStyle w:val="104"/>
              <w:rPr>
                <w:rFonts w:eastAsia="宋体"/>
                <w:lang w:val="en-US" w:eastAsia="zh-CN"/>
              </w:rPr>
            </w:pPr>
            <w:r>
              <w:rPr>
                <w:rFonts w:eastAsia="宋体"/>
                <w:lang w:val="en-US" w:eastAsia="zh-CN"/>
              </w:rPr>
              <w:t>Power [dB]</w:t>
            </w:r>
          </w:p>
        </w:tc>
        <w:tc>
          <w:tcPr>
            <w:tcW w:w="1883" w:type="dxa"/>
            <w:shd w:val="clear" w:color="auto" w:fill="auto"/>
            <w:vAlign w:val="center"/>
          </w:tcPr>
          <w:p>
            <w:pPr>
              <w:pStyle w:val="104"/>
              <w:rPr>
                <w:rFonts w:eastAsia="宋体"/>
                <w:lang w:val="en-US" w:eastAsia="zh-CN"/>
              </w:rPr>
            </w:pPr>
            <w:r>
              <w:rPr>
                <w:rFonts w:eastAsia="宋体"/>
                <w:lang w:val="en-US" w:eastAsia="zh-CN"/>
              </w:rPr>
              <w:t>Fading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1</w:t>
            </w:r>
          </w:p>
        </w:tc>
        <w:tc>
          <w:tcPr>
            <w:tcW w:w="1080" w:type="dxa"/>
            <w:shd w:val="clear" w:color="auto" w:fill="auto"/>
            <w:vAlign w:val="center"/>
          </w:tcPr>
          <w:p>
            <w:pPr>
              <w:pStyle w:val="105"/>
              <w:rPr>
                <w:rFonts w:eastAsia="宋体"/>
                <w:lang w:val="en-US" w:eastAsia="zh-CN"/>
              </w:rPr>
            </w:pPr>
            <w:r>
              <w:rPr>
                <w:rFonts w:eastAsia="宋体"/>
                <w:lang w:val="en-US" w:eastAsia="zh-CN"/>
              </w:rPr>
              <w:t>0</w:t>
            </w:r>
          </w:p>
        </w:tc>
        <w:tc>
          <w:tcPr>
            <w:tcW w:w="1233" w:type="dxa"/>
            <w:shd w:val="clear" w:color="auto" w:fill="auto"/>
            <w:vAlign w:val="center"/>
          </w:tcPr>
          <w:p>
            <w:pPr>
              <w:pStyle w:val="105"/>
              <w:rPr>
                <w:rFonts w:eastAsia="宋体"/>
                <w:lang w:val="en-US" w:eastAsia="zh-CN"/>
              </w:rPr>
            </w:pPr>
            <w:r>
              <w:rPr>
                <w:rFonts w:eastAsia="宋体"/>
                <w:lang w:val="en-US" w:eastAsia="zh-CN"/>
              </w:rPr>
              <w:t>0</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2</w:t>
            </w:r>
          </w:p>
        </w:tc>
        <w:tc>
          <w:tcPr>
            <w:tcW w:w="1080" w:type="dxa"/>
            <w:shd w:val="clear" w:color="auto" w:fill="auto"/>
            <w:vAlign w:val="center"/>
          </w:tcPr>
          <w:p>
            <w:pPr>
              <w:pStyle w:val="105"/>
              <w:rPr>
                <w:rFonts w:eastAsia="宋体"/>
                <w:lang w:val="en-US" w:eastAsia="zh-CN"/>
              </w:rPr>
            </w:pPr>
            <w:r>
              <w:rPr>
                <w:rFonts w:eastAsia="宋体"/>
                <w:lang w:val="en-US" w:eastAsia="zh-CN"/>
              </w:rPr>
              <w:t>110</w:t>
            </w:r>
          </w:p>
        </w:tc>
        <w:tc>
          <w:tcPr>
            <w:tcW w:w="1233" w:type="dxa"/>
            <w:shd w:val="clear" w:color="auto" w:fill="auto"/>
            <w:vAlign w:val="center"/>
          </w:tcPr>
          <w:p>
            <w:pPr>
              <w:pStyle w:val="105"/>
              <w:rPr>
                <w:rFonts w:eastAsia="宋体"/>
                <w:lang w:val="en-US" w:eastAsia="zh-CN"/>
              </w:rPr>
            </w:pPr>
            <w:r>
              <w:rPr>
                <w:rFonts w:eastAsia="宋体"/>
                <w:lang w:val="en-US" w:eastAsia="zh-CN"/>
              </w:rPr>
              <w:t>-4.7</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720" w:type="dxa"/>
            <w:shd w:val="clear" w:color="auto" w:fill="auto"/>
            <w:vAlign w:val="center"/>
          </w:tcPr>
          <w:p>
            <w:pPr>
              <w:pStyle w:val="105"/>
              <w:rPr>
                <w:rFonts w:eastAsia="宋体"/>
                <w:lang w:val="en-US" w:eastAsia="zh-CN"/>
              </w:rPr>
            </w:pPr>
            <w:r>
              <w:rPr>
                <w:rFonts w:eastAsia="宋体"/>
                <w:lang w:val="en-US" w:eastAsia="zh-CN"/>
              </w:rPr>
              <w:t>3</w:t>
            </w:r>
          </w:p>
        </w:tc>
        <w:tc>
          <w:tcPr>
            <w:tcW w:w="1080" w:type="dxa"/>
            <w:shd w:val="clear" w:color="auto" w:fill="auto"/>
            <w:vAlign w:val="center"/>
          </w:tcPr>
          <w:p>
            <w:pPr>
              <w:pStyle w:val="105"/>
              <w:rPr>
                <w:rFonts w:eastAsia="宋体"/>
                <w:lang w:val="en-US" w:eastAsia="zh-CN"/>
              </w:rPr>
            </w:pPr>
            <w:r>
              <w:rPr>
                <w:rFonts w:eastAsia="宋体"/>
                <w:lang w:val="en-US" w:eastAsia="zh-CN"/>
              </w:rPr>
              <w:t>285</w:t>
            </w:r>
          </w:p>
        </w:tc>
        <w:tc>
          <w:tcPr>
            <w:tcW w:w="1233" w:type="dxa"/>
            <w:shd w:val="clear" w:color="auto" w:fill="auto"/>
            <w:vAlign w:val="center"/>
          </w:tcPr>
          <w:p>
            <w:pPr>
              <w:pStyle w:val="105"/>
              <w:rPr>
                <w:rFonts w:eastAsia="宋体"/>
                <w:lang w:val="en-US" w:eastAsia="zh-CN"/>
              </w:rPr>
            </w:pPr>
            <w:r>
              <w:rPr>
                <w:rFonts w:eastAsia="宋体"/>
                <w:lang w:val="en-US" w:eastAsia="zh-CN"/>
              </w:rPr>
              <w:t>-6.5</w:t>
            </w:r>
          </w:p>
        </w:tc>
        <w:tc>
          <w:tcPr>
            <w:tcW w:w="1883" w:type="dxa"/>
            <w:shd w:val="clear" w:color="auto" w:fill="auto"/>
            <w:vAlign w:val="center"/>
          </w:tcPr>
          <w:p>
            <w:pPr>
              <w:pStyle w:val="105"/>
              <w:rPr>
                <w:rFonts w:eastAsia="宋体"/>
                <w:lang w:val="en-US" w:eastAsia="zh-CN"/>
              </w:rPr>
            </w:pPr>
            <w:r>
              <w:rPr>
                <w:rFonts w:eastAsia="宋体"/>
                <w:lang w:val="en-US" w:eastAsia="zh-CN"/>
              </w:rPr>
              <w:t>Rayleigh</w:t>
            </w:r>
          </w:p>
        </w:tc>
      </w:tr>
    </w:tbl>
    <w:p>
      <w:pPr>
        <w:rPr>
          <w:rFonts w:eastAsia="宋体"/>
          <w:lang w:val="en-US" w:eastAsia="zh-CN"/>
        </w:rPr>
      </w:pP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.1-3 NTN-TDLC5 (DS = 5 ns)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077"/>
        <w:gridCol w:w="1167"/>
        <w:gridCol w:w="18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Tap #</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Delay [ns]</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Power [dB]</w:t>
            </w:r>
          </w:p>
        </w:tc>
        <w:tc>
          <w:tcPr>
            <w:tcW w:w="0" w:type="auto"/>
            <w:tcBorders>
              <w:top w:val="single" w:color="auto" w:sz="4" w:space="0"/>
              <w:left w:val="single" w:color="auto" w:sz="4" w:space="0"/>
              <w:bottom w:val="single" w:color="auto" w:sz="4" w:space="0"/>
              <w:right w:val="single" w:color="auto" w:sz="4" w:space="0"/>
            </w:tcBorders>
            <w:vAlign w:val="center"/>
          </w:tcPr>
          <w:p>
            <w:pPr>
              <w:pStyle w:val="104"/>
              <w:rPr>
                <w:rFonts w:eastAsia="宋体"/>
                <w:lang w:val="en-US" w:eastAsia="zh-CN"/>
              </w:rPr>
            </w:pPr>
            <w:r>
              <w:rPr>
                <w:rFonts w:eastAsia="宋体"/>
                <w:lang w:val="en-US" w:eastAsia="zh-CN"/>
              </w:rPr>
              <w:t>Fading distribution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Borders>
              <w:top w:val="nil"/>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1</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-0.6</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LOS path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Borders>
              <w:top w:val="nil"/>
              <w:left w:val="single" w:color="auto" w:sz="4" w:space="0"/>
              <w:bottom w:val="single" w:color="auto" w:sz="4" w:space="0"/>
              <w:right w:val="single" w:color="auto" w:sz="4" w:space="0"/>
            </w:tcBorders>
            <w:vAlign w:val="center"/>
          </w:tcPr>
          <w:p>
            <w:pPr>
              <w:pStyle w:val="105"/>
              <w:rPr>
                <w:rFonts w:eastAsia="宋体"/>
                <w:lang w:val="en-US"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-8.9</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2</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60</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Calibri"/>
                <w:color w:val="000000"/>
                <w:lang w:val="en-US" w:eastAsia="zh-CN"/>
              </w:rPr>
              <w:t>-21.5</w:t>
            </w:r>
          </w:p>
        </w:tc>
        <w:tc>
          <w:tcPr>
            <w:tcW w:w="0" w:type="auto"/>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Rayleigh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gridSpan w:val="4"/>
            <w:tcBorders>
              <w:top w:val="single" w:color="auto" w:sz="4" w:space="0"/>
              <w:left w:val="single" w:color="auto" w:sz="4" w:space="0"/>
              <w:bottom w:val="single" w:color="auto" w:sz="4" w:space="0"/>
              <w:right w:val="single" w:color="auto" w:sz="4" w:space="0"/>
            </w:tcBorders>
            <w:vAlign w:val="center"/>
          </w:tcPr>
          <w:p>
            <w:pPr>
              <w:pStyle w:val="118"/>
              <w:rPr>
                <w:rFonts w:eastAsia="宋体"/>
                <w:lang w:val="en-US" w:eastAsia="zh-CN"/>
              </w:rPr>
            </w:pPr>
            <w:r>
              <w:rPr>
                <w:rFonts w:eastAsia="宋体"/>
                <w:lang w:val="en-US" w:eastAsia="zh-CN"/>
              </w:rPr>
              <w:t>Note 1:</w:t>
            </w:r>
            <w:r>
              <w:rPr>
                <w:rFonts w:eastAsia="宋体"/>
                <w:lang w:val="en-US" w:eastAsia="zh-CN"/>
              </w:rPr>
              <w:tab/>
            </w:r>
            <w:r>
              <w:rPr>
                <w:rFonts w:eastAsia="宋体"/>
                <w:lang w:val="en-US" w:eastAsia="zh-CN"/>
              </w:rPr>
              <w:t>Tap #1 follows a Rician distribution.</w:t>
            </w:r>
          </w:p>
        </w:tc>
      </w:tr>
    </w:tbl>
    <w:p>
      <w:pPr>
        <w:pStyle w:val="108"/>
      </w:pPr>
    </w:p>
    <w:p>
      <w:pPr>
        <w:pStyle w:val="113"/>
      </w:pPr>
      <w:r>
        <w:t>Table B.2.1-</w:t>
      </w:r>
      <w:r>
        <w:rPr>
          <w:rFonts w:hint="eastAsia" w:eastAsia="宋体"/>
          <w:lang w:val="en-US" w:eastAsia="zh-CN"/>
        </w:rPr>
        <w:t>4</w:t>
      </w:r>
      <w:r>
        <w:t>: Delay profiles for E-UTRA channel models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03"/>
        <w:gridCol w:w="1464"/>
        <w:gridCol w:w="1440"/>
        <w:gridCol w:w="1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4"/>
              <w:rPr>
                <w:lang w:eastAsia="zh-CN"/>
              </w:rPr>
            </w:pPr>
            <w:r>
              <w:rPr>
                <w:lang w:eastAsia="zh-CN"/>
              </w:rPr>
              <w:t>Model</w:t>
            </w:r>
          </w:p>
        </w:tc>
        <w:tc>
          <w:tcPr>
            <w:tcW w:w="1464" w:type="dxa"/>
          </w:tcPr>
          <w:p>
            <w:pPr>
              <w:pStyle w:val="104"/>
              <w:rPr>
                <w:lang w:eastAsia="zh-CN"/>
              </w:rPr>
            </w:pPr>
            <w:r>
              <w:rPr>
                <w:lang w:eastAsia="zh-CN"/>
              </w:rPr>
              <w:t xml:space="preserve">Number of </w:t>
            </w:r>
            <w:r>
              <w:rPr>
                <w:lang w:eastAsia="zh-CN"/>
              </w:rPr>
              <w:br w:type="textWrapping"/>
            </w:r>
            <w:r>
              <w:rPr>
                <w:lang w:eastAsia="zh-CN"/>
              </w:rPr>
              <w:t>channel taps</w:t>
            </w:r>
          </w:p>
        </w:tc>
        <w:tc>
          <w:tcPr>
            <w:tcW w:w="1440" w:type="dxa"/>
          </w:tcPr>
          <w:p>
            <w:pPr>
              <w:pStyle w:val="104"/>
              <w:rPr>
                <w:lang w:eastAsia="zh-CN"/>
              </w:rPr>
            </w:pPr>
            <w:r>
              <w:rPr>
                <w:lang w:eastAsia="zh-CN"/>
              </w:rPr>
              <w:t>Delay spread</w:t>
            </w:r>
          </w:p>
          <w:p>
            <w:pPr>
              <w:pStyle w:val="104"/>
              <w:rPr>
                <w:lang w:eastAsia="zh-CN"/>
              </w:rPr>
            </w:pPr>
            <w:r>
              <w:rPr>
                <w:lang w:eastAsia="zh-CN"/>
              </w:rPr>
              <w:t>(r.m.s.)</w:t>
            </w:r>
          </w:p>
        </w:tc>
        <w:tc>
          <w:tcPr>
            <w:tcW w:w="1862" w:type="dxa"/>
          </w:tcPr>
          <w:p>
            <w:pPr>
              <w:pStyle w:val="104"/>
              <w:rPr>
                <w:lang w:eastAsia="zh-CN"/>
              </w:rPr>
            </w:pPr>
            <w:r>
              <w:rPr>
                <w:lang w:eastAsia="zh-CN"/>
              </w:rPr>
              <w:t>Maximum excess tap delay (span)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Pedestrian A (EPA)</w:t>
            </w:r>
          </w:p>
        </w:tc>
        <w:tc>
          <w:tcPr>
            <w:tcW w:w="1464" w:type="dxa"/>
          </w:tcPr>
          <w:p>
            <w:pPr>
              <w:pStyle w:val="105"/>
            </w:pPr>
            <w:r>
              <w:t>7</w:t>
            </w:r>
          </w:p>
        </w:tc>
        <w:tc>
          <w:tcPr>
            <w:tcW w:w="1440" w:type="dxa"/>
          </w:tcPr>
          <w:p>
            <w:pPr>
              <w:pStyle w:val="105"/>
            </w:pPr>
            <w:r>
              <w:t>45 ns</w:t>
            </w:r>
          </w:p>
        </w:tc>
        <w:tc>
          <w:tcPr>
            <w:tcW w:w="1862" w:type="dxa"/>
          </w:tcPr>
          <w:p>
            <w:pPr>
              <w:pStyle w:val="105"/>
            </w:pPr>
            <w:r>
              <w:t>410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Vehicular A model (EVA)</w:t>
            </w:r>
          </w:p>
        </w:tc>
        <w:tc>
          <w:tcPr>
            <w:tcW w:w="1464" w:type="dxa"/>
          </w:tcPr>
          <w:p>
            <w:pPr>
              <w:pStyle w:val="105"/>
            </w:pPr>
            <w:r>
              <w:t>9</w:t>
            </w:r>
          </w:p>
        </w:tc>
        <w:tc>
          <w:tcPr>
            <w:tcW w:w="1440" w:type="dxa"/>
          </w:tcPr>
          <w:p>
            <w:pPr>
              <w:pStyle w:val="105"/>
            </w:pPr>
            <w:r>
              <w:t>357 ns</w:t>
            </w:r>
          </w:p>
        </w:tc>
        <w:tc>
          <w:tcPr>
            <w:tcW w:w="1862" w:type="dxa"/>
          </w:tcPr>
          <w:p>
            <w:pPr>
              <w:pStyle w:val="105"/>
            </w:pPr>
            <w:r>
              <w:t>2510 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303" w:type="dxa"/>
          </w:tcPr>
          <w:p>
            <w:pPr>
              <w:pStyle w:val="103"/>
            </w:pPr>
            <w:r>
              <w:t>Extended Typical Urban model (ETU)</w:t>
            </w:r>
          </w:p>
        </w:tc>
        <w:tc>
          <w:tcPr>
            <w:tcW w:w="1464" w:type="dxa"/>
          </w:tcPr>
          <w:p>
            <w:pPr>
              <w:pStyle w:val="105"/>
            </w:pPr>
            <w:r>
              <w:t>9</w:t>
            </w:r>
          </w:p>
        </w:tc>
        <w:tc>
          <w:tcPr>
            <w:tcW w:w="1440" w:type="dxa"/>
          </w:tcPr>
          <w:p>
            <w:pPr>
              <w:pStyle w:val="105"/>
            </w:pPr>
            <w:r>
              <w:t>991 ns</w:t>
            </w:r>
          </w:p>
        </w:tc>
        <w:tc>
          <w:tcPr>
            <w:tcW w:w="1862" w:type="dxa"/>
          </w:tcPr>
          <w:p>
            <w:pPr>
              <w:pStyle w:val="105"/>
            </w:pPr>
            <w:r>
              <w:t>5000 ns</w:t>
            </w:r>
          </w:p>
        </w:tc>
      </w:tr>
    </w:tbl>
    <w:p>
      <w:pPr>
        <w:pStyle w:val="108"/>
      </w:pPr>
    </w:p>
    <w:p>
      <w:pPr>
        <w:pStyle w:val="113"/>
      </w:pPr>
      <w:r>
        <w:t>Table B.2.1-</w:t>
      </w:r>
      <w:r>
        <w:rPr>
          <w:rFonts w:hint="eastAsia" w:eastAsia="宋体"/>
          <w:lang w:val="en-US" w:eastAsia="zh-CN"/>
        </w:rPr>
        <w:t>5</w:t>
      </w:r>
      <w:r>
        <w:t>: Extended Pedestrian A model (EPA)</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70</w:t>
            </w:r>
          </w:p>
        </w:tc>
        <w:tc>
          <w:tcPr>
            <w:tcW w:w="2551" w:type="dxa"/>
          </w:tcPr>
          <w:p>
            <w:pPr>
              <w:pStyle w:val="105"/>
            </w:pP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90</w:t>
            </w:r>
          </w:p>
        </w:tc>
        <w:tc>
          <w:tcPr>
            <w:tcW w:w="2551" w:type="dxa"/>
          </w:tcPr>
          <w:p>
            <w:pPr>
              <w:pStyle w:val="105"/>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110</w:t>
            </w:r>
          </w:p>
        </w:tc>
        <w:tc>
          <w:tcPr>
            <w:tcW w:w="2551" w:type="dxa"/>
          </w:tcPr>
          <w:p>
            <w:pPr>
              <w:pStyle w:val="105"/>
            </w:pPr>
            <w: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190</w:t>
            </w:r>
          </w:p>
        </w:tc>
        <w:tc>
          <w:tcPr>
            <w:tcW w:w="2551" w:type="dxa"/>
          </w:tcPr>
          <w:p>
            <w:pPr>
              <w:pStyle w:val="105"/>
            </w:pPr>
            <w:r>
              <w:t>-17.2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410</w:t>
            </w:r>
          </w:p>
        </w:tc>
        <w:tc>
          <w:tcPr>
            <w:tcW w:w="2551" w:type="dxa"/>
          </w:tcPr>
          <w:p>
            <w:pPr>
              <w:pStyle w:val="105"/>
            </w:pPr>
            <w:r>
              <w:t>-20.8</w:t>
            </w:r>
          </w:p>
        </w:tc>
      </w:tr>
    </w:tbl>
    <w:p>
      <w:pPr>
        <w:pStyle w:val="108"/>
      </w:pPr>
    </w:p>
    <w:p>
      <w:pPr>
        <w:pStyle w:val="113"/>
      </w:pPr>
      <w:r>
        <w:t>Table B.2.1-</w:t>
      </w:r>
      <w:r>
        <w:rPr>
          <w:rFonts w:hint="eastAsia" w:eastAsia="宋体"/>
          <w:lang w:val="en-US" w:eastAsia="zh-CN"/>
        </w:rPr>
        <w:t>6</w:t>
      </w:r>
      <w:r>
        <w:t>: Extended Vehicular A model (EVA)</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 xml:space="preserv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30</w:t>
            </w:r>
          </w:p>
        </w:tc>
        <w:tc>
          <w:tcPr>
            <w:tcW w:w="2551" w:type="dxa"/>
          </w:tcPr>
          <w:p>
            <w:pPr>
              <w:pStyle w:val="105"/>
            </w:pPr>
            <w: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150</w:t>
            </w:r>
          </w:p>
        </w:tc>
        <w:tc>
          <w:tcPr>
            <w:tcW w:w="2551" w:type="dxa"/>
          </w:tcPr>
          <w:p>
            <w:pPr>
              <w:pStyle w:val="105"/>
            </w:pPr>
            <w: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310</w:t>
            </w:r>
          </w:p>
        </w:tc>
        <w:tc>
          <w:tcPr>
            <w:tcW w:w="2551" w:type="dxa"/>
          </w:tcPr>
          <w:p>
            <w:pPr>
              <w:pStyle w:val="105"/>
            </w:pPr>
            <w: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370</w:t>
            </w:r>
          </w:p>
        </w:tc>
        <w:tc>
          <w:tcPr>
            <w:tcW w:w="2551" w:type="dxa"/>
          </w:tcPr>
          <w:p>
            <w:pPr>
              <w:pStyle w:val="105"/>
            </w:pPr>
            <w: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710</w:t>
            </w:r>
          </w:p>
        </w:tc>
        <w:tc>
          <w:tcPr>
            <w:tcW w:w="2551" w:type="dxa"/>
          </w:tcPr>
          <w:p>
            <w:pPr>
              <w:pStyle w:val="105"/>
            </w:pPr>
            <w: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1090</w:t>
            </w:r>
          </w:p>
        </w:tc>
        <w:tc>
          <w:tcPr>
            <w:tcW w:w="2551" w:type="dxa"/>
          </w:tcPr>
          <w:p>
            <w:pPr>
              <w:pStyle w:val="105"/>
            </w:pPr>
            <w: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1730</w:t>
            </w:r>
          </w:p>
        </w:tc>
        <w:tc>
          <w:tcPr>
            <w:tcW w:w="2551" w:type="dxa"/>
          </w:tcPr>
          <w:p>
            <w:pPr>
              <w:pStyle w:val="105"/>
            </w:pPr>
            <w: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2510</w:t>
            </w:r>
          </w:p>
        </w:tc>
        <w:tc>
          <w:tcPr>
            <w:tcW w:w="2551" w:type="dxa"/>
          </w:tcPr>
          <w:p>
            <w:pPr>
              <w:pStyle w:val="105"/>
            </w:pPr>
            <w:r>
              <w:t>-16.9</w:t>
            </w:r>
          </w:p>
        </w:tc>
      </w:tr>
    </w:tbl>
    <w:p>
      <w:pPr>
        <w:pStyle w:val="108"/>
      </w:pPr>
    </w:p>
    <w:p>
      <w:pPr>
        <w:pStyle w:val="113"/>
      </w:pPr>
      <w:r>
        <w:t>Table B.2.1-</w:t>
      </w:r>
      <w:r>
        <w:rPr>
          <w:rFonts w:hint="eastAsia" w:eastAsia="宋体"/>
          <w:lang w:val="en-US" w:eastAsia="zh-CN"/>
        </w:rPr>
        <w:t>7</w:t>
      </w:r>
      <w:r>
        <w:t>: Extended Typical Urban model (ETU)</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3"/>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23" w:type="dxa"/>
          </w:tcPr>
          <w:p>
            <w:pPr>
              <w:pStyle w:val="104"/>
              <w:rPr>
                <w:lang w:eastAsia="zh-CN"/>
              </w:rPr>
            </w:pPr>
            <w:r>
              <w:rPr>
                <w:lang w:eastAsia="zh-CN"/>
              </w:rPr>
              <w:t>Excess tap delay [ns]</w:t>
            </w:r>
          </w:p>
        </w:tc>
        <w:tc>
          <w:tcPr>
            <w:tcW w:w="2551" w:type="dxa"/>
          </w:tcPr>
          <w:p>
            <w:pPr>
              <w:pStyle w:val="104"/>
              <w:rPr>
                <w:lang w:eastAsia="zh-CN"/>
              </w:rPr>
            </w:pPr>
            <w:r>
              <w:rPr>
                <w:lang w:eastAsia="zh-CN"/>
              </w:rPr>
              <w:t>Relative power</w:t>
            </w:r>
          </w:p>
          <w:p>
            <w:pPr>
              <w:pStyle w:val="104"/>
              <w:rPr>
                <w:lang w:eastAsia="zh-CN"/>
              </w:rPr>
            </w:pPr>
            <w:r>
              <w:rPr>
                <w:lang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120</w:t>
            </w:r>
          </w:p>
        </w:tc>
        <w:tc>
          <w:tcPr>
            <w:tcW w:w="2551" w:type="dxa"/>
          </w:tcPr>
          <w:p>
            <w:pPr>
              <w:pStyle w:val="105"/>
            </w:pPr>
            <w: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200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230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500</w:t>
            </w:r>
          </w:p>
        </w:tc>
        <w:tc>
          <w:tcPr>
            <w:tcW w:w="2551" w:type="dxa"/>
          </w:tcPr>
          <w:p>
            <w:pPr>
              <w:pStyle w:val="105"/>
            </w:pPr>
            <w: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1600</w:t>
            </w:r>
          </w:p>
        </w:tc>
        <w:tc>
          <w:tcPr>
            <w:tcW w:w="2551" w:type="dxa"/>
          </w:tcPr>
          <w:p>
            <w:pPr>
              <w:pStyle w:val="105"/>
            </w:pPr>
            <w: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2300</w:t>
            </w:r>
          </w:p>
        </w:tc>
        <w:tc>
          <w:tcPr>
            <w:tcW w:w="2551" w:type="dxa"/>
          </w:tcPr>
          <w:p>
            <w:pPr>
              <w:pStyle w:val="105"/>
            </w:pPr>
            <w: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23" w:type="dxa"/>
          </w:tcPr>
          <w:p>
            <w:pPr>
              <w:pStyle w:val="105"/>
            </w:pPr>
            <w:r>
              <w:t>5000</w:t>
            </w:r>
          </w:p>
        </w:tc>
        <w:tc>
          <w:tcPr>
            <w:tcW w:w="2551" w:type="dxa"/>
          </w:tcPr>
          <w:p>
            <w:pPr>
              <w:pStyle w:val="105"/>
            </w:pPr>
            <w:r>
              <w:t>-7.0</w:t>
            </w:r>
          </w:p>
        </w:tc>
      </w:tr>
    </w:tbl>
    <w:p>
      <w:pPr>
        <w:pStyle w:val="108"/>
      </w:pPr>
    </w:p>
    <w:p>
      <w:pPr>
        <w:pStyle w:val="4"/>
      </w:pPr>
      <w:bookmarkStart w:id="1083" w:name="_Toc232582138"/>
      <w:bookmarkStart w:id="1084" w:name="_Toc15958"/>
      <w:r>
        <w:t>B.2.2</w:t>
      </w:r>
      <w:r>
        <w:tab/>
      </w:r>
      <w:r>
        <w:t>Combinations of channel model parameters</w:t>
      </w:r>
      <w:bookmarkEnd w:id="1083"/>
      <w:bookmarkEnd w:id="1084"/>
    </w:p>
    <w:p>
      <w:pPr>
        <w:spacing w:before="100" w:beforeAutospacing="1"/>
        <w:rPr>
          <w:rFonts w:eastAsia="宋体"/>
          <w:lang w:val="en-US" w:eastAsia="zh-CN"/>
        </w:rPr>
      </w:pPr>
      <w:bookmarkStart w:id="1085" w:name="_MON_1255261797"/>
      <w:bookmarkEnd w:id="1085"/>
      <w:bookmarkStart w:id="1086" w:name="_MON_1293037289"/>
      <w:bookmarkEnd w:id="1086"/>
      <w:bookmarkStart w:id="1087" w:name="_MON_1298926260"/>
      <w:bookmarkEnd w:id="1087"/>
      <w:bookmarkStart w:id="1088" w:name="_MON_1255261576"/>
      <w:bookmarkEnd w:id="1088"/>
      <w:bookmarkStart w:id="1089" w:name="_MON_1253392204"/>
      <w:bookmarkEnd w:id="1089"/>
      <w:bookmarkStart w:id="1090" w:name="_MON_1253392252"/>
      <w:bookmarkEnd w:id="1090"/>
      <w:bookmarkStart w:id="1091" w:name="_MON_1255262332"/>
      <w:bookmarkEnd w:id="1091"/>
      <w:bookmarkStart w:id="1092" w:name="_MON_1293118094"/>
      <w:bookmarkEnd w:id="1092"/>
      <w:bookmarkStart w:id="1093" w:name="_MON_1253392254"/>
      <w:bookmarkEnd w:id="1093"/>
      <w:bookmarkStart w:id="1094" w:name="_MON_1253392191"/>
      <w:bookmarkEnd w:id="1094"/>
      <w:r>
        <w:rPr>
          <w:rFonts w:eastAsia="宋体"/>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pPr>
        <w:spacing w:before="100" w:beforeAutospacing="1"/>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.2-1 show the propagation conditions that are used for the performance measurements in multi-path fading environment for NLOS and LOS propagation conditions.</w:t>
      </w:r>
    </w:p>
    <w:p>
      <w:pPr>
        <w:pStyle w:val="113"/>
        <w:rPr>
          <w:rFonts w:eastAsia="宋体"/>
          <w:lang w:val="en-US" w:eastAsia="zh-CN"/>
        </w:rPr>
      </w:pPr>
      <w:r>
        <w:rPr>
          <w:rFonts w:eastAsia="宋体"/>
          <w:lang w:val="en-US" w:eastAsia="zh-CN"/>
        </w:rPr>
        <w:t xml:space="preserve">Table </w:t>
      </w:r>
      <w:r>
        <w:rPr>
          <w:rFonts w:hint="eastAsia" w:eastAsia="宋体"/>
          <w:lang w:val="en-US" w:eastAsia="zh-CN"/>
        </w:rPr>
        <w:t>B</w:t>
      </w:r>
      <w:r>
        <w:rPr>
          <w:rFonts w:eastAsia="宋体"/>
          <w:lang w:val="en-US" w:eastAsia="zh-CN"/>
        </w:rPr>
        <w:t>.</w:t>
      </w:r>
      <w:r>
        <w:rPr>
          <w:rFonts w:hint="eastAsia" w:eastAsia="宋体"/>
          <w:lang w:val="en-US" w:eastAsia="zh-CN"/>
        </w:rPr>
        <w:t>2</w:t>
      </w:r>
      <w:r>
        <w:rPr>
          <w:rFonts w:eastAsia="宋体"/>
          <w:lang w:val="en-US" w:eastAsia="zh-CN"/>
        </w:rPr>
        <w:t>.2-1: Channel model parameters for NTN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49"/>
        <w:gridCol w:w="2033"/>
        <w:gridCol w:w="22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hint="eastAsia" w:eastAsia="宋体"/>
                <w:lang w:val="en-US" w:eastAsia="zh-CN"/>
              </w:rPr>
              <w:t>Combination name</w:t>
            </w:r>
          </w:p>
        </w:tc>
        <w:tc>
          <w:tcPr>
            <w:tcW w:w="2033"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eastAsia="宋体"/>
                <w:lang w:val="en-US" w:eastAsia="zh-CN"/>
              </w:rPr>
              <w:t>Model</w:t>
            </w:r>
          </w:p>
        </w:tc>
        <w:tc>
          <w:tcPr>
            <w:tcW w:w="2215" w:type="dxa"/>
            <w:tcBorders>
              <w:top w:val="single" w:color="auto" w:sz="4" w:space="0"/>
              <w:left w:val="single" w:color="auto" w:sz="4" w:space="0"/>
              <w:bottom w:val="single" w:color="auto" w:sz="4" w:space="0"/>
              <w:right w:val="single" w:color="auto" w:sz="4" w:space="0"/>
            </w:tcBorders>
          </w:tcPr>
          <w:p>
            <w:pPr>
              <w:pStyle w:val="104"/>
              <w:rPr>
                <w:rFonts w:eastAsia="宋体"/>
                <w:lang w:val="en-US" w:eastAsia="zh-CN"/>
              </w:rPr>
            </w:pPr>
            <w:r>
              <w:rPr>
                <w:rFonts w:eastAsia="宋体"/>
                <w:lang w:val="en-US" w:eastAsia="zh-CN"/>
              </w:rPr>
              <w:t>Maximum Doppler frequency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w:t>
            </w:r>
            <w:r>
              <w:rPr>
                <w:rFonts w:hint="eastAsia" w:eastAsia="宋体"/>
                <w:lang w:val="en-US" w:eastAsia="zh-CN"/>
              </w:rPr>
              <w:t>TDLA</w:t>
            </w:r>
            <w:r>
              <w:rPr>
                <w:rFonts w:eastAsia="宋体"/>
                <w:lang w:val="en-US" w:eastAsia="zh-CN"/>
              </w:rPr>
              <w:t>100</w:t>
            </w:r>
            <w:r>
              <w:rPr>
                <w:rFonts w:hint="eastAsia" w:eastAsia="宋体"/>
                <w:lang w:val="en-US" w:eastAsia="zh-CN"/>
              </w:rPr>
              <w:t>-</w:t>
            </w:r>
            <w:r>
              <w:rPr>
                <w:rFonts w:eastAsia="宋体"/>
                <w:lang w:val="en-US" w:eastAsia="zh-CN"/>
              </w:rPr>
              <w:t>10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NTN-TDLA100</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 xml:space="preserve">10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w:t>
            </w:r>
            <w:r>
              <w:rPr>
                <w:rFonts w:hint="eastAsia" w:eastAsia="宋体"/>
                <w:lang w:val="en-US" w:eastAsia="zh-CN"/>
              </w:rPr>
              <w:t>TDLA</w:t>
            </w:r>
            <w:r>
              <w:rPr>
                <w:rFonts w:eastAsia="宋体"/>
                <w:lang w:val="en-US" w:eastAsia="zh-CN"/>
              </w:rPr>
              <w:t>100</w:t>
            </w:r>
            <w:r>
              <w:rPr>
                <w:rFonts w:hint="eastAsia" w:eastAsia="宋体"/>
                <w:lang w:val="en-US" w:eastAsia="zh-CN"/>
              </w:rPr>
              <w:t>-</w:t>
            </w:r>
            <w:r>
              <w:rPr>
                <w:rFonts w:eastAsia="宋体"/>
                <w:lang w:val="en-US" w:eastAsia="zh-CN"/>
              </w:rPr>
              <w:t>200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NTN-TDLA100</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20</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NTN-TDLC5-30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3</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9"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NTN-TDLC5-200</w:t>
            </w:r>
          </w:p>
        </w:tc>
        <w:tc>
          <w:tcPr>
            <w:tcW w:w="2033"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NTN-TDLC5</w:t>
            </w:r>
          </w:p>
        </w:tc>
        <w:tc>
          <w:tcPr>
            <w:tcW w:w="2215" w:type="dxa"/>
            <w:tcBorders>
              <w:top w:val="single" w:color="auto" w:sz="4" w:space="0"/>
              <w:left w:val="single" w:color="auto" w:sz="4" w:space="0"/>
              <w:bottom w:val="single" w:color="auto" w:sz="4" w:space="0"/>
              <w:right w:val="single" w:color="auto" w:sz="4" w:space="0"/>
            </w:tcBorders>
          </w:tcPr>
          <w:p>
            <w:pPr>
              <w:pStyle w:val="105"/>
              <w:rPr>
                <w:rFonts w:eastAsia="宋体"/>
                <w:lang w:val="en-US" w:eastAsia="zh-CN"/>
              </w:rPr>
            </w:pPr>
            <w:r>
              <w:rPr>
                <w:rFonts w:eastAsia="宋体"/>
                <w:lang w:val="en-US" w:eastAsia="zh-CN"/>
              </w:rPr>
              <w:t>20</w:t>
            </w:r>
            <w:r>
              <w:rPr>
                <w:rFonts w:hint="eastAsia" w:eastAsia="宋体"/>
                <w:lang w:val="en-US" w:eastAsia="zh-CN"/>
              </w:rPr>
              <w:t>0</w:t>
            </w:r>
            <w:r>
              <w:rPr>
                <w:rFonts w:eastAsia="宋体"/>
                <w:lang w:val="en-US" w:eastAsia="zh-CN"/>
              </w:rPr>
              <w:t xml:space="preserve"> </w:t>
            </w:r>
            <w:r>
              <w:rPr>
                <w:rFonts w:hint="eastAsia" w:eastAsia="宋体"/>
                <w:lang w:val="en-US" w:eastAsia="zh-CN"/>
              </w:rPr>
              <w:t>Hz</w:t>
            </w:r>
          </w:p>
        </w:tc>
      </w:tr>
    </w:tbl>
    <w:p>
      <w:pPr>
        <w:rPr>
          <w:lang w:eastAsia="ja-JP"/>
        </w:rPr>
      </w:pPr>
    </w:p>
    <w:bookmarkEnd w:id="1067"/>
    <w:p>
      <w:pPr>
        <w:pStyle w:val="11"/>
      </w:pPr>
      <w:bookmarkStart w:id="1095" w:name="_Toc232582143"/>
      <w:bookmarkStart w:id="1096" w:name="_Toc30723"/>
      <w:r>
        <w:t>Annex C (</w:t>
      </w:r>
      <w:r>
        <w:rPr>
          <w:lang w:eastAsia="en-GB"/>
        </w:rPr>
        <w:t>normative</w:t>
      </w:r>
      <w:r>
        <w:t>):</w:t>
      </w:r>
      <w:r>
        <w:br w:type="textWrapping"/>
      </w:r>
      <w:r>
        <w:t>Downlink Physical Channels</w:t>
      </w:r>
      <w:bookmarkEnd w:id="1095"/>
      <w:bookmarkEnd w:id="1096"/>
    </w:p>
    <w:p>
      <w:r>
        <w:t>This annex specifies the downlink physical channels that are needed for setting a connection and channels that are needed during a connection.</w:t>
      </w:r>
    </w:p>
    <w:p>
      <w:pPr>
        <w:pStyle w:val="3"/>
      </w:pPr>
      <w:bookmarkStart w:id="1097" w:name="_Toc27071"/>
      <w:bookmarkStart w:id="1098" w:name="_Toc232582144"/>
      <w:r>
        <w:t>C.0</w:t>
      </w:r>
      <w:r>
        <w:tab/>
      </w:r>
      <w:r>
        <w:t>Downlink signal levels</w:t>
      </w:r>
      <w:bookmarkEnd w:id="1097"/>
      <w:bookmarkEnd w:id="1098"/>
    </w:p>
    <w:p>
      <w:pPr>
        <w:rPr>
          <w:lang w:eastAsia="ja-JP"/>
        </w:rPr>
      </w:pPr>
      <w:r>
        <w:rPr>
          <w:lang w:eastAsia="ja-JP"/>
        </w:rPr>
        <w:t>The downlink power settings in Table C.0-1 or Table C.0-2 are used unless otherwise specified in a test case.</w:t>
      </w:r>
    </w:p>
    <w:p>
      <w:pPr>
        <w:rPr>
          <w:lang w:eastAsia="ja-JP"/>
        </w:rPr>
      </w:pPr>
      <w:r>
        <w:rPr>
          <w:rFonts w:hint="eastAsia" w:eastAsia="宋体"/>
          <w:lang w:val="en-US" w:eastAsia="zh-CN"/>
        </w:rPr>
        <w:t>For</w:t>
      </w:r>
      <w:r>
        <w:rPr>
          <w:lang w:eastAsia="ja-JP"/>
        </w:rPr>
        <w:t xml:space="preserve"> the UE has one Rx antenna, the downlink signal is applied to it.</w:t>
      </w:r>
    </w:p>
    <w:p>
      <w:pPr>
        <w:pStyle w:val="113"/>
      </w:pPr>
      <w:r>
        <w:t xml:space="preserve">Table C.0-1: Default Downlink power levels for </w:t>
      </w:r>
      <w:bookmarkStart w:id="1099" w:name="OLE_LINK2"/>
      <w:r>
        <w:rPr>
          <w:rFonts w:hint="eastAsia"/>
        </w:rPr>
        <w:t>category M1</w:t>
      </w:r>
      <w:bookmarkEnd w:id="1099"/>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54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rPr>
                <w:lang w:eastAsia="zh-CN"/>
              </w:rPr>
            </w:pPr>
          </w:p>
        </w:tc>
        <w:tc>
          <w:tcPr>
            <w:tcW w:w="1247" w:type="dxa"/>
          </w:tcPr>
          <w:p>
            <w:pPr>
              <w:pStyle w:val="104"/>
              <w:rPr>
                <w:lang w:eastAsia="zh-CN"/>
              </w:rPr>
            </w:pPr>
            <w:r>
              <w:rPr>
                <w:lang w:eastAsia="zh-CN"/>
              </w:rPr>
              <w:t>Unit</w:t>
            </w:r>
          </w:p>
        </w:tc>
        <w:tc>
          <w:tcPr>
            <w:tcW w:w="5442" w:type="dxa"/>
          </w:tcPr>
          <w:p>
            <w:pPr>
              <w:pStyle w:val="104"/>
              <w:rPr>
                <w:lang w:eastAsia="zh-CN"/>
              </w:rPr>
            </w:pPr>
            <w:r>
              <w:rPr>
                <w:lang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rPr>
                <w:lang w:eastAsia="zh-CN"/>
              </w:rPr>
            </w:pPr>
          </w:p>
        </w:tc>
        <w:tc>
          <w:tcPr>
            <w:tcW w:w="1247" w:type="dxa"/>
          </w:tcPr>
          <w:p>
            <w:pPr>
              <w:pStyle w:val="104"/>
              <w:rPr>
                <w:lang w:eastAsia="zh-CN"/>
              </w:rPr>
            </w:pPr>
          </w:p>
        </w:tc>
        <w:tc>
          <w:tcPr>
            <w:tcW w:w="5442" w:type="dxa"/>
          </w:tcPr>
          <w:p>
            <w:pPr>
              <w:pStyle w:val="104"/>
              <w:rPr>
                <w:lang w:eastAsia="zh-CN"/>
              </w:rPr>
            </w:pPr>
            <w:r>
              <w:rPr>
                <w:lang w:eastAsia="zh-CN"/>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814" w:type="dxa"/>
          </w:tcPr>
          <w:p>
            <w:pPr>
              <w:pStyle w:val="103"/>
              <w:rPr>
                <w:lang w:eastAsia="ja-JP"/>
              </w:rPr>
            </w:pPr>
            <w:r>
              <w:rPr>
                <w:lang w:eastAsia="ja-JP"/>
              </w:rPr>
              <w:t>Number of RBs</w:t>
            </w:r>
          </w:p>
        </w:tc>
        <w:tc>
          <w:tcPr>
            <w:tcW w:w="1247" w:type="dxa"/>
          </w:tcPr>
          <w:p>
            <w:pPr>
              <w:pStyle w:val="105"/>
            </w:pPr>
          </w:p>
        </w:tc>
        <w:tc>
          <w:tcPr>
            <w:tcW w:w="5442"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Channel BW Power</w:t>
            </w:r>
          </w:p>
        </w:tc>
        <w:tc>
          <w:tcPr>
            <w:tcW w:w="1247" w:type="dxa"/>
          </w:tcPr>
          <w:p>
            <w:pPr>
              <w:pStyle w:val="103"/>
              <w:jc w:val="center"/>
              <w:rPr>
                <w:lang w:eastAsia="ja-JP"/>
              </w:rPr>
            </w:pPr>
            <w:r>
              <w:rPr>
                <w:lang w:eastAsia="ja-JP"/>
              </w:rPr>
              <w:t>dBm</w:t>
            </w:r>
          </w:p>
        </w:tc>
        <w:tc>
          <w:tcPr>
            <w:tcW w:w="5442" w:type="dxa"/>
          </w:tcPr>
          <w:p>
            <w:pPr>
              <w:pStyle w:val="103"/>
              <w:jc w:val="center"/>
              <w:rPr>
                <w:lang w:eastAsia="ja-JP"/>
              </w:rPr>
            </w:pPr>
            <w:r>
              <w:rPr>
                <w:lang w:eastAsia="ja-JP"/>
              </w:rPr>
              <w:t>-66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RS EPRE</w:t>
            </w:r>
          </w:p>
        </w:tc>
        <w:tc>
          <w:tcPr>
            <w:tcW w:w="1247" w:type="dxa"/>
          </w:tcPr>
          <w:p>
            <w:pPr>
              <w:pStyle w:val="103"/>
              <w:rPr>
                <w:lang w:eastAsia="ja-JP"/>
              </w:rPr>
            </w:pPr>
            <w:r>
              <w:rPr>
                <w:lang w:eastAsia="ja-JP"/>
              </w:rPr>
              <w:t>dBm/15kHz</w:t>
            </w:r>
          </w:p>
        </w:tc>
        <w:tc>
          <w:tcPr>
            <w:tcW w:w="5442" w:type="dxa"/>
          </w:tcPr>
          <w:p>
            <w:pPr>
              <w:pStyle w:val="103"/>
              <w:jc w:val="center"/>
              <w:rPr>
                <w:lang w:eastAsia="ja-JP"/>
              </w:rPr>
            </w:pPr>
            <w:r>
              <w:rPr>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8503" w:type="dxa"/>
            <w:gridSpan w:val="3"/>
          </w:tcPr>
          <w:p>
            <w:pPr>
              <w:pStyle w:val="118"/>
              <w:rPr>
                <w:lang w:eastAsia="ja-JP"/>
              </w:rPr>
            </w:pPr>
            <w:r>
              <w:rPr>
                <w:lang w:eastAsia="ja-JP"/>
              </w:rPr>
              <w:t>Note 1:</w:t>
            </w:r>
            <w:r>
              <w:rPr>
                <w:lang w:eastAsia="ja-JP"/>
              </w:rPr>
              <w:tab/>
            </w:r>
            <w:r>
              <w:rPr>
                <w:lang w:eastAsia="ja-JP"/>
              </w:rPr>
              <w:t>The channel bandwidth powers and RB allocations are informative, based on -85dBm/15kHz RS_EPRE, then scaled according to the number of RBs and rounded to the nearest integer dBm value. Full RE allocation with no boost or deboost is assumed in this calculation, but allocation may vary during setup.</w:t>
            </w:r>
          </w:p>
          <w:p>
            <w:pPr>
              <w:pStyle w:val="118"/>
              <w:rPr>
                <w:lang w:eastAsia="ja-JP"/>
              </w:rPr>
            </w:pPr>
            <w:r>
              <w:rPr>
                <w:lang w:eastAsia="ja-JP"/>
              </w:rPr>
              <w:t>Note 2:</w:t>
            </w:r>
            <w:r>
              <w:rPr>
                <w:lang w:eastAsia="ja-JP"/>
              </w:rPr>
              <w:tab/>
            </w:r>
            <w:r>
              <w:rPr>
                <w:lang w:eastAsia="ja-JP"/>
              </w:rPr>
              <w:t>The power level is specified at each UE Rx antenna.</w:t>
            </w:r>
          </w:p>
        </w:tc>
      </w:tr>
    </w:tbl>
    <w:p/>
    <w:p>
      <w:pPr>
        <w:pStyle w:val="113"/>
        <w:rPr>
          <w:rFonts w:eastAsia="宋体"/>
          <w:lang w:val="en-US" w:eastAsia="zh-CN"/>
        </w:rPr>
      </w:pPr>
      <w:r>
        <w:t xml:space="preserve">Table C.0-2: Default Downlink power levels for </w:t>
      </w:r>
      <w:bookmarkStart w:id="1100" w:name="OLE_LINK4"/>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bookmarkEnd w:id="1100"/>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4"/>
        <w:gridCol w:w="1247"/>
        <w:gridCol w:w="9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4"/>
            </w:pPr>
          </w:p>
        </w:tc>
        <w:tc>
          <w:tcPr>
            <w:tcW w:w="1247" w:type="dxa"/>
          </w:tcPr>
          <w:p>
            <w:pPr>
              <w:pStyle w:val="104"/>
            </w:pPr>
            <w:r>
              <w:t>Unit</w:t>
            </w:r>
          </w:p>
        </w:tc>
        <w:tc>
          <w:tcPr>
            <w:tcW w:w="907" w:type="dxa"/>
          </w:tcPr>
          <w:p>
            <w:pPr>
              <w:pStyle w:val="104"/>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1814" w:type="dxa"/>
          </w:tcPr>
          <w:p>
            <w:pPr>
              <w:pStyle w:val="103"/>
              <w:rPr>
                <w:lang w:eastAsia="ja-JP"/>
              </w:rPr>
            </w:pPr>
            <w:r>
              <w:rPr>
                <w:lang w:eastAsia="ja-JP"/>
              </w:rPr>
              <w:t>Subcarriers</w:t>
            </w:r>
          </w:p>
        </w:tc>
        <w:tc>
          <w:tcPr>
            <w:tcW w:w="1247" w:type="dxa"/>
          </w:tcPr>
          <w:p>
            <w:pPr>
              <w:pStyle w:val="105"/>
            </w:pPr>
          </w:p>
        </w:tc>
        <w:tc>
          <w:tcPr>
            <w:tcW w:w="907" w:type="dxa"/>
          </w:tcPr>
          <w:p>
            <w:pPr>
              <w:pStyle w:val="105"/>
            </w:pPr>
            <w: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Channel BW Power</w:t>
            </w:r>
          </w:p>
        </w:tc>
        <w:tc>
          <w:tcPr>
            <w:tcW w:w="1247" w:type="dxa"/>
          </w:tcPr>
          <w:p>
            <w:pPr>
              <w:pStyle w:val="103"/>
              <w:jc w:val="center"/>
              <w:rPr>
                <w:lang w:eastAsia="ja-JP"/>
              </w:rPr>
            </w:pPr>
            <w:r>
              <w:rPr>
                <w:lang w:eastAsia="ja-JP"/>
              </w:rPr>
              <w:t>dBm</w:t>
            </w:r>
          </w:p>
        </w:tc>
        <w:tc>
          <w:tcPr>
            <w:tcW w:w="907" w:type="dxa"/>
          </w:tcPr>
          <w:p>
            <w:pPr>
              <w:pStyle w:val="103"/>
              <w:jc w:val="center"/>
              <w:rPr>
                <w:lang w:eastAsia="ja-JP"/>
              </w:rPr>
            </w:pPr>
            <w:r>
              <w:rPr>
                <w:lang w:eastAsia="ja-JP"/>
              </w:rPr>
              <w:t>-74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1814" w:type="dxa"/>
          </w:tcPr>
          <w:p>
            <w:pPr>
              <w:pStyle w:val="100"/>
              <w:spacing w:after="0"/>
              <w:ind w:left="0" w:firstLine="0"/>
              <w:rPr>
                <w:rFonts w:ascii="Arial" w:hAnsi="Arial"/>
                <w:sz w:val="18"/>
                <w:lang w:eastAsia="ja-JP"/>
              </w:rPr>
            </w:pPr>
            <w:r>
              <w:rPr>
                <w:rFonts w:ascii="Arial" w:hAnsi="Arial"/>
                <w:sz w:val="18"/>
                <w:lang w:eastAsia="ja-JP"/>
              </w:rPr>
              <w:t>NRS EPRE</w:t>
            </w:r>
          </w:p>
        </w:tc>
        <w:tc>
          <w:tcPr>
            <w:tcW w:w="1247" w:type="dxa"/>
          </w:tcPr>
          <w:p>
            <w:pPr>
              <w:pStyle w:val="103"/>
              <w:rPr>
                <w:lang w:eastAsia="ja-JP"/>
              </w:rPr>
            </w:pPr>
            <w:r>
              <w:rPr>
                <w:lang w:eastAsia="ja-JP"/>
              </w:rPr>
              <w:t>dBm/15kHz</w:t>
            </w:r>
          </w:p>
        </w:tc>
        <w:tc>
          <w:tcPr>
            <w:tcW w:w="907" w:type="dxa"/>
          </w:tcPr>
          <w:p>
            <w:pPr>
              <w:pStyle w:val="103"/>
              <w:jc w:val="center"/>
              <w:rPr>
                <w:lang w:eastAsia="ja-JP"/>
              </w:rPr>
            </w:pPr>
            <w:r>
              <w:rPr>
                <w:lang w:eastAsia="ja-JP"/>
              </w:rPr>
              <w:t>-85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jc w:val="center"/>
        </w:trPr>
        <w:tc>
          <w:tcPr>
            <w:tcW w:w="3968" w:type="dxa"/>
            <w:gridSpan w:val="3"/>
          </w:tcPr>
          <w:p>
            <w:pPr>
              <w:pStyle w:val="118"/>
              <w:rPr>
                <w:lang w:eastAsia="ja-JP"/>
              </w:rPr>
            </w:pPr>
            <w:r>
              <w:rPr>
                <w:lang w:eastAsia="ja-JP"/>
              </w:rPr>
              <w:t>Note 1:</w:t>
            </w:r>
            <w:r>
              <w:rPr>
                <w:lang w:eastAsia="ja-JP"/>
              </w:rPr>
              <w:tab/>
            </w:r>
            <w:r>
              <w:rPr>
                <w:lang w:eastAsia="ja-JP"/>
              </w:rPr>
              <w:t>The channel bandwidth power is informative, based on -85dBm/15kHz NRS_EPRE, then scaled according to the number of subcarriers and rounded to the nearest integer dBm value. Full RE allocation with no boost or deboost is assumed in this calculation, but allocation may vary during setup.</w:t>
            </w:r>
          </w:p>
          <w:p>
            <w:pPr>
              <w:pStyle w:val="118"/>
              <w:rPr>
                <w:lang w:eastAsia="ja-JP"/>
              </w:rPr>
            </w:pPr>
            <w:r>
              <w:rPr>
                <w:lang w:eastAsia="ja-JP"/>
              </w:rPr>
              <w:t>Note 2:</w:t>
            </w:r>
            <w:r>
              <w:rPr>
                <w:lang w:eastAsia="ja-JP"/>
              </w:rPr>
              <w:tab/>
            </w:r>
            <w:r>
              <w:rPr>
                <w:lang w:eastAsia="ja-JP"/>
              </w:rPr>
              <w:t>The power level is specified at the UE Rx antenna</w:t>
            </w:r>
          </w:p>
        </w:tc>
      </w:tr>
    </w:tbl>
    <w:p/>
    <w:p>
      <w:pPr>
        <w:rPr>
          <w:lang w:eastAsia="ja-JP"/>
        </w:rPr>
      </w:pPr>
      <w:r>
        <w:rPr>
          <w:lang w:eastAsia="ja-JP"/>
        </w:rPr>
        <w:t>The default signal level uncertainty is +/-3dB at each test port, for any level specified. If the uncertainty value is critical for the test purpose, a tighter uncertainty is specified for the related test case in</w:t>
      </w:r>
      <w:r>
        <w:t xml:space="preserve"> Annex F</w:t>
      </w:r>
      <w:r>
        <w:rPr>
          <w:lang w:eastAsia="ja-JP"/>
        </w:rPr>
        <w:t>.</w:t>
      </w:r>
    </w:p>
    <w:p>
      <w:pPr>
        <w:pStyle w:val="3"/>
      </w:pPr>
      <w:bookmarkStart w:id="1101" w:name="_Toc13107"/>
      <w:bookmarkStart w:id="1102" w:name="_Toc232582145"/>
      <w:r>
        <w:t>C.1</w:t>
      </w:r>
      <w:r>
        <w:tab/>
      </w:r>
      <w:r>
        <w:t>General</w:t>
      </w:r>
      <w:bookmarkEnd w:id="1101"/>
      <w:bookmarkEnd w:id="1102"/>
    </w:p>
    <w:p>
      <w:r>
        <w:t>Table C.1-1 describes the mapping of downlink physical channels and signals to physical resources</w:t>
      </w:r>
      <w:r>
        <w:rPr>
          <w:lang w:eastAsia="ja-JP"/>
        </w:rPr>
        <w:t xml:space="preserve"> for </w:t>
      </w:r>
      <w:r>
        <w:rPr>
          <w:rFonts w:hint="eastAsia"/>
        </w:rPr>
        <w:t>category M1</w:t>
      </w:r>
      <w:r>
        <w:rPr>
          <w:lang w:eastAsia="ja-JP"/>
        </w:rPr>
        <w:t xml:space="preserve"> FDD</w:t>
      </w:r>
      <w:r>
        <w:t>.</w:t>
      </w:r>
    </w:p>
    <w:p>
      <w:r>
        <w:t>Table C.1-</w:t>
      </w:r>
      <w:r>
        <w:rPr>
          <w:rFonts w:eastAsia="宋体"/>
          <w:lang w:val="en-US" w:eastAsia="zh-CN"/>
        </w:rPr>
        <w:t>2</w:t>
      </w:r>
      <w:r>
        <w:t xml:space="preserve"> describes the mapping of downlink physical channels and signals to physical resources</w:t>
      </w:r>
      <w:r>
        <w:rPr>
          <w:lang w:eastAsia="ja-JP"/>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t>.</w:t>
      </w:r>
    </w:p>
    <w:p>
      <w:pPr>
        <w:pStyle w:val="113"/>
        <w:rPr>
          <w:lang w:eastAsia="ja-JP"/>
        </w:rPr>
      </w:pPr>
      <w:r>
        <w:t xml:space="preserve">Table C.1-1: </w:t>
      </w:r>
      <w:r>
        <w:rPr>
          <w:lang w:eastAsia="ja-JP"/>
        </w:rPr>
        <w:t>M</w:t>
      </w:r>
      <w:r>
        <w:t>apping of downlink physical channels and signals to physical resources</w:t>
      </w:r>
      <w:r>
        <w:rPr>
          <w:lang w:eastAsia="ja-JP"/>
        </w:rPr>
        <w:t xml:space="preserve"> for</w:t>
      </w:r>
      <w:r>
        <w:rPr>
          <w:rFonts w:hint="eastAsia" w:eastAsia="宋体"/>
          <w:lang w:val="en-US" w:eastAsia="zh-CN"/>
        </w:rPr>
        <w:t xml:space="preserve"> </w:t>
      </w:r>
      <w:r>
        <w:rPr>
          <w:rFonts w:hint="eastAsia"/>
        </w:rPr>
        <w:t>category M1</w:t>
      </w:r>
      <w:r>
        <w:rPr>
          <w:lang w:eastAsia="ja-JP"/>
        </w:rPr>
        <w:t xml:space="preserve"> FDD</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6"/>
        <w:gridCol w:w="2834"/>
        <w:gridCol w:w="3072"/>
        <w:gridCol w:w="2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6" w:type="dxa"/>
          </w:tcPr>
          <w:p>
            <w:pPr>
              <w:pStyle w:val="104"/>
              <w:rPr>
                <w:lang w:eastAsia="zh-CN"/>
              </w:rPr>
            </w:pPr>
            <w:r>
              <w:rPr>
                <w:lang w:eastAsia="zh-CN"/>
              </w:rPr>
              <w:t>Physical channel</w:t>
            </w:r>
          </w:p>
        </w:tc>
        <w:tc>
          <w:tcPr>
            <w:tcW w:w="2834" w:type="dxa"/>
          </w:tcPr>
          <w:p>
            <w:pPr>
              <w:pStyle w:val="104"/>
              <w:rPr>
                <w:lang w:eastAsia="zh-CN"/>
              </w:rPr>
            </w:pPr>
            <w:r>
              <w:rPr>
                <w:lang w:eastAsia="zh-CN"/>
              </w:rPr>
              <w:t>Time Domain Location</w:t>
            </w:r>
          </w:p>
        </w:tc>
        <w:tc>
          <w:tcPr>
            <w:tcW w:w="3072" w:type="dxa"/>
          </w:tcPr>
          <w:p>
            <w:pPr>
              <w:pStyle w:val="104"/>
              <w:rPr>
                <w:lang w:eastAsia="zh-CN"/>
              </w:rPr>
            </w:pPr>
            <w:r>
              <w:rPr>
                <w:lang w:eastAsia="zh-CN"/>
              </w:rPr>
              <w:t>Frequency Domain Location</w:t>
            </w:r>
          </w:p>
        </w:tc>
        <w:tc>
          <w:tcPr>
            <w:tcW w:w="2837" w:type="dxa"/>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 w:type="dxa"/>
          </w:tcPr>
          <w:p>
            <w:pPr>
              <w:pStyle w:val="103"/>
            </w:pPr>
            <w:r>
              <w:t>RS</w:t>
            </w:r>
          </w:p>
        </w:tc>
        <w:tc>
          <w:tcPr>
            <w:tcW w:w="2834" w:type="dxa"/>
          </w:tcPr>
          <w:p>
            <w:pPr>
              <w:pStyle w:val="105"/>
            </w:pPr>
            <w:r>
              <w:t>Symbols 0, 4 of each subframe for antenna port 0 &amp; 1</w:t>
            </w:r>
          </w:p>
          <w:p>
            <w:pPr>
              <w:pStyle w:val="105"/>
            </w:pPr>
            <w:r>
              <w:t>Symbol 1 of each subframe for antenna port 2 &amp; 3</w:t>
            </w:r>
          </w:p>
        </w:tc>
        <w:tc>
          <w:tcPr>
            <w:tcW w:w="3072" w:type="dxa"/>
          </w:tcPr>
          <w:p>
            <w:pPr>
              <w:pStyle w:val="105"/>
            </w:pPr>
            <w:r>
              <w:t>Downlink system bandwidth dependent</w:t>
            </w:r>
          </w:p>
        </w:tc>
        <w:tc>
          <w:tcPr>
            <w:tcW w:w="2837" w:type="dxa"/>
          </w:tcPr>
          <w:p>
            <w:pPr>
              <w:pStyle w:val="105"/>
            </w:pPr>
            <w:r>
              <w:t>Mapping rule is specified in TS 36.211 6.10.1.2</w:t>
            </w:r>
          </w:p>
          <w:p>
            <w:pPr>
              <w:pStyle w:val="105"/>
            </w:pPr>
            <w:r>
              <w:t>- CELL_ID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6" w:type="dxa"/>
          </w:tcPr>
          <w:p>
            <w:pPr>
              <w:pStyle w:val="103"/>
            </w:pPr>
            <w:r>
              <w:t>PBCH</w:t>
            </w:r>
          </w:p>
        </w:tc>
        <w:tc>
          <w:tcPr>
            <w:tcW w:w="2834" w:type="dxa"/>
          </w:tcPr>
          <w:p>
            <w:pPr>
              <w:pStyle w:val="105"/>
            </w:pPr>
            <w:r>
              <w:t>Symbols 0 to 3 of slot 1 of subframe 0 of each radio frame</w:t>
            </w:r>
          </w:p>
        </w:tc>
        <w:tc>
          <w:tcPr>
            <w:tcW w:w="3072" w:type="dxa"/>
          </w:tcPr>
          <w:p>
            <w:pPr>
              <w:pStyle w:val="105"/>
            </w:pPr>
            <w:r>
              <w:t>Occupies 72 subcarriers centred on the DC subcarrier</w:t>
            </w:r>
          </w:p>
        </w:tc>
        <w:tc>
          <w:tcPr>
            <w:tcW w:w="2837" w:type="dxa"/>
          </w:tcPr>
          <w:p>
            <w:pPr>
              <w:pStyle w:val="105"/>
            </w:pPr>
            <w:r>
              <w:t xml:space="preserve">Mapping rule is specified in TS 36.211 Section 6.6.4 </w:t>
            </w:r>
            <w:r>
              <w:rPr>
                <w:rFonts w:cs="Arial"/>
                <w:lang w:eastAsia="ja-JP"/>
              </w:rPr>
              <w:t>(</w:t>
            </w:r>
            <w:r>
              <w:rPr>
                <w:rFonts w:cs="Arial"/>
              </w:rPr>
              <w:t xml:space="preserve">Note </w:t>
            </w:r>
            <w:r>
              <w:rPr>
                <w:rFonts w:cs="Arial"/>
                <w:lang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 w:type="dxa"/>
          </w:tcPr>
          <w:p>
            <w:pPr>
              <w:pStyle w:val="103"/>
            </w:pPr>
            <w:r>
              <w:t>PSS</w:t>
            </w:r>
          </w:p>
        </w:tc>
        <w:tc>
          <w:tcPr>
            <w:tcW w:w="2834" w:type="dxa"/>
          </w:tcPr>
          <w:p>
            <w:pPr>
              <w:pStyle w:val="105"/>
            </w:pPr>
            <w:r>
              <w:t>Symbol 6 of slot 0 and 10 of each radio frame</w:t>
            </w:r>
          </w:p>
        </w:tc>
        <w:tc>
          <w:tcPr>
            <w:tcW w:w="3072" w:type="dxa"/>
          </w:tcPr>
          <w:p>
            <w:pPr>
              <w:pStyle w:val="105"/>
            </w:pPr>
            <w:r>
              <w:t>Occupies 62 subcarriers centred on the DC subcarrier. Additional 10 subcarriers (5 on each side) adjacent to the centred 62 subcarriers are reserved.</w:t>
            </w:r>
          </w:p>
        </w:tc>
        <w:tc>
          <w:tcPr>
            <w:tcW w:w="2837" w:type="dxa"/>
          </w:tcPr>
          <w:p>
            <w:pPr>
              <w:pStyle w:val="105"/>
            </w:pPr>
            <w:r>
              <w:t>Mapping rule is specified in TS 36.211 Section 6.11.1.2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 w:type="dxa"/>
          </w:tcPr>
          <w:p>
            <w:pPr>
              <w:pStyle w:val="103"/>
            </w:pPr>
            <w:r>
              <w:t>SSS</w:t>
            </w:r>
          </w:p>
        </w:tc>
        <w:tc>
          <w:tcPr>
            <w:tcW w:w="2834" w:type="dxa"/>
          </w:tcPr>
          <w:p>
            <w:pPr>
              <w:pStyle w:val="105"/>
            </w:pPr>
            <w:r>
              <w:t>Symbol 5 of slots 0 and 10 of each radio frame</w:t>
            </w:r>
          </w:p>
        </w:tc>
        <w:tc>
          <w:tcPr>
            <w:tcW w:w="3072" w:type="dxa"/>
          </w:tcPr>
          <w:p>
            <w:pPr>
              <w:pStyle w:val="105"/>
            </w:pPr>
            <w:r>
              <w:t>Occupies 62 subcarriers centred on the DC subcarrier. Additional 10 subcarriers (5 on each side) adjacent to the centred 62 subcarriers are reserved.</w:t>
            </w:r>
          </w:p>
        </w:tc>
        <w:tc>
          <w:tcPr>
            <w:tcW w:w="2837" w:type="dxa"/>
          </w:tcPr>
          <w:p>
            <w:pPr>
              <w:pStyle w:val="105"/>
            </w:pPr>
            <w:r>
              <w:t>Mapping rule is specified in TS 36.211 Section 6.11.2.2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06" w:type="dxa"/>
          </w:tcPr>
          <w:p>
            <w:pPr>
              <w:pStyle w:val="103"/>
            </w:pPr>
            <w:r>
              <w:t>PCFICH</w:t>
            </w:r>
          </w:p>
        </w:tc>
        <w:tc>
          <w:tcPr>
            <w:tcW w:w="2834" w:type="dxa"/>
          </w:tcPr>
          <w:p>
            <w:pPr>
              <w:pStyle w:val="105"/>
            </w:pPr>
            <w:r>
              <w:t>Symbol 0 of each subframe</w:t>
            </w:r>
          </w:p>
        </w:tc>
        <w:tc>
          <w:tcPr>
            <w:tcW w:w="3072" w:type="dxa"/>
          </w:tcPr>
          <w:p>
            <w:pPr>
              <w:pStyle w:val="105"/>
            </w:pPr>
            <w:r>
              <w:t>Downlink system bandwidth dependent. Maps into 4 REGs uniformly spread in the frequency domain over the whole system bandwidth.</w:t>
            </w:r>
          </w:p>
        </w:tc>
        <w:tc>
          <w:tcPr>
            <w:tcW w:w="2837" w:type="dxa"/>
          </w:tcPr>
          <w:p>
            <w:pPr>
              <w:pStyle w:val="105"/>
            </w:pPr>
            <w:r>
              <w:t>Mapping rule is specified in TS 36.211 Section 6.7.4 (Note 1)</w:t>
            </w:r>
          </w:p>
          <w:p>
            <w:pPr>
              <w:pStyle w:val="105"/>
            </w:pPr>
            <w:r>
              <w:t>- CELL_ID = 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1" w:hRule="atLeast"/>
        </w:trPr>
        <w:tc>
          <w:tcPr>
            <w:tcW w:w="1006" w:type="dxa"/>
          </w:tcPr>
          <w:p>
            <w:pPr>
              <w:pStyle w:val="103"/>
            </w:pPr>
            <w:r>
              <w:t>PHICH</w:t>
            </w:r>
          </w:p>
        </w:tc>
        <w:tc>
          <w:tcPr>
            <w:tcW w:w="2834" w:type="dxa"/>
          </w:tcPr>
          <w:p>
            <w:pPr>
              <w:pStyle w:val="105"/>
            </w:pPr>
            <w:r>
              <w:t>Symbol 0 of each subframe</w:t>
            </w:r>
          </w:p>
        </w:tc>
        <w:tc>
          <w:tcPr>
            <w:tcW w:w="3072" w:type="dxa"/>
          </w:tcPr>
          <w:p>
            <w:pPr>
              <w:pStyle w:val="105"/>
            </w:pPr>
            <w:r>
              <w:t>Downlink system bandwidth dependent. Each PHICH group maps into 3 REGs in the frequency domain on the REGs not assigned to PCFICH over the whole system bandwidth</w:t>
            </w:r>
          </w:p>
        </w:tc>
        <w:tc>
          <w:tcPr>
            <w:tcW w:w="2837" w:type="dxa"/>
          </w:tcPr>
          <w:p>
            <w:pPr>
              <w:pStyle w:val="105"/>
            </w:pPr>
            <w:r>
              <w:t>Mapping rule is specified in TS 36.211 Section 6.9.3 (Note 1)</w:t>
            </w:r>
          </w:p>
          <w:p>
            <w:pPr>
              <w:pStyle w:val="105"/>
            </w:pPr>
            <w:r>
              <w:t>- CELL_ID = 0</w:t>
            </w:r>
          </w:p>
          <w:p>
            <w:pPr>
              <w:pStyle w:val="105"/>
            </w:pPr>
            <w:r>
              <w:t>- Ng = 1</w:t>
            </w:r>
          </w:p>
          <w:p>
            <w:pPr>
              <w:pStyle w:val="105"/>
            </w:pPr>
            <w:r>
              <w:t>- Normal PHICH duration</w:t>
            </w:r>
          </w:p>
          <w:p>
            <w:pPr>
              <w:pStyle w:val="105"/>
            </w:pPr>
            <w:r>
              <w:t>-Number of PHICH groups = 1(BW=1.4MHz)/2(BW=3MHz)/</w:t>
            </w:r>
          </w:p>
          <w:p>
            <w:pPr>
              <w:pStyle w:val="105"/>
            </w:pPr>
            <w:r>
              <w:t>4(BW=5MHz)/7(BW=10MHz)/</w:t>
            </w:r>
          </w:p>
          <w:p>
            <w:pPr>
              <w:pStyle w:val="105"/>
            </w:pPr>
            <w:r>
              <w:t>10(BW=15MHz)/13(BW=20MHz)</w:t>
            </w:r>
          </w:p>
          <w:p>
            <w:pPr>
              <w:pStyle w:val="105"/>
            </w:pPr>
          </w:p>
          <w:p>
            <w:pPr>
              <w:pStyle w:val="105"/>
            </w:pPr>
            <w:r>
              <w:t>Not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 w:type="dxa"/>
          </w:tcPr>
          <w:p>
            <w:pPr>
              <w:pStyle w:val="103"/>
            </w:pPr>
            <w:r>
              <w:t>PDCCH</w:t>
            </w:r>
          </w:p>
        </w:tc>
        <w:tc>
          <w:tcPr>
            <w:tcW w:w="2834" w:type="dxa"/>
          </w:tcPr>
          <w:p>
            <w:pPr>
              <w:pStyle w:val="105"/>
            </w:pPr>
            <w:r>
              <w:t>Symbols 0, 1, 2, 3 of each subframe for 1.4 MHz</w:t>
            </w:r>
          </w:p>
          <w:p>
            <w:pPr>
              <w:pStyle w:val="105"/>
            </w:pPr>
          </w:p>
          <w:p>
            <w:pPr>
              <w:pStyle w:val="105"/>
            </w:pPr>
            <w:r>
              <w:t>Symbols 0, 1, 2, of each subframe for 3 and 5 MHz</w:t>
            </w:r>
          </w:p>
          <w:p>
            <w:pPr>
              <w:pStyle w:val="105"/>
            </w:pPr>
          </w:p>
          <w:p>
            <w:pPr>
              <w:pStyle w:val="105"/>
            </w:pPr>
            <w:r>
              <w:t xml:space="preserve">Symbols 0, 1 of each subframe for 10, 15 and 20 MHz </w:t>
            </w:r>
          </w:p>
        </w:tc>
        <w:tc>
          <w:tcPr>
            <w:tcW w:w="3072" w:type="dxa"/>
          </w:tcPr>
          <w:p>
            <w:pPr>
              <w:pStyle w:val="105"/>
            </w:pPr>
            <w:r>
              <w:t>The remaining REGs not allocated to both PCFICH and PHICH are used for PDCCH</w:t>
            </w:r>
          </w:p>
        </w:tc>
        <w:tc>
          <w:tcPr>
            <w:tcW w:w="2837" w:type="dxa"/>
          </w:tcPr>
          <w:p>
            <w:pPr>
              <w:pStyle w:val="105"/>
            </w:pPr>
            <w:r>
              <w:t>Mapping rule is specified in TS 36.211 Section 6.8.5 (Note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 w:type="dxa"/>
          </w:tcPr>
          <w:p>
            <w:pPr>
              <w:pStyle w:val="103"/>
            </w:pPr>
            <w:r>
              <w:t>MPDCCH</w:t>
            </w:r>
          </w:p>
        </w:tc>
        <w:tc>
          <w:tcPr>
            <w:tcW w:w="2834" w:type="dxa"/>
          </w:tcPr>
          <w:p>
            <w:pPr>
              <w:pStyle w:val="105"/>
            </w:pPr>
            <w:r>
              <w:t>Same as PDSCH</w:t>
            </w:r>
          </w:p>
        </w:tc>
        <w:tc>
          <w:tcPr>
            <w:tcW w:w="3072" w:type="dxa"/>
          </w:tcPr>
          <w:p>
            <w:pPr>
              <w:pStyle w:val="105"/>
            </w:pPr>
            <w:r>
              <w:t>For Subframe 0, subcarriers corresponding to resource elements not allocated to RS, PSS, SSS and PBCH (core set and repetitions) and reserved for PBCH antenna ports 3 and 4 on the 72 central subcarriers.</w:t>
            </w:r>
          </w:p>
          <w:p>
            <w:pPr>
              <w:pStyle w:val="105"/>
            </w:pPr>
          </w:p>
          <w:p>
            <w:pPr>
              <w:pStyle w:val="105"/>
            </w:pPr>
            <w:r>
              <w:t>For Subframe 5, subcarriers corresponding to resource elements not allocated to RS, PSS and SSS.</w:t>
            </w:r>
          </w:p>
          <w:p>
            <w:pPr>
              <w:pStyle w:val="105"/>
            </w:pPr>
          </w:p>
          <w:p>
            <w:pPr>
              <w:pStyle w:val="105"/>
            </w:pPr>
            <w:r>
              <w:t>For Subframe 9, subcarriers corresponding to resource elements not allocated to RS, PSS, SSS and PBCH (repetitions).</w:t>
            </w:r>
          </w:p>
          <w:p>
            <w:pPr>
              <w:pStyle w:val="105"/>
            </w:pPr>
          </w:p>
          <w:p>
            <w:pPr>
              <w:pStyle w:val="105"/>
            </w:pPr>
            <w:r>
              <w:t>For other subframes, subcarriers corresponding to resource elements not allocated to RS.</w:t>
            </w:r>
          </w:p>
        </w:tc>
        <w:tc>
          <w:tcPr>
            <w:tcW w:w="2837" w:type="dxa"/>
          </w:tcPr>
          <w:p>
            <w:pPr>
              <w:pStyle w:val="105"/>
            </w:pPr>
            <w:r>
              <w:t>Mapping rule is specified in TS 36.211 Section 6.8B.5 (Note 1)</w:t>
            </w:r>
          </w:p>
          <w:p>
            <w:pPr>
              <w:pStyle w:val="105"/>
            </w:pPr>
          </w:p>
          <w:p>
            <w:pPr>
              <w:pStyle w:val="105"/>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 w:type="dxa"/>
          </w:tcPr>
          <w:p>
            <w:pPr>
              <w:pStyle w:val="103"/>
            </w:pPr>
            <w:r>
              <w:t>PDSCH</w:t>
            </w:r>
          </w:p>
        </w:tc>
        <w:tc>
          <w:tcPr>
            <w:tcW w:w="2834" w:type="dxa"/>
          </w:tcPr>
          <w:p>
            <w:pPr>
              <w:pStyle w:val="105"/>
            </w:pPr>
            <w:r>
              <w:t>All remaining OFDM symbols of each subframe not allocated to PDCCH</w:t>
            </w:r>
          </w:p>
        </w:tc>
        <w:tc>
          <w:tcPr>
            <w:tcW w:w="3072" w:type="dxa"/>
          </w:tcPr>
          <w:p>
            <w:pPr>
              <w:pStyle w:val="105"/>
            </w:pPr>
            <w:r>
              <w:t xml:space="preserve">For Subframe 0, </w:t>
            </w:r>
          </w:p>
          <w:p>
            <w:pPr>
              <w:pStyle w:val="105"/>
            </w:pPr>
            <w:r>
              <w:t>REs not allocated to RS, PSS, SSS and PBCH, is allocated to PDSCH</w:t>
            </w:r>
          </w:p>
          <w:p>
            <w:pPr>
              <w:pStyle w:val="105"/>
            </w:pPr>
          </w:p>
          <w:p>
            <w:pPr>
              <w:pStyle w:val="105"/>
            </w:pPr>
            <w:r>
              <w:t xml:space="preserve">For Subframe 5, </w:t>
            </w:r>
          </w:p>
          <w:p>
            <w:pPr>
              <w:pStyle w:val="105"/>
            </w:pPr>
            <w:r>
              <w:t>REs not allocated to RS, PSS and SSS, is allocated to PDSCH</w:t>
            </w:r>
          </w:p>
          <w:p>
            <w:pPr>
              <w:pStyle w:val="105"/>
            </w:pPr>
          </w:p>
          <w:p>
            <w:pPr>
              <w:pStyle w:val="105"/>
            </w:pPr>
            <w:r>
              <w:t xml:space="preserve">For other subframes, </w:t>
            </w:r>
          </w:p>
          <w:p>
            <w:pPr>
              <w:pStyle w:val="105"/>
            </w:pPr>
            <w:r>
              <w:t>REs not allocated to RS, is allocated to PDSCH</w:t>
            </w:r>
          </w:p>
        </w:tc>
        <w:tc>
          <w:tcPr>
            <w:tcW w:w="2837" w:type="dxa"/>
          </w:tcPr>
          <w:p>
            <w:pPr>
              <w:pStyle w:val="105"/>
            </w:pPr>
            <w:r>
              <w:t>Note that there are reserved REs that are not used for transmission of any physical channels (Note 3 ) &amp; (Note 4) which need to be taken into account when allocating REs to 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9" w:type="dxa"/>
            <w:gridSpan w:val="4"/>
          </w:tcPr>
          <w:p>
            <w:pPr>
              <w:pStyle w:val="118"/>
            </w:pPr>
            <w:r>
              <w:rPr>
                <w:lang w:eastAsia="ko-KR"/>
              </w:rPr>
              <w:t>Note 1: In ca</w:t>
            </w:r>
            <w:r>
              <w:t>se a single cell-specific RS is configured, cell-specific RS shall be assume to be present on antenna ports 0 and 1 for the purpose of mapping a symbol-quadruplet to a REG (resource-element group). (See TS 36.211 Section 6.2.4).</w:t>
            </w:r>
          </w:p>
          <w:p>
            <w:pPr>
              <w:pStyle w:val="118"/>
            </w:pPr>
            <w:r>
              <w:rPr>
                <w:lang w:eastAsia="ko-KR"/>
              </w:rPr>
              <w:t xml:space="preserve">Note </w:t>
            </w:r>
            <w:r>
              <w:rPr>
                <w:lang w:eastAsia="ja-JP"/>
              </w:rPr>
              <w:t>2</w:t>
            </w:r>
            <w:r>
              <w:rPr>
                <w:lang w:eastAsia="ko-KR"/>
              </w:rPr>
              <w:t xml:space="preserve">: PBCH </w:t>
            </w:r>
            <w:r>
              <w:t>is mapped into RE assuming RS from 4 antennas are used at the eNB transmitter, irrespective of the actual number of Tx antenna. Resource elements assumed to be reserved for RS but not used for transmission of RS shall not be used for transmission of any physical channel. (See TS 36.211 Section 6.6.4).</w:t>
            </w:r>
          </w:p>
          <w:p>
            <w:pPr>
              <w:pStyle w:val="118"/>
            </w:pPr>
            <w:r>
              <w:t xml:space="preserve">Note 3: In slot 0 </w:t>
            </w:r>
            <w:r>
              <w:rPr>
                <w:rFonts w:eastAsia="宋体"/>
                <w:lang w:eastAsia="zh-CN"/>
              </w:rPr>
              <w:t xml:space="preserve">and slot 10 </w:t>
            </w:r>
            <w:r>
              <w:t>of each radio frame, there are reserved REs for PSS and SSS that are not used for transmission of any physical channels. (See TS 36.211 Section 6.11.1.2 &amp; 6.11.2.2).</w:t>
            </w:r>
          </w:p>
          <w:p>
            <w:pPr>
              <w:pStyle w:val="118"/>
            </w:pPr>
            <w:r>
              <w:t>Note 4: REs used for RS transmission on any of the antenna ports in a slot shall not be used for any transmission on any other antenna port in the same slot and set to zero. (See TS 36.211 Section 6.10.1.2).</w:t>
            </w:r>
          </w:p>
        </w:tc>
      </w:tr>
    </w:tbl>
    <w:p>
      <w:pPr>
        <w:rPr>
          <w:lang w:eastAsia="zh-CN"/>
        </w:rPr>
      </w:pPr>
    </w:p>
    <w:p>
      <w:pPr>
        <w:pStyle w:val="113"/>
        <w:rPr>
          <w:lang w:eastAsia="ja-JP"/>
        </w:rPr>
      </w:pPr>
      <w:r>
        <w:t>Table C.1-</w:t>
      </w:r>
      <w:r>
        <w:rPr>
          <w:rFonts w:hint="eastAsia" w:eastAsia="宋体"/>
          <w:lang w:val="en-US" w:eastAsia="zh-CN"/>
        </w:rPr>
        <w:t>2</w:t>
      </w:r>
      <w:r>
        <w:t xml:space="preserve">: </w:t>
      </w:r>
      <w:r>
        <w:rPr>
          <w:lang w:eastAsia="ja-JP"/>
        </w:rPr>
        <w:t>M</w:t>
      </w:r>
      <w:r>
        <w:t>apping of downlink physical channels and signals to physical resources</w:t>
      </w:r>
      <w:r>
        <w:rPr>
          <w:lang w:eastAsia="ja-JP"/>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2851"/>
        <w:gridCol w:w="3085"/>
        <w:gridCol w:w="2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pPr>
              <w:pStyle w:val="104"/>
            </w:pPr>
            <w:r>
              <w:t>Physical channel</w:t>
            </w:r>
          </w:p>
        </w:tc>
        <w:tc>
          <w:tcPr>
            <w:tcW w:w="2851" w:type="dxa"/>
          </w:tcPr>
          <w:p>
            <w:pPr>
              <w:pStyle w:val="104"/>
            </w:pPr>
            <w:r>
              <w:t xml:space="preserve">Time Domain Location </w:t>
            </w:r>
          </w:p>
        </w:tc>
        <w:tc>
          <w:tcPr>
            <w:tcW w:w="3085" w:type="dxa"/>
          </w:tcPr>
          <w:p>
            <w:pPr>
              <w:pStyle w:val="104"/>
            </w:pPr>
            <w:r>
              <w:t xml:space="preserve">Frequency Domain Location </w:t>
            </w:r>
          </w:p>
        </w:tc>
        <w:tc>
          <w:tcPr>
            <w:tcW w:w="2825"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pPr>
              <w:pStyle w:val="103"/>
            </w:pPr>
            <w:r>
              <w:t>NPBCH</w:t>
            </w:r>
          </w:p>
        </w:tc>
        <w:tc>
          <w:tcPr>
            <w:tcW w:w="2851" w:type="dxa"/>
          </w:tcPr>
          <w:p>
            <w:pPr>
              <w:pStyle w:val="105"/>
              <w:jc w:val="left"/>
            </w:pPr>
            <w:r>
              <w:t>NPBCH is transmitted in subframe 0 in every radio frame.</w:t>
            </w:r>
          </w:p>
          <w:p>
            <w:pPr>
              <w:pStyle w:val="105"/>
              <w:jc w:val="left"/>
            </w:pPr>
            <w:r>
              <w:t>NPBCH consists of 8 independently decodable blocks of 80 ms duration.</w:t>
            </w:r>
          </w:p>
          <w:p>
            <w:pPr>
              <w:pStyle w:val="105"/>
              <w:jc w:val="left"/>
            </w:pPr>
            <w:r>
              <w:t>The time interval where MIB remains unchanged is 640 ms.</w:t>
            </w:r>
          </w:p>
          <w:p>
            <w:pPr>
              <w:pStyle w:val="105"/>
              <w:jc w:val="left"/>
            </w:pPr>
            <w:r>
              <w:t>NPBCH does not use the first 3 symbols in a subframe in in-band operation.</w:t>
            </w:r>
          </w:p>
          <w:p>
            <w:pPr>
              <w:pStyle w:val="105"/>
              <w:jc w:val="left"/>
            </w:pPr>
            <w:r>
              <w:t>For stand-alone and guard-band, the first 3 symbols (of the subframe transmitting NPBCH) contain no NPBCH.</w:t>
            </w:r>
          </w:p>
        </w:tc>
        <w:tc>
          <w:tcPr>
            <w:tcW w:w="3085" w:type="dxa"/>
          </w:tcPr>
          <w:p>
            <w:pPr>
              <w:pStyle w:val="105"/>
              <w:jc w:val="left"/>
            </w:pPr>
            <w:r>
              <w:t>Occupies any of the 12 subcarriers not reserved for transmission of reference signals</w:t>
            </w:r>
          </w:p>
        </w:tc>
        <w:tc>
          <w:tcPr>
            <w:tcW w:w="2825" w:type="dxa"/>
          </w:tcPr>
          <w:p>
            <w:pPr>
              <w:pStyle w:val="105"/>
              <w:jc w:val="left"/>
            </w:pPr>
            <w:r>
              <w:t>Mapping rule is specified in TS 36.211 [8] sub clause 10.2.4.4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pPr>
              <w:pStyle w:val="103"/>
            </w:pPr>
            <w:r>
              <w:t>NPSS</w:t>
            </w:r>
          </w:p>
        </w:tc>
        <w:tc>
          <w:tcPr>
            <w:tcW w:w="2851" w:type="dxa"/>
          </w:tcPr>
          <w:p>
            <w:pPr>
              <w:pStyle w:val="105"/>
              <w:jc w:val="left"/>
            </w:pPr>
            <w:r>
              <w:t>NPSS is transmitted in subframe 5.</w:t>
            </w:r>
          </w:p>
          <w:p>
            <w:pPr>
              <w:pStyle w:val="105"/>
              <w:jc w:val="left"/>
            </w:pPr>
            <w:r>
              <w:t>NPSS uses the last 11 OFDM symbols of subframes in which NB-PSS occurs for normal CP.</w:t>
            </w:r>
          </w:p>
          <w:p>
            <w:pPr>
              <w:pStyle w:val="105"/>
              <w:jc w:val="left"/>
            </w:pPr>
            <w:r>
              <w:t>NB-IoT PSS/SSS do not use:</w:t>
            </w:r>
          </w:p>
          <w:p>
            <w:pPr>
              <w:pStyle w:val="105"/>
              <w:jc w:val="left"/>
            </w:pPr>
            <w:r>
              <w:t xml:space="preserve"> - the LTE PDCCH control region</w:t>
            </w:r>
          </w:p>
          <w:p>
            <w:pPr>
              <w:pStyle w:val="105"/>
              <w:jc w:val="left"/>
            </w:pPr>
            <w:r>
              <w:t xml:space="preserve"> - REs used by LTE CRS</w:t>
            </w:r>
          </w:p>
          <w:p>
            <w:pPr>
              <w:pStyle w:val="105"/>
              <w:jc w:val="left"/>
            </w:pPr>
            <w:r>
              <w:t>NSSS periodicity is 10ms.</w:t>
            </w:r>
          </w:p>
        </w:tc>
        <w:tc>
          <w:tcPr>
            <w:tcW w:w="3085" w:type="dxa"/>
          </w:tcPr>
          <w:p>
            <w:pPr>
              <w:pStyle w:val="105"/>
              <w:jc w:val="left"/>
            </w:pPr>
            <w:r>
              <w:t>NPSS is mapped to sub-carriers #0-10 of the NB-IoT carrier</w:t>
            </w:r>
          </w:p>
        </w:tc>
        <w:tc>
          <w:tcPr>
            <w:tcW w:w="2825" w:type="dxa"/>
          </w:tcPr>
          <w:p>
            <w:pPr>
              <w:pStyle w:val="105"/>
              <w:jc w:val="left"/>
            </w:pPr>
            <w:r>
              <w:t>Mapping rule is specified in TS 36.211 [8] sub clause 10.2.7.1.2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Pr>
          <w:p>
            <w:pPr>
              <w:pStyle w:val="103"/>
            </w:pPr>
            <w:r>
              <w:t>NSSS</w:t>
            </w:r>
          </w:p>
        </w:tc>
        <w:tc>
          <w:tcPr>
            <w:tcW w:w="2851" w:type="dxa"/>
          </w:tcPr>
          <w:p>
            <w:pPr>
              <w:pStyle w:val="105"/>
              <w:jc w:val="left"/>
            </w:pPr>
            <w:r>
              <w:t>NSSS is transmitted in subframe 9.</w:t>
            </w:r>
          </w:p>
          <w:p>
            <w:pPr>
              <w:pStyle w:val="105"/>
              <w:jc w:val="left"/>
            </w:pPr>
            <w:r>
              <w:t>NSSS uses the last 11 OFDM symbols of subframes in which NB-SSS occurs for normal CP.</w:t>
            </w:r>
          </w:p>
          <w:p>
            <w:pPr>
              <w:pStyle w:val="105"/>
              <w:jc w:val="left"/>
            </w:pPr>
            <w:r>
              <w:t>NB-IoT PSS/SSS do not use:</w:t>
            </w:r>
          </w:p>
          <w:p>
            <w:pPr>
              <w:pStyle w:val="105"/>
              <w:jc w:val="left"/>
            </w:pPr>
            <w:r>
              <w:t xml:space="preserve"> - the LTE PDCCH control region</w:t>
            </w:r>
          </w:p>
          <w:p>
            <w:pPr>
              <w:pStyle w:val="105"/>
              <w:jc w:val="left"/>
            </w:pPr>
            <w:r>
              <w:t xml:space="preserve"> - REs used by LTE CRS</w:t>
            </w:r>
          </w:p>
          <w:p>
            <w:pPr>
              <w:pStyle w:val="105"/>
              <w:jc w:val="left"/>
            </w:pPr>
            <w:r>
              <w:t>NSSS periodicity is 20ms.</w:t>
            </w:r>
          </w:p>
        </w:tc>
        <w:tc>
          <w:tcPr>
            <w:tcW w:w="3085" w:type="dxa"/>
          </w:tcPr>
          <w:p>
            <w:pPr>
              <w:pStyle w:val="105"/>
              <w:jc w:val="left"/>
            </w:pPr>
            <w:r>
              <w:t>The number of subcarriers for NSSS is 12</w:t>
            </w:r>
          </w:p>
        </w:tc>
        <w:tc>
          <w:tcPr>
            <w:tcW w:w="2825" w:type="dxa"/>
          </w:tcPr>
          <w:p>
            <w:pPr>
              <w:pStyle w:val="105"/>
              <w:jc w:val="left"/>
            </w:pPr>
            <w:r>
              <w:t>Mapping rule is specified in TS 36.211 [8] sub clause 10.2.7.2.2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8" w:type="dxa"/>
          </w:tcPr>
          <w:p>
            <w:pPr>
              <w:pStyle w:val="103"/>
            </w:pPr>
            <w:r>
              <w:t>NPDCCH</w:t>
            </w:r>
          </w:p>
        </w:tc>
        <w:tc>
          <w:tcPr>
            <w:tcW w:w="2851" w:type="dxa"/>
          </w:tcPr>
          <w:p>
            <w:pPr>
              <w:pStyle w:val="105"/>
              <w:jc w:val="left"/>
            </w:pPr>
            <w:r>
              <w:t>NPDCCH on a given NB-IoT carrier are not mapped to the subframes containing NPSS/NSSS/PBCH on that carrier.</w:t>
            </w:r>
          </w:p>
          <w:p>
            <w:pPr>
              <w:pStyle w:val="105"/>
              <w:jc w:val="left"/>
            </w:pPr>
            <w:r>
              <w:t>NPDCCH are not be mapped onto resources elements used for NRS.</w:t>
            </w:r>
          </w:p>
          <w:p>
            <w:pPr>
              <w:pStyle w:val="105"/>
              <w:jc w:val="left"/>
            </w:pPr>
            <w:r>
              <w:t>NPDCCH are not overlapped with PBCH, PSS, SSS, or CRS.</w:t>
            </w:r>
          </w:p>
          <w:p>
            <w:pPr>
              <w:pStyle w:val="105"/>
              <w:jc w:val="left"/>
            </w:pPr>
            <w:r>
              <w:t>One or two NPDCCHs can be transmitted in a subframe.</w:t>
            </w:r>
          </w:p>
          <w:p>
            <w:pPr>
              <w:pStyle w:val="105"/>
              <w:jc w:val="left"/>
            </w:pPr>
            <w:r>
              <w:t>In in-band, first 3 OFDM symbols are not used for NPDCCH.</w:t>
            </w:r>
          </w:p>
          <w:p>
            <w:pPr>
              <w:pStyle w:val="105"/>
              <w:jc w:val="left"/>
            </w:pPr>
            <w:r>
              <w:t>In stand-alone and guard-band, all OFDM symbols are available for NPDCCH.</w:t>
            </w:r>
          </w:p>
          <w:p>
            <w:pPr>
              <w:pStyle w:val="105"/>
              <w:jc w:val="left"/>
            </w:pPr>
            <w:r>
              <w:t>NPDCCH and NPDSCH are multiplexed only based on TDM at subframe level:</w:t>
            </w:r>
          </w:p>
          <w:p>
            <w:pPr>
              <w:pStyle w:val="105"/>
              <w:jc w:val="left"/>
            </w:pPr>
            <w:r>
              <w:t xml:space="preserve"> - It means that only cross subframe scheduling is supported</w:t>
            </w:r>
          </w:p>
          <w:p>
            <w:pPr>
              <w:pStyle w:val="105"/>
              <w:jc w:val="left"/>
            </w:pPr>
            <w:r>
              <w:t xml:space="preserve"> - The start of an NPDCCH search space is &gt;=4ms after the end of the last NPDCCH search space</w:t>
            </w:r>
          </w:p>
        </w:tc>
        <w:tc>
          <w:tcPr>
            <w:tcW w:w="3085" w:type="dxa"/>
          </w:tcPr>
          <w:p>
            <w:pPr>
              <w:pStyle w:val="105"/>
              <w:jc w:val="left"/>
            </w:pPr>
            <w:r>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pPr>
              <w:pStyle w:val="105"/>
              <w:jc w:val="left"/>
            </w:pPr>
            <w:r>
              <w:t>Mapping rule is specified in TS36.211 [8] sub clause 10.2.5.5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Borders>
              <w:bottom w:val="single" w:color="auto" w:sz="4" w:space="0"/>
            </w:tcBorders>
          </w:tcPr>
          <w:p>
            <w:pPr>
              <w:pStyle w:val="103"/>
            </w:pPr>
            <w:r>
              <w:t>NPDSCH</w:t>
            </w:r>
          </w:p>
        </w:tc>
        <w:tc>
          <w:tcPr>
            <w:tcW w:w="2851" w:type="dxa"/>
            <w:tcBorders>
              <w:bottom w:val="single" w:color="auto" w:sz="4" w:space="0"/>
            </w:tcBorders>
          </w:tcPr>
          <w:p>
            <w:pPr>
              <w:pStyle w:val="105"/>
              <w:jc w:val="left"/>
            </w:pPr>
            <w:r>
              <w:t>The start of NB-PDSCH transmission is &gt;=4ms later than the end of its associated DL assignment.</w:t>
            </w:r>
          </w:p>
          <w:p>
            <w:pPr>
              <w:pStyle w:val="105"/>
              <w:jc w:val="left"/>
            </w:pPr>
            <w:r>
              <w:t>NPDSCH on a given NB-IoT carrier are not mapped to the subframes containing NPSS/NSSS/PBCH on that carrier.</w:t>
            </w:r>
          </w:p>
          <w:p>
            <w:pPr>
              <w:pStyle w:val="105"/>
              <w:jc w:val="left"/>
            </w:pPr>
            <w:r>
              <w:t>NPDSCH resource elements should be different from the ones used for NRS.</w:t>
            </w:r>
          </w:p>
          <w:p>
            <w:pPr>
              <w:pStyle w:val="105"/>
              <w:jc w:val="left"/>
            </w:pPr>
            <w:r>
              <w:t>NPDSCH resource elements should be different from the ones used for CRS.</w:t>
            </w:r>
          </w:p>
        </w:tc>
        <w:tc>
          <w:tcPr>
            <w:tcW w:w="3085" w:type="dxa"/>
            <w:tcBorders>
              <w:bottom w:val="single" w:color="auto" w:sz="4" w:space="0"/>
            </w:tcBorders>
          </w:tcPr>
          <w:p>
            <w:pPr>
              <w:pStyle w:val="105"/>
              <w:jc w:val="left"/>
            </w:pPr>
            <w:r>
              <w:t>Occupies any of the 12 subcarriers not reserved for transmission of reference signals</w:t>
            </w:r>
          </w:p>
        </w:tc>
        <w:tc>
          <w:tcPr>
            <w:tcW w:w="2825" w:type="dxa"/>
            <w:tcBorders>
              <w:bottom w:val="single" w:color="auto" w:sz="4" w:space="0"/>
            </w:tcBorders>
          </w:tcPr>
          <w:p>
            <w:pPr>
              <w:pStyle w:val="105"/>
              <w:jc w:val="left"/>
            </w:pPr>
            <w:r>
              <w:t>Mapping rule is specified in TS 36.211 [8] sub clause 10.2.3.4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 w:type="dxa"/>
            <w:tcBorders>
              <w:bottom w:val="single" w:color="auto" w:sz="4" w:space="0"/>
            </w:tcBorders>
          </w:tcPr>
          <w:p>
            <w:pPr>
              <w:pStyle w:val="103"/>
            </w:pPr>
            <w:r>
              <w:t>NRS</w:t>
            </w:r>
          </w:p>
        </w:tc>
        <w:tc>
          <w:tcPr>
            <w:tcW w:w="2851" w:type="dxa"/>
            <w:tcBorders>
              <w:bottom w:val="single" w:color="auto" w:sz="4" w:space="0"/>
            </w:tcBorders>
          </w:tcPr>
          <w:p>
            <w:pPr>
              <w:pStyle w:val="105"/>
              <w:jc w:val="left"/>
            </w:pPr>
            <w:r>
              <w:t>Narrowband reference signals are transmitted in all NB-IoT downlink subframes in a cell supporting NPDSCH transmission.</w:t>
            </w:r>
          </w:p>
          <w:p>
            <w:pPr>
              <w:pStyle w:val="105"/>
              <w:jc w:val="left"/>
            </w:pPr>
            <w:r>
              <w:t>NRS is not transmitted in subframes that are not NB-IoT downlink subframes, except if these subframes contain NPBCH or NPDSCH carrying SystemInformationBlockType1-NB where NRS shall be transmitted</w:t>
            </w:r>
          </w:p>
          <w:p>
            <w:pPr>
              <w:pStyle w:val="105"/>
              <w:jc w:val="left"/>
            </w:pPr>
            <w:r>
              <w:t>Narrowband reference signals are transmitted in subframes #0 and #4 and in subframes #9 not containing NSSS [when no NB-IoT downlink subframes configuration has not been established].</w:t>
            </w:r>
          </w:p>
          <w:p>
            <w:pPr>
              <w:pStyle w:val="105"/>
              <w:jc w:val="left"/>
            </w:pPr>
            <w:r>
              <w:t>The narrowband reference signals shall not be mapped to subframes containing NPSS or NSSS.</w:t>
            </w:r>
          </w:p>
          <w:p>
            <w:pPr>
              <w:pStyle w:val="105"/>
              <w:jc w:val="left"/>
            </w:pPr>
            <w:r>
              <w:t>NRS are transmitted on one or two antenna ports 0 to 1 (Figure 10.2.6.2-1 in TS 36.211 [8]).</w:t>
            </w:r>
          </w:p>
        </w:tc>
        <w:tc>
          <w:tcPr>
            <w:tcW w:w="3085" w:type="dxa"/>
            <w:tcBorders>
              <w:bottom w:val="single" w:color="auto" w:sz="4" w:space="0"/>
            </w:tcBorders>
          </w:tcPr>
          <w:p>
            <w:pPr>
              <w:pStyle w:val="105"/>
              <w:jc w:val="left"/>
            </w:pPr>
            <w:r>
              <w:t>2 subcarriers per antenna port in any OFDM symbol where NRS is transmitted</w:t>
            </w:r>
          </w:p>
        </w:tc>
        <w:tc>
          <w:tcPr>
            <w:tcW w:w="2825" w:type="dxa"/>
            <w:tcBorders>
              <w:bottom w:val="single" w:color="auto" w:sz="4" w:space="0"/>
            </w:tcBorders>
          </w:tcPr>
          <w:p>
            <w:pPr>
              <w:pStyle w:val="105"/>
              <w:jc w:val="left"/>
            </w:pPr>
          </w:p>
        </w:tc>
      </w:tr>
    </w:tbl>
    <w:p>
      <w:pPr>
        <w:rPr>
          <w:lang w:eastAsia="zh-CN"/>
        </w:rPr>
      </w:pPr>
    </w:p>
    <w:p>
      <w:pPr>
        <w:pStyle w:val="3"/>
      </w:pPr>
      <w:bookmarkStart w:id="1103" w:name="_Toc18953"/>
      <w:bookmarkStart w:id="1104" w:name="_Toc232582146"/>
      <w:r>
        <w:t>C.2</w:t>
      </w:r>
      <w:r>
        <w:tab/>
      </w:r>
      <w:r>
        <w:t>Set-up</w:t>
      </w:r>
      <w:bookmarkEnd w:id="1103"/>
      <w:bookmarkEnd w:id="1104"/>
    </w:p>
    <w:p>
      <w:pPr>
        <w:rPr>
          <w:rFonts w:cs="v5.0.0"/>
          <w:lang w:val="en-US"/>
        </w:rPr>
      </w:pPr>
      <w:r>
        <w:rPr>
          <w:rFonts w:cs="v5.0.0"/>
          <w:lang w:val="en-US"/>
        </w:rPr>
        <w:t xml:space="preserve">Table </w:t>
      </w:r>
      <w:r>
        <w:rPr>
          <w:rFonts w:eastAsia="宋体" w:cs="v5.0.0"/>
          <w:b/>
          <w:lang w:val="en-US" w:eastAsia="zh-CN"/>
        </w:rPr>
        <w:t>C</w:t>
      </w:r>
      <w:r>
        <w:rPr>
          <w:rFonts w:cs="v5.0.0"/>
          <w:lang w:val="en-US"/>
        </w:rPr>
        <w:t>.2-1 describes the downlink Physical Channels that are required for connection set up.</w:t>
      </w:r>
    </w:p>
    <w:p>
      <w:pPr>
        <w:pStyle w:val="113"/>
        <w:rPr>
          <w:rFonts w:cs="v5.0.0"/>
          <w:lang w:val="en-US"/>
        </w:rPr>
      </w:pPr>
      <w:r>
        <w:rPr>
          <w:rFonts w:cs="v5.0.0"/>
          <w:lang w:val="en-US"/>
        </w:rPr>
        <w:t xml:space="preserve">Table </w:t>
      </w:r>
      <w:r>
        <w:rPr>
          <w:rFonts w:eastAsia="宋体" w:cs="v5.0.0"/>
          <w:lang w:val="en-US" w:eastAsia="zh-CN"/>
        </w:rPr>
        <w:t>C</w:t>
      </w:r>
      <w:r>
        <w:rPr>
          <w:rFonts w:cs="v5.0.0"/>
          <w:lang w:val="en-US"/>
        </w:rPr>
        <w:t>.2-1: Downlink Physical Channels required</w:t>
      </w:r>
      <w:r>
        <w:rPr>
          <w:rFonts w:cs="v5.0.0"/>
          <w:lang w:val="en-US"/>
        </w:rPr>
        <w:br w:type="textWrapping"/>
      </w:r>
      <w:r>
        <w:rPr>
          <w:rFonts w:cs="v5.0.0"/>
          <w:lang w:val="en-US"/>
        </w:rPr>
        <w:t xml:space="preserve">for </w:t>
      </w:r>
      <w:r>
        <w:rPr>
          <w:rFonts w:hint="eastAsia"/>
        </w:rPr>
        <w:t>category M1</w:t>
      </w:r>
      <w:r>
        <w:rPr>
          <w:rFonts w:hint="eastAsia" w:eastAsia="宋体"/>
          <w:lang w:val="en-US" w:eastAsia="zh-CN"/>
        </w:rPr>
        <w:t xml:space="preserve"> </w:t>
      </w:r>
      <w:r>
        <w:rPr>
          <w:rFonts w:cs="v5.0.0"/>
          <w:lang w:val="en-US"/>
        </w:rPr>
        <w:t>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rFonts w:cs="v5.0.0"/>
                <w:lang w:val="en-US"/>
              </w:rPr>
            </w:pPr>
            <w:r>
              <w:rPr>
                <w:rFonts w:cs="v5.0.0"/>
                <w:lang w:val="en-US"/>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5"/>
              <w:rPr>
                <w:rFonts w:cs="Arial"/>
                <w:lang w:val="en-US"/>
              </w:rPr>
            </w:pPr>
            <w:r>
              <w:rPr>
                <w:rFonts w:cs="Arial"/>
                <w:lang w:val="en-US"/>
              </w:rPr>
              <w:t>PBCH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lang w:val="en-US"/>
              </w:rPr>
            </w:pPr>
            <w:r>
              <w:rPr>
                <w:rFonts w:cs="Arial"/>
                <w:snapToGrid w:val="0"/>
                <w:lang w:val="en-US"/>
              </w:rPr>
              <w:t xml:space="preserve">SSS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PSS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MPDCCH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5"/>
              <w:rPr>
                <w:rFonts w:cs="Arial"/>
                <w:snapToGrid w:val="0"/>
                <w:lang w:val="en-US"/>
              </w:rPr>
            </w:pPr>
            <w:r>
              <w:rPr>
                <w:rFonts w:cs="Arial"/>
                <w:snapToGrid w:val="0"/>
                <w:lang w:val="en-US"/>
              </w:rPr>
              <w:t>PDSCH</w:t>
            </w:r>
          </w:p>
        </w:tc>
      </w:tr>
    </w:tbl>
    <w:p>
      <w:pPr>
        <w:rPr>
          <w:lang w:eastAsia="ja-JP"/>
        </w:rPr>
      </w:pPr>
    </w:p>
    <w:p>
      <w:pPr>
        <w:rPr>
          <w:rFonts w:cs="v5.0.0"/>
          <w:lang w:eastAsia="ja-JP"/>
        </w:rPr>
      </w:pPr>
      <w:r>
        <w:rPr>
          <w:rFonts w:cs="v5.0.0"/>
        </w:rPr>
        <w:t>Table C.2-</w:t>
      </w:r>
      <w:r>
        <w:rPr>
          <w:rFonts w:cs="v5.0.0"/>
          <w:lang w:eastAsia="ja-JP"/>
        </w:rPr>
        <w:t>2</w:t>
      </w:r>
      <w:r>
        <w:rPr>
          <w:rFonts w:cs="v5.0.0"/>
        </w:rPr>
        <w:t xml:space="preserve"> describes the </w:t>
      </w:r>
      <w:r>
        <w:rPr>
          <w:rFonts w:cs="v5.0.0"/>
          <w:lang w:eastAsia="ja-JP"/>
        </w:rPr>
        <w:t>configuration of PDSCH and MPDCCH</w:t>
      </w:r>
      <w:r>
        <w:rPr>
          <w:rFonts w:cs="v5.0.0"/>
        </w:rPr>
        <w:t xml:space="preserve"> </w:t>
      </w:r>
      <w:r>
        <w:rPr>
          <w:rFonts w:cs="v5.0.0"/>
          <w:lang w:eastAsia="ja-JP"/>
        </w:rPr>
        <w:t>before measurement</w:t>
      </w:r>
      <w:r>
        <w:rPr>
          <w:rFonts w:eastAsia="宋体" w:cs="v5.0.0"/>
          <w:lang w:eastAsia="zh-CN"/>
        </w:rPr>
        <w:t xml:space="preserve"> for FDD</w:t>
      </w:r>
      <w:r>
        <w:rPr>
          <w:rFonts w:cs="v5.0.0"/>
          <w:lang w:eastAsia="ja-JP"/>
        </w:rPr>
        <w:t>.</w:t>
      </w:r>
    </w:p>
    <w:p>
      <w:pPr>
        <w:pStyle w:val="113"/>
        <w:rPr>
          <w:lang w:eastAsia="ja-JP"/>
        </w:rPr>
      </w:pPr>
      <w:r>
        <w:t xml:space="preserve">Table </w:t>
      </w:r>
      <w:r>
        <w:rPr>
          <w:lang w:eastAsia="ja-JP"/>
        </w:rPr>
        <w:t>C.2-</w:t>
      </w:r>
      <w:r>
        <w:rPr>
          <w:rFonts w:hint="eastAsia" w:eastAsia="宋体"/>
          <w:lang w:val="en-US" w:eastAsia="zh-CN"/>
        </w:rPr>
        <w:t>2</w:t>
      </w:r>
      <w:r>
        <w:t xml:space="preserve">: </w:t>
      </w:r>
      <w:r>
        <w:rPr>
          <w:lang w:eastAsia="ja-JP"/>
        </w:rPr>
        <w:t>PDSCH and MPDCCH</w:t>
      </w:r>
      <w:r>
        <w:t xml:space="preserve"> </w:t>
      </w:r>
      <w:r>
        <w:rPr>
          <w:lang w:eastAsia="ja-JP"/>
        </w:rPr>
        <w:t>configuration</w:t>
      </w:r>
      <w:r>
        <w:rPr>
          <w:rFonts w:eastAsia="宋体" w:cs="v5.0.0"/>
          <w:lang w:eastAsia="zh-CN"/>
        </w:rPr>
        <w:t xml:space="preserve"> for FDD</w:t>
      </w:r>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tcPr>
          <w:p>
            <w:pPr>
              <w:pStyle w:val="104"/>
              <w:rPr>
                <w:lang w:eastAsia="zh-CN"/>
              </w:rPr>
            </w:pPr>
            <w:r>
              <w:rPr>
                <w:lang w:eastAsia="zh-CN"/>
              </w:rPr>
              <w:t>Parameter</w:t>
            </w:r>
          </w:p>
        </w:tc>
        <w:tc>
          <w:tcPr>
            <w:tcW w:w="1417" w:type="dxa"/>
          </w:tcPr>
          <w:p>
            <w:pPr>
              <w:pStyle w:val="104"/>
              <w:rPr>
                <w:lang w:eastAsia="zh-CN"/>
              </w:rPr>
            </w:pPr>
            <w:r>
              <w:rPr>
                <w:lang w:eastAsia="zh-CN"/>
              </w:rPr>
              <w:t>Unit</w:t>
            </w:r>
          </w:p>
        </w:tc>
        <w:tc>
          <w:tcPr>
            <w:tcW w:w="1560" w:type="dxa"/>
          </w:tcPr>
          <w:p>
            <w:pPr>
              <w:pStyle w:val="104"/>
              <w:rPr>
                <w:lang w:eastAsia="zh-CN"/>
              </w:rPr>
            </w:pPr>
            <w:r>
              <w:rPr>
                <w:lang w:eastAsia="zh-CN"/>
              </w:rPr>
              <w:t xml:space="preserve">Value </w:t>
            </w:r>
          </w:p>
        </w:tc>
        <w:tc>
          <w:tcPr>
            <w:tcW w:w="2939" w:type="dxa"/>
          </w:tcPr>
          <w:p>
            <w:pPr>
              <w:pStyle w:val="104"/>
              <w:rPr>
                <w:lang w:eastAsia="zh-CN"/>
              </w:rPr>
            </w:pPr>
            <w:r>
              <w:rPr>
                <w:lang w:eastAsia="zh-CN"/>
              </w:rP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Allocated resource blocks</w:t>
            </w:r>
          </w:p>
        </w:tc>
        <w:tc>
          <w:tcPr>
            <w:tcW w:w="1417" w:type="dxa"/>
            <w:vAlign w:val="center"/>
          </w:tcPr>
          <w:p>
            <w:pPr>
              <w:pStyle w:val="105"/>
            </w:pPr>
          </w:p>
        </w:tc>
        <w:tc>
          <w:tcPr>
            <w:tcW w:w="1560" w:type="dxa"/>
            <w:vAlign w:val="center"/>
          </w:tcPr>
          <w:p>
            <w:pPr>
              <w:pStyle w:val="105"/>
              <w:rPr>
                <w:lang w:eastAsia="ja-JP"/>
              </w:rPr>
            </w:pPr>
            <w:r>
              <w:rPr>
                <w:lang w:eastAsia="ja-JP"/>
              </w:rPr>
              <w:t>[6]</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MCS Index</w:t>
            </w:r>
          </w:p>
        </w:tc>
        <w:tc>
          <w:tcPr>
            <w:tcW w:w="1417" w:type="dxa"/>
            <w:vAlign w:val="center"/>
          </w:tcPr>
          <w:p>
            <w:pPr>
              <w:pStyle w:val="105"/>
            </w:pPr>
          </w:p>
        </w:tc>
        <w:tc>
          <w:tcPr>
            <w:tcW w:w="1560" w:type="dxa"/>
            <w:vAlign w:val="center"/>
          </w:tcPr>
          <w:p>
            <w:pPr>
              <w:pStyle w:val="105"/>
            </w:pPr>
            <w:r>
              <w:rPr>
                <w:lang w:eastAsia="ja-JP"/>
              </w:rPr>
              <w:t>-</w:t>
            </w:r>
          </w:p>
        </w:tc>
        <w:tc>
          <w:tcPr>
            <w:tcW w:w="2939" w:type="dxa"/>
          </w:tcPr>
          <w:p>
            <w:pPr>
              <w:pStyle w:val="105"/>
            </w:pPr>
            <w:r>
              <w:t>TB</w:t>
            </w:r>
            <w:r>
              <w:rPr>
                <w:rFonts w:eastAsia="MS Mincho"/>
                <w:lang w:eastAsia="ja-JP"/>
              </w:rPr>
              <w:t xml:space="preserve"> </w:t>
            </w:r>
            <w:r>
              <w:t xml:space="preserve">Size </w:t>
            </w:r>
            <w:r>
              <w:rPr>
                <w:rFonts w:eastAsia="MS Mincho"/>
                <w:lang w:eastAsia="ja-JP"/>
              </w:rPr>
              <w:t xml:space="preserve">with </w:t>
            </w:r>
            <w:r>
              <w:t>transmit</w:t>
            </w:r>
            <w:r>
              <w:rPr>
                <w:rFonts w:eastAsia="MS Mincho"/>
                <w:lang w:eastAsia="ja-JP"/>
              </w:rPr>
              <w:t>ting m</w:t>
            </w:r>
            <w:r>
              <w:t xml:space="preserve">essage </w:t>
            </w:r>
            <w:r>
              <w:rPr>
                <w:rFonts w:eastAsia="MS Mincho"/>
                <w:lang w:eastAsia="ja-JP"/>
              </w:rPr>
              <w:t xml:space="preserve">in </w:t>
            </w:r>
            <w:r>
              <w:t>1TTI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 CE Mode A</w:t>
            </w:r>
          </w:p>
        </w:tc>
        <w:tc>
          <w:tcPr>
            <w:tcW w:w="1417" w:type="dxa"/>
            <w:vAlign w:val="center"/>
          </w:tcPr>
          <w:p>
            <w:pPr>
              <w:pStyle w:val="105"/>
            </w:pPr>
            <w:r>
              <w:t>Processes</w:t>
            </w:r>
          </w:p>
        </w:tc>
        <w:tc>
          <w:tcPr>
            <w:tcW w:w="1560" w:type="dxa"/>
            <w:vAlign w:val="center"/>
          </w:tcPr>
          <w:p>
            <w:pPr>
              <w:pStyle w:val="105"/>
            </w:pPr>
            <w:r>
              <w:t>[8]</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 CE Mode B</w:t>
            </w:r>
          </w:p>
        </w:tc>
        <w:tc>
          <w:tcPr>
            <w:tcW w:w="1417" w:type="dxa"/>
            <w:vAlign w:val="center"/>
          </w:tcPr>
          <w:p>
            <w:pPr>
              <w:pStyle w:val="105"/>
            </w:pPr>
            <w:r>
              <w:t>Processes</w:t>
            </w:r>
          </w:p>
        </w:tc>
        <w:tc>
          <w:tcPr>
            <w:tcW w:w="1560" w:type="dxa"/>
            <w:vAlign w:val="center"/>
          </w:tcPr>
          <w:p>
            <w:pPr>
              <w:pStyle w:val="105"/>
            </w:pPr>
            <w:r>
              <w:t>[2]</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rPr>
                <w:position w:val="-10"/>
              </w:rPr>
            </w:pPr>
            <w:r>
              <w:t>Maximum number of HARQ transmission</w:t>
            </w:r>
          </w:p>
        </w:tc>
        <w:tc>
          <w:tcPr>
            <w:tcW w:w="1417" w:type="dxa"/>
            <w:vAlign w:val="center"/>
          </w:tcPr>
          <w:p>
            <w:pPr>
              <w:pStyle w:val="105"/>
            </w:pPr>
          </w:p>
        </w:tc>
        <w:tc>
          <w:tcPr>
            <w:tcW w:w="1560" w:type="dxa"/>
            <w:vAlign w:val="center"/>
          </w:tcPr>
          <w:p>
            <w:pPr>
              <w:pStyle w:val="105"/>
              <w:rPr>
                <w:lang w:eastAsia="ja-JP"/>
              </w:rPr>
            </w:pPr>
            <w:r>
              <w:rPr>
                <w:lang w:eastAsia="ja-JP"/>
              </w:rPr>
              <w:t>[5]</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Aggregation level</w:t>
            </w:r>
          </w:p>
        </w:tc>
        <w:tc>
          <w:tcPr>
            <w:tcW w:w="1417" w:type="dxa"/>
            <w:vAlign w:val="center"/>
          </w:tcPr>
          <w:p>
            <w:pPr>
              <w:pStyle w:val="105"/>
            </w:pPr>
            <w:r>
              <w:rPr>
                <w:lang w:eastAsia="ja-JP"/>
              </w:rPr>
              <w:t>CCE</w:t>
            </w:r>
          </w:p>
        </w:tc>
        <w:tc>
          <w:tcPr>
            <w:tcW w:w="1560" w:type="dxa"/>
            <w:vAlign w:val="center"/>
          </w:tcPr>
          <w:p>
            <w:pPr>
              <w:pStyle w:val="105"/>
            </w:pPr>
            <w:r>
              <w:rPr>
                <w:lang w:eastAsia="ja-JP"/>
              </w:rPr>
              <w:t>[2]</w:t>
            </w:r>
          </w:p>
        </w:tc>
        <w:tc>
          <w:tcPr>
            <w:tcW w:w="2939" w:type="dxa"/>
          </w:tcPr>
          <w:p>
            <w:pPr>
              <w:pStyle w:val="105"/>
            </w:pPr>
            <w:r>
              <w:t>Note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PDSCH</w:t>
            </w:r>
          </w:p>
        </w:tc>
        <w:tc>
          <w:tcPr>
            <w:tcW w:w="1417" w:type="dxa"/>
            <w:vAlign w:val="center"/>
          </w:tcPr>
          <w:p>
            <w:pPr>
              <w:pStyle w:val="105"/>
            </w:pPr>
          </w:p>
        </w:tc>
        <w:tc>
          <w:tcPr>
            <w:tcW w:w="1560" w:type="dxa"/>
            <w:vAlign w:val="center"/>
          </w:tcPr>
          <w:p>
            <w:pPr>
              <w:pStyle w:val="105"/>
            </w:pPr>
            <w:r>
              <w:t>Format 6-1A</w:t>
            </w:r>
          </w:p>
        </w:tc>
        <w:tc>
          <w:tcPr>
            <w:tcW w:w="2939" w:type="dxa"/>
          </w:tcPr>
          <w:p>
            <w:pPr>
              <w:pStyle w:val="105"/>
            </w:pPr>
            <w:r>
              <w:t>CE Mode 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PDSCH</w:t>
            </w:r>
          </w:p>
        </w:tc>
        <w:tc>
          <w:tcPr>
            <w:tcW w:w="1417" w:type="dxa"/>
            <w:vAlign w:val="center"/>
          </w:tcPr>
          <w:p>
            <w:pPr>
              <w:pStyle w:val="105"/>
            </w:pPr>
          </w:p>
        </w:tc>
        <w:tc>
          <w:tcPr>
            <w:tcW w:w="1560" w:type="dxa"/>
            <w:vAlign w:val="center"/>
          </w:tcPr>
          <w:p>
            <w:pPr>
              <w:pStyle w:val="105"/>
            </w:pPr>
            <w:r>
              <w:t>Format 6-1B</w:t>
            </w:r>
          </w:p>
        </w:tc>
        <w:tc>
          <w:tcPr>
            <w:tcW w:w="2939" w:type="dxa"/>
          </w:tcPr>
          <w:p>
            <w:pPr>
              <w:pStyle w:val="105"/>
            </w:pPr>
            <w: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PUSCH</w:t>
            </w:r>
          </w:p>
        </w:tc>
        <w:tc>
          <w:tcPr>
            <w:tcW w:w="1417" w:type="dxa"/>
            <w:vAlign w:val="center"/>
          </w:tcPr>
          <w:p>
            <w:pPr>
              <w:pStyle w:val="105"/>
            </w:pPr>
          </w:p>
        </w:tc>
        <w:tc>
          <w:tcPr>
            <w:tcW w:w="1560" w:type="dxa"/>
            <w:vAlign w:val="center"/>
          </w:tcPr>
          <w:p>
            <w:pPr>
              <w:pStyle w:val="105"/>
            </w:pPr>
            <w:r>
              <w:rPr>
                <w:lang w:eastAsia="ja-JP"/>
              </w:rPr>
              <w:t>Format 6-0A</w:t>
            </w:r>
          </w:p>
        </w:tc>
        <w:tc>
          <w:tcPr>
            <w:tcW w:w="2939" w:type="dxa"/>
          </w:tcPr>
          <w:p>
            <w:pPr>
              <w:pStyle w:val="105"/>
            </w:pPr>
            <w:r>
              <w:t>CE Mode 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PUSCH</w:t>
            </w:r>
          </w:p>
        </w:tc>
        <w:tc>
          <w:tcPr>
            <w:tcW w:w="1417" w:type="dxa"/>
            <w:vAlign w:val="center"/>
          </w:tcPr>
          <w:p>
            <w:pPr>
              <w:pStyle w:val="105"/>
            </w:pPr>
          </w:p>
        </w:tc>
        <w:tc>
          <w:tcPr>
            <w:tcW w:w="1560" w:type="dxa"/>
            <w:vAlign w:val="center"/>
          </w:tcPr>
          <w:p>
            <w:pPr>
              <w:pStyle w:val="105"/>
              <w:rPr>
                <w:lang w:eastAsia="ja-JP"/>
              </w:rPr>
            </w:pPr>
            <w:r>
              <w:rPr>
                <w:lang w:eastAsia="ja-JP"/>
              </w:rPr>
              <w:t>Format 6-0B</w:t>
            </w:r>
          </w:p>
        </w:tc>
        <w:tc>
          <w:tcPr>
            <w:tcW w:w="2939" w:type="dxa"/>
          </w:tcPr>
          <w:p>
            <w:pPr>
              <w:pStyle w:val="105"/>
            </w:pPr>
            <w:r>
              <w:t>CE mode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9563" w:type="dxa"/>
            <w:gridSpan w:val="4"/>
            <w:vAlign w:val="center"/>
          </w:tcPr>
          <w:p>
            <w:pPr>
              <w:pStyle w:val="118"/>
              <w:rPr>
                <w:lang w:eastAsia="ja-JP"/>
              </w:rPr>
            </w:pPr>
            <w:r>
              <w:t>Note 1:</w:t>
            </w:r>
            <w:r>
              <w:tab/>
            </w:r>
            <w:r>
              <w:t>[2] symbols allocated to PDCCH for 20 MHz, 15 MHz and 10 MHz channel BW. [3] symbols allocated to PDCCH for 5 MHz and 3 MHz. [4] symbols allocated to PDCCH for 1.4 MHz.</w:t>
            </w:r>
          </w:p>
          <w:p>
            <w:pPr>
              <w:pStyle w:val="118"/>
              <w:rPr>
                <w:lang w:eastAsia="ja-JP"/>
              </w:rPr>
            </w:pPr>
            <w:r>
              <w:t>Note 2:</w:t>
            </w:r>
            <w:r>
              <w:tab/>
            </w:r>
            <w:r>
              <w:t>Reference signal, Synchronization signals and PBCH allocated as per TS 36.211 [</w:t>
            </w:r>
            <w:r>
              <w:rPr>
                <w:lang w:eastAsia="zh-CN"/>
              </w:rPr>
              <w:t>8</w:t>
            </w:r>
            <w:r>
              <w:t>]</w:t>
            </w:r>
            <w:r>
              <w:rPr>
                <w:lang w:eastAsia="ja-JP"/>
              </w:rPr>
              <w:t>.</w:t>
            </w:r>
          </w:p>
          <w:p>
            <w:pPr>
              <w:pStyle w:val="118"/>
              <w:rPr>
                <w:lang w:eastAsia="ja-JP"/>
              </w:rPr>
            </w:pPr>
            <w:r>
              <w:t>Note 3:</w:t>
            </w:r>
            <w:r>
              <w:tab/>
            </w:r>
            <w:r>
              <w:t>Void.</w:t>
            </w:r>
          </w:p>
          <w:p>
            <w:pPr>
              <w:pStyle w:val="118"/>
              <w:rPr>
                <w:lang w:eastAsia="ja-JP"/>
              </w:rPr>
            </w:pPr>
            <w:r>
              <w:t>Note 4:</w:t>
            </w:r>
            <w:r>
              <w:tab/>
            </w:r>
            <w:r>
              <w:t>For MPDCCH using SI-RNTI, Aggregation level</w:t>
            </w:r>
            <w:r>
              <w:rPr>
                <w:lang w:eastAsia="ja-JP"/>
              </w:rPr>
              <w:t>:</w:t>
            </w:r>
          </w:p>
          <w:p>
            <w:pPr>
              <w:pStyle w:val="118"/>
              <w:ind w:left="1030" w:firstLine="0"/>
              <w:rPr>
                <w:lang w:eastAsia="ja-JP"/>
              </w:rPr>
            </w:pPr>
            <w:r>
              <w:rPr>
                <w:lang w:eastAsia="ja-JP"/>
              </w:rPr>
              <w:t>a)Tables C.3.0-3, C.3.1-3, and C.3.2-3 for RF tests</w:t>
            </w:r>
            <w:r>
              <w:rPr>
                <w:lang w:eastAsia="ja-JP"/>
              </w:rPr>
              <w:br w:type="textWrapping"/>
            </w:r>
            <w:r>
              <w:rPr>
                <w:lang w:eastAsia="ja-JP"/>
              </w:rPr>
              <w:t>b)</w:t>
            </w:r>
            <w:r>
              <w:t>Table A.2.1-1</w:t>
            </w:r>
            <w:r>
              <w:rPr>
                <w:lang w:eastAsia="ja-JP"/>
              </w:rPr>
              <w:t xml:space="preserve"> of 36.521-3 for RRM tests.</w:t>
            </w:r>
          </w:p>
        </w:tc>
      </w:tr>
    </w:tbl>
    <w:p>
      <w:pPr>
        <w:rPr>
          <w:lang w:eastAsia="ja-JP"/>
        </w:rPr>
      </w:pPr>
    </w:p>
    <w:p>
      <w:pPr>
        <w:pStyle w:val="113"/>
        <w:rPr>
          <w:rFonts w:eastAsia="宋体"/>
          <w:lang w:val="en-US" w:eastAsia="zh-CN"/>
        </w:rPr>
      </w:pPr>
      <w:r>
        <w:t>Table C.2-</w:t>
      </w:r>
      <w:r>
        <w:rPr>
          <w:rFonts w:hint="eastAsia" w:eastAsia="宋体"/>
          <w:lang w:val="en-US" w:eastAsia="zh-CN"/>
        </w:rPr>
        <w:t>3</w:t>
      </w:r>
      <w:r>
        <w:t xml:space="preserve">: Downlink Physical Channels required for connection set-up,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2494"/>
        <w:gridCol w:w="1990"/>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Physical Channel</w:t>
            </w:r>
          </w:p>
        </w:tc>
        <w:tc>
          <w:tcPr>
            <w:tcW w:w="1990" w:type="dxa"/>
          </w:tcPr>
          <w:p>
            <w:pPr>
              <w:pStyle w:val="104"/>
            </w:pPr>
            <w:r>
              <w:t>EPRE Ratio</w:t>
            </w:r>
          </w:p>
        </w:tc>
        <w:tc>
          <w:tcPr>
            <w:tcW w:w="1603" w:type="dxa"/>
          </w:tcPr>
          <w:p>
            <w:pPr>
              <w:pStyle w:val="104"/>
            </w:pPr>
            <w: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pPr>
            <w:r>
              <w:t>NPBCH</w:t>
            </w:r>
          </w:p>
        </w:tc>
        <w:tc>
          <w:tcPr>
            <w:tcW w:w="1990" w:type="dxa"/>
          </w:tcPr>
          <w:p>
            <w:pPr>
              <w:pStyle w:val="105"/>
            </w:pPr>
            <w:r>
              <w:t>NPBCH_RA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pPr>
          </w:p>
        </w:tc>
        <w:tc>
          <w:tcPr>
            <w:tcW w:w="1990" w:type="dxa"/>
          </w:tcPr>
          <w:p>
            <w:pPr>
              <w:pStyle w:val="105"/>
            </w:pPr>
            <w:r>
              <w:t>NPBCH_RB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NPSS</w:t>
            </w:r>
          </w:p>
        </w:tc>
        <w:tc>
          <w:tcPr>
            <w:tcW w:w="1990" w:type="dxa"/>
          </w:tcPr>
          <w:p>
            <w:pPr>
              <w:pStyle w:val="105"/>
            </w:pPr>
            <w:r>
              <w:t>NPSS_RA = 0 dB</w:t>
            </w:r>
          </w:p>
        </w:tc>
        <w:tc>
          <w:tcPr>
            <w:tcW w:w="1603"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494" w:type="dxa"/>
          </w:tcPr>
          <w:p>
            <w:pPr>
              <w:pStyle w:val="104"/>
            </w:pPr>
            <w:r>
              <w:t>NSSS</w:t>
            </w:r>
          </w:p>
        </w:tc>
        <w:tc>
          <w:tcPr>
            <w:tcW w:w="1990" w:type="dxa"/>
          </w:tcPr>
          <w:p>
            <w:pPr>
              <w:pStyle w:val="105"/>
            </w:pPr>
            <w:r>
              <w:t>NSSS_RA = 0 dB</w:t>
            </w:r>
          </w:p>
        </w:tc>
        <w:tc>
          <w:tcPr>
            <w:tcW w:w="1603"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pPr>
            <w:r>
              <w:t>NPDCCH</w:t>
            </w:r>
          </w:p>
        </w:tc>
        <w:tc>
          <w:tcPr>
            <w:tcW w:w="1990" w:type="dxa"/>
          </w:tcPr>
          <w:p>
            <w:pPr>
              <w:pStyle w:val="105"/>
            </w:pPr>
            <w:r>
              <w:t>NPDCCH_RA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pPr>
          </w:p>
        </w:tc>
        <w:tc>
          <w:tcPr>
            <w:tcW w:w="1990" w:type="dxa"/>
          </w:tcPr>
          <w:p>
            <w:pPr>
              <w:pStyle w:val="105"/>
            </w:pPr>
            <w:r>
              <w:t>NPDCCH_RB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restart"/>
          </w:tcPr>
          <w:p>
            <w:pPr>
              <w:pStyle w:val="104"/>
              <w:rPr>
                <w:szCs w:val="22"/>
              </w:rPr>
            </w:pPr>
            <w:r>
              <w:rPr>
                <w:szCs w:val="22"/>
              </w:rPr>
              <w:t>NPDSCH</w:t>
            </w:r>
          </w:p>
        </w:tc>
        <w:tc>
          <w:tcPr>
            <w:tcW w:w="1990" w:type="dxa"/>
          </w:tcPr>
          <w:p>
            <w:pPr>
              <w:pStyle w:val="105"/>
            </w:pPr>
            <w:r>
              <w:t>NPDSCH_RA = 0 dB</w:t>
            </w:r>
          </w:p>
        </w:tc>
        <w:tc>
          <w:tcPr>
            <w:tcW w:w="1603" w:type="dxa"/>
            <w:vMerge w:val="restart"/>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jc w:val="center"/>
        </w:trPr>
        <w:tc>
          <w:tcPr>
            <w:tcW w:w="2494" w:type="dxa"/>
            <w:vMerge w:val="continue"/>
          </w:tcPr>
          <w:p>
            <w:pPr>
              <w:pStyle w:val="104"/>
              <w:rPr>
                <w:szCs w:val="22"/>
              </w:rPr>
            </w:pPr>
          </w:p>
        </w:tc>
        <w:tc>
          <w:tcPr>
            <w:tcW w:w="1990" w:type="dxa"/>
          </w:tcPr>
          <w:p>
            <w:pPr>
              <w:pStyle w:val="105"/>
            </w:pPr>
            <w:r>
              <w:t>NPDSCH_RB = 0 dB</w:t>
            </w:r>
          </w:p>
        </w:tc>
        <w:tc>
          <w:tcPr>
            <w:tcW w:w="1603" w:type="dxa"/>
            <w:vMerge w:val="continue"/>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6087" w:type="dxa"/>
            <w:gridSpan w:val="3"/>
          </w:tcPr>
          <w:p>
            <w:pPr>
              <w:pStyle w:val="118"/>
            </w:pPr>
            <w:r>
              <w:t>Note 1:</w:t>
            </w:r>
            <w:r>
              <w:tab/>
            </w:r>
            <w:r>
              <w:t>No boosting is applied.</w:t>
            </w:r>
          </w:p>
        </w:tc>
      </w:tr>
    </w:tbl>
    <w:p/>
    <w:p>
      <w:pPr>
        <w:rPr>
          <w:rFonts w:cs="v5.0.0"/>
          <w:lang w:eastAsia="ja-JP"/>
        </w:rPr>
      </w:pPr>
      <w:r>
        <w:rPr>
          <w:rFonts w:cs="v5.0.0"/>
        </w:rPr>
        <w:t>Table C.2-</w:t>
      </w:r>
      <w:r>
        <w:rPr>
          <w:rFonts w:hint="eastAsia" w:eastAsia="宋体" w:cs="v5.0.0"/>
          <w:lang w:val="en-US" w:eastAsia="zh-CN"/>
        </w:rPr>
        <w:t>4</w:t>
      </w:r>
      <w:r>
        <w:rPr>
          <w:rFonts w:cs="v5.0.0"/>
        </w:rPr>
        <w:t xml:space="preserve"> describes the </w:t>
      </w:r>
      <w:r>
        <w:rPr>
          <w:rFonts w:cs="v5.0.0"/>
          <w:lang w:eastAsia="ja-JP"/>
        </w:rPr>
        <w:t>configuration of NPDSCH and NPDCCH</w:t>
      </w:r>
      <w:r>
        <w:rPr>
          <w:rFonts w:cs="v5.0.0"/>
        </w:rPr>
        <w:t xml:space="preserve"> </w:t>
      </w:r>
      <w:r>
        <w:rPr>
          <w:rFonts w:cs="v5.0.0"/>
          <w:lang w:eastAsia="ja-JP"/>
        </w:rPr>
        <w:t>before measurement</w:t>
      </w:r>
      <w:r>
        <w:rPr>
          <w:rFonts w:eastAsia="宋体" w:cs="v5.0.0"/>
          <w:lang w:eastAsia="zh-CN"/>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rPr>
          <w:rFonts w:cs="v5.0.0"/>
          <w:lang w:eastAsia="ja-JP"/>
        </w:rPr>
        <w:t>.</w:t>
      </w:r>
    </w:p>
    <w:p>
      <w:pPr>
        <w:pStyle w:val="113"/>
        <w:rPr>
          <w:rFonts w:eastAsia="宋体"/>
          <w:lang w:val="en-US" w:eastAsia="zh-CN"/>
        </w:rPr>
      </w:pPr>
      <w:r>
        <w:t xml:space="preserve">Table </w:t>
      </w:r>
      <w:r>
        <w:rPr>
          <w:lang w:eastAsia="ja-JP"/>
        </w:rPr>
        <w:t>C.2-</w:t>
      </w:r>
      <w:r>
        <w:rPr>
          <w:rFonts w:hint="eastAsia" w:eastAsia="宋体"/>
          <w:lang w:val="en-US" w:eastAsia="zh-CN"/>
        </w:rPr>
        <w:t>4</w:t>
      </w:r>
      <w:r>
        <w:t>: N</w:t>
      </w:r>
      <w:r>
        <w:rPr>
          <w:lang w:eastAsia="ja-JP"/>
        </w:rPr>
        <w:t>PDSCH and NPDCCH</w:t>
      </w:r>
      <w:r>
        <w:t xml:space="preserve"> </w:t>
      </w:r>
      <w:r>
        <w:rPr>
          <w:lang w:eastAsia="ja-JP"/>
        </w:rPr>
        <w:t>configuration</w:t>
      </w:r>
      <w:r>
        <w:rPr>
          <w:rFonts w:eastAsia="宋体" w:cs="v5.0.0"/>
          <w:lang w:eastAsia="zh-CN"/>
        </w:rPr>
        <w:t xml:space="preserve"> for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p>
    <w:tbl>
      <w:tblPr>
        <w:tblStyle w:val="89"/>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47"/>
        <w:gridCol w:w="1417"/>
        <w:gridCol w:w="1560"/>
        <w:gridCol w:w="29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tcPr>
          <w:p>
            <w:pPr>
              <w:pStyle w:val="104"/>
            </w:pPr>
            <w:r>
              <w:t>Parameter</w:t>
            </w:r>
          </w:p>
        </w:tc>
        <w:tc>
          <w:tcPr>
            <w:tcW w:w="1417" w:type="dxa"/>
          </w:tcPr>
          <w:p>
            <w:pPr>
              <w:pStyle w:val="104"/>
            </w:pPr>
            <w:r>
              <w:t>Unit</w:t>
            </w:r>
          </w:p>
        </w:tc>
        <w:tc>
          <w:tcPr>
            <w:tcW w:w="1560" w:type="dxa"/>
          </w:tcPr>
          <w:p>
            <w:pPr>
              <w:pStyle w:val="104"/>
            </w:pPr>
            <w:r>
              <w:t xml:space="preserve">Value </w:t>
            </w:r>
          </w:p>
        </w:tc>
        <w:tc>
          <w:tcPr>
            <w:tcW w:w="2939" w:type="dxa"/>
          </w:tcPr>
          <w:p>
            <w:pPr>
              <w:pStyle w:val="104"/>
            </w:pPr>
            <w:r>
              <w:t>Comments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Allocated subcarriers</w:t>
            </w:r>
          </w:p>
        </w:tc>
        <w:tc>
          <w:tcPr>
            <w:tcW w:w="1417" w:type="dxa"/>
            <w:vAlign w:val="center"/>
          </w:tcPr>
          <w:p>
            <w:pPr>
              <w:pStyle w:val="105"/>
            </w:pPr>
          </w:p>
        </w:tc>
        <w:tc>
          <w:tcPr>
            <w:tcW w:w="1560" w:type="dxa"/>
            <w:vAlign w:val="center"/>
          </w:tcPr>
          <w:p>
            <w:pPr>
              <w:pStyle w:val="105"/>
              <w:rPr>
                <w:lang w:eastAsia="ja-JP"/>
              </w:rPr>
            </w:pPr>
            <w:r>
              <w:rPr>
                <w:lang w:eastAsia="ja-JP"/>
              </w:rPr>
              <w:t>[FFS]</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MCS Index</w:t>
            </w:r>
          </w:p>
        </w:tc>
        <w:tc>
          <w:tcPr>
            <w:tcW w:w="1417" w:type="dxa"/>
            <w:vAlign w:val="center"/>
          </w:tcPr>
          <w:p>
            <w:pPr>
              <w:pStyle w:val="105"/>
            </w:pPr>
          </w:p>
        </w:tc>
        <w:tc>
          <w:tcPr>
            <w:tcW w:w="1560" w:type="dxa"/>
            <w:vAlign w:val="center"/>
          </w:tcPr>
          <w:p>
            <w:pPr>
              <w:pStyle w:val="105"/>
            </w:pPr>
            <w:r>
              <w:rPr>
                <w:lang w:eastAsia="ja-JP"/>
              </w:rPr>
              <w:t>-</w:t>
            </w:r>
          </w:p>
        </w:tc>
        <w:tc>
          <w:tcPr>
            <w:tcW w:w="2939" w:type="dxa"/>
          </w:tcPr>
          <w:p>
            <w:pPr>
              <w:pStyle w:val="105"/>
            </w:pPr>
            <w:r>
              <w:t>TB</w:t>
            </w:r>
            <w:r>
              <w:rPr>
                <w:rFonts w:eastAsia="MS Mincho"/>
                <w:lang w:eastAsia="ja-JP"/>
              </w:rPr>
              <w:t xml:space="preserve"> </w:t>
            </w:r>
            <w:r>
              <w:t xml:space="preserve">Size </w:t>
            </w:r>
            <w:r>
              <w:rPr>
                <w:rFonts w:eastAsia="MS Mincho"/>
                <w:lang w:eastAsia="ja-JP"/>
              </w:rPr>
              <w:t xml:space="preserve">with </w:t>
            </w:r>
            <w:r>
              <w:t>transmit</w:t>
            </w:r>
            <w:r>
              <w:rPr>
                <w:rFonts w:eastAsia="MS Mincho"/>
                <w:lang w:eastAsia="ja-JP"/>
              </w:rPr>
              <w:t>ting m</w:t>
            </w:r>
            <w:r>
              <w:t xml:space="preserve">essage </w:t>
            </w:r>
            <w:r>
              <w:rPr>
                <w:rFonts w:eastAsia="MS Mincho"/>
                <w:lang w:eastAsia="ja-JP"/>
              </w:rPr>
              <w:t xml:space="preserve">in </w:t>
            </w:r>
            <w:r>
              <w:t>1TTI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Number of HARQ processes</w:t>
            </w:r>
          </w:p>
        </w:tc>
        <w:tc>
          <w:tcPr>
            <w:tcW w:w="1417" w:type="dxa"/>
            <w:vAlign w:val="center"/>
          </w:tcPr>
          <w:p>
            <w:pPr>
              <w:pStyle w:val="105"/>
            </w:pPr>
            <w:r>
              <w:t>Processes</w:t>
            </w:r>
          </w:p>
        </w:tc>
        <w:tc>
          <w:tcPr>
            <w:tcW w:w="1560" w:type="dxa"/>
            <w:vAlign w:val="center"/>
          </w:tcPr>
          <w:p>
            <w:pPr>
              <w:pStyle w:val="105"/>
            </w:pPr>
            <w:r>
              <w:t>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rPr>
                <w:position w:val="-10"/>
              </w:rPr>
            </w:pPr>
            <w:r>
              <w:t>Maximum number of HARQ transmission</w:t>
            </w:r>
          </w:p>
        </w:tc>
        <w:tc>
          <w:tcPr>
            <w:tcW w:w="1417" w:type="dxa"/>
            <w:vAlign w:val="center"/>
          </w:tcPr>
          <w:p>
            <w:pPr>
              <w:pStyle w:val="105"/>
            </w:pPr>
          </w:p>
        </w:tc>
        <w:tc>
          <w:tcPr>
            <w:tcW w:w="1560" w:type="dxa"/>
            <w:vAlign w:val="center"/>
          </w:tcPr>
          <w:p>
            <w:pPr>
              <w:pStyle w:val="105"/>
              <w:rPr>
                <w:lang w:eastAsia="ja-JP"/>
              </w:rPr>
            </w:pPr>
            <w:r>
              <w:rPr>
                <w:lang w:eastAsia="ja-JP"/>
              </w:rPr>
              <w:t>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Aggregation level</w:t>
            </w:r>
          </w:p>
        </w:tc>
        <w:tc>
          <w:tcPr>
            <w:tcW w:w="1417" w:type="dxa"/>
            <w:vAlign w:val="center"/>
          </w:tcPr>
          <w:p>
            <w:pPr>
              <w:pStyle w:val="105"/>
            </w:pPr>
            <w:r>
              <w:t>NCCE</w:t>
            </w:r>
          </w:p>
        </w:tc>
        <w:tc>
          <w:tcPr>
            <w:tcW w:w="1560" w:type="dxa"/>
            <w:vAlign w:val="center"/>
          </w:tcPr>
          <w:p>
            <w:pPr>
              <w:pStyle w:val="105"/>
            </w:pPr>
            <w:r>
              <w:t>2</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NPDSCH</w:t>
            </w:r>
          </w:p>
        </w:tc>
        <w:tc>
          <w:tcPr>
            <w:tcW w:w="1417" w:type="dxa"/>
            <w:vAlign w:val="center"/>
          </w:tcPr>
          <w:p>
            <w:pPr>
              <w:pStyle w:val="105"/>
            </w:pPr>
          </w:p>
        </w:tc>
        <w:tc>
          <w:tcPr>
            <w:tcW w:w="1560" w:type="dxa"/>
            <w:vAlign w:val="center"/>
          </w:tcPr>
          <w:p>
            <w:pPr>
              <w:pStyle w:val="105"/>
            </w:pPr>
            <w:r>
              <w:rPr>
                <w:lang w:eastAsia="ja-JP"/>
              </w:rPr>
              <w:t>Format N1</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3647" w:type="dxa"/>
            <w:vAlign w:val="center"/>
          </w:tcPr>
          <w:p>
            <w:pPr>
              <w:pStyle w:val="105"/>
              <w:jc w:val="both"/>
            </w:pPr>
            <w:r>
              <w:t>DCI Format</w:t>
            </w:r>
            <w:r>
              <w:rPr>
                <w:lang w:eastAsia="ja-JP"/>
              </w:rPr>
              <w:t xml:space="preserve"> for NPUSCH</w:t>
            </w:r>
          </w:p>
        </w:tc>
        <w:tc>
          <w:tcPr>
            <w:tcW w:w="1417" w:type="dxa"/>
            <w:vAlign w:val="center"/>
          </w:tcPr>
          <w:p>
            <w:pPr>
              <w:pStyle w:val="105"/>
            </w:pPr>
          </w:p>
        </w:tc>
        <w:tc>
          <w:tcPr>
            <w:tcW w:w="1560" w:type="dxa"/>
            <w:vAlign w:val="center"/>
          </w:tcPr>
          <w:p>
            <w:pPr>
              <w:pStyle w:val="105"/>
            </w:pPr>
            <w:r>
              <w:rPr>
                <w:lang w:eastAsia="ja-JP"/>
              </w:rPr>
              <w:t>Format N0</w:t>
            </w:r>
          </w:p>
        </w:tc>
        <w:tc>
          <w:tcPr>
            <w:tcW w:w="2939"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2" w:hRule="atLeast"/>
          <w:jc w:val="center"/>
        </w:trPr>
        <w:tc>
          <w:tcPr>
            <w:tcW w:w="9563" w:type="dxa"/>
            <w:gridSpan w:val="4"/>
            <w:vAlign w:val="center"/>
          </w:tcPr>
          <w:p>
            <w:pPr>
              <w:pStyle w:val="118"/>
              <w:rPr>
                <w:lang w:eastAsia="ja-JP"/>
              </w:rPr>
            </w:pPr>
            <w:r>
              <w:t>Note 1:</w:t>
            </w:r>
            <w:r>
              <w:tab/>
            </w:r>
            <w:r>
              <w:t>Reference signal NRS, Synchronization signals NPSS, NSSS and NPBCH allocated as per TS 36.211 [</w:t>
            </w:r>
            <w:r>
              <w:rPr>
                <w:lang w:eastAsia="zh-CN"/>
              </w:rPr>
              <w:t>8</w:t>
            </w:r>
            <w:r>
              <w:t>]</w:t>
            </w:r>
          </w:p>
        </w:tc>
      </w:tr>
    </w:tbl>
    <w:p>
      <w:pPr>
        <w:rPr>
          <w:lang w:eastAsia="ja-JP"/>
        </w:rPr>
      </w:pPr>
    </w:p>
    <w:p>
      <w:pPr>
        <w:pStyle w:val="3"/>
      </w:pPr>
      <w:bookmarkStart w:id="1105" w:name="_Toc32354"/>
      <w:bookmarkStart w:id="1106" w:name="_Toc232582147"/>
      <w:r>
        <w:t>C.3</w:t>
      </w:r>
      <w:r>
        <w:tab/>
      </w:r>
      <w:r>
        <w:t>Connection</w:t>
      </w:r>
      <w:bookmarkEnd w:id="1105"/>
      <w:bookmarkEnd w:id="1106"/>
    </w:p>
    <w:p>
      <w:pPr>
        <w:rPr>
          <w:rFonts w:cs="v5.0.0"/>
        </w:rPr>
      </w:pPr>
      <w:r>
        <w:rPr>
          <w:rFonts w:cs="v5.0.0"/>
        </w:rPr>
        <w:t>The following clauses describes the downlink Physical Channels that are transmitted during a connection i.e., when measurements are done.</w:t>
      </w:r>
    </w:p>
    <w:p>
      <w:pPr>
        <w:pStyle w:val="4"/>
      </w:pPr>
      <w:bookmarkStart w:id="1107" w:name="_Toc16247"/>
      <w:bookmarkStart w:id="1108" w:name="_Toc232582148"/>
      <w:r>
        <w:t>C.3.0</w:t>
      </w:r>
      <w:r>
        <w:tab/>
      </w:r>
      <w:r>
        <w:t>Measurement of Transmitter Characteristics</w:t>
      </w:r>
      <w:bookmarkEnd w:id="1107"/>
      <w:bookmarkEnd w:id="1108"/>
    </w:p>
    <w:p>
      <w:pPr>
        <w:rPr>
          <w:rFonts w:cs="v5.0.0"/>
        </w:rPr>
      </w:pPr>
      <w:r>
        <w:rPr>
          <w:rFonts w:cs="v5.0.0"/>
        </w:rPr>
        <w:t>Table C.3.0-1 is applicable for measurements on the Transmitter Characteristics (clause 6).</w:t>
      </w:r>
    </w:p>
    <w:p>
      <w:pPr>
        <w:pStyle w:val="113"/>
        <w:rPr>
          <w:rFonts w:cs="v5.0.0"/>
        </w:rPr>
      </w:pPr>
      <w:r>
        <w:t xml:space="preserve">Table C.3.0-1: Downlink Physical Channels transmitted </w:t>
      </w:r>
      <w:r>
        <w:rPr>
          <w:rFonts w:cs="v5.0.0"/>
          <w:highlight w:val="none"/>
          <w:lang w:val="en-US"/>
        </w:rPr>
        <w:t xml:space="preserve">for </w:t>
      </w:r>
      <w:r>
        <w:rPr>
          <w:rFonts w:hint="eastAsia"/>
        </w:rPr>
        <w:t>category M1</w:t>
      </w:r>
      <w:r>
        <w:rPr>
          <w:rFonts w:hint="eastAsia" w:eastAsia="宋体"/>
          <w:lang w:val="en-US" w:eastAsia="zh-CN"/>
        </w:rPr>
        <w:t xml:space="preserve"> </w:t>
      </w:r>
      <w:r>
        <w:t>during a connection (FDD)</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7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Tahoma"/>
                <w:lang w:eastAsia="zh-CN"/>
              </w:rPr>
            </w:pPr>
            <w:r>
              <w:rPr>
                <w:rFonts w:cs="Tahoma"/>
                <w:lang w:eastAsia="zh-CN"/>
              </w:rPr>
              <w:t>Physical Channel</w:t>
            </w:r>
          </w:p>
        </w:tc>
        <w:tc>
          <w:tcPr>
            <w:tcW w:w="1826" w:type="dxa"/>
          </w:tcPr>
          <w:p>
            <w:pPr>
              <w:pStyle w:val="104"/>
              <w:rPr>
                <w:rFonts w:cs="Tahoma"/>
                <w:lang w:eastAsia="zh-CN"/>
              </w:rPr>
            </w:pPr>
            <w:r>
              <w:rPr>
                <w:rFonts w:cs="Tahoma"/>
                <w:lang w:eastAsia="zh-CN"/>
              </w:rPr>
              <w:t>EPRE Ratio</w:t>
            </w:r>
          </w:p>
        </w:tc>
        <w:tc>
          <w:tcPr>
            <w:tcW w:w="1767"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16"/>
              </w:rPr>
            </w:pPr>
            <w:r>
              <w:rPr>
                <w:rFonts w:cs="Tahoma"/>
                <w:szCs w:val="16"/>
              </w:rPr>
              <w:t>PBCH</w:t>
            </w:r>
          </w:p>
        </w:tc>
        <w:tc>
          <w:tcPr>
            <w:tcW w:w="1826" w:type="dxa"/>
          </w:tcPr>
          <w:p>
            <w:pPr>
              <w:pStyle w:val="105"/>
              <w:rPr>
                <w:rFonts w:cs="Tahoma"/>
              </w:rPr>
            </w:pPr>
            <w:r>
              <w:rPr>
                <w:rFonts w:cs="Tahoma"/>
              </w:rPr>
              <w:t>PBCH_RA = 0 dB</w:t>
            </w:r>
          </w:p>
        </w:tc>
        <w:tc>
          <w:tcPr>
            <w:tcW w:w="176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16"/>
              </w:rPr>
            </w:pPr>
          </w:p>
        </w:tc>
        <w:tc>
          <w:tcPr>
            <w:tcW w:w="1826" w:type="dxa"/>
          </w:tcPr>
          <w:p>
            <w:pPr>
              <w:pStyle w:val="105"/>
              <w:rPr>
                <w:rFonts w:cs="Tahoma"/>
              </w:rPr>
            </w:pPr>
            <w:r>
              <w:rPr>
                <w:rFonts w:cs="Tahoma"/>
              </w:rPr>
              <w:t>PBCH_RB = 0 dB</w:t>
            </w:r>
          </w:p>
        </w:tc>
        <w:tc>
          <w:tcPr>
            <w:tcW w:w="176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Tahoma"/>
                <w:szCs w:val="16"/>
              </w:rPr>
            </w:pPr>
            <w:r>
              <w:rPr>
                <w:rFonts w:cs="Tahoma"/>
                <w:szCs w:val="16"/>
              </w:rPr>
              <w:t>PSS</w:t>
            </w:r>
          </w:p>
        </w:tc>
        <w:tc>
          <w:tcPr>
            <w:tcW w:w="1826" w:type="dxa"/>
          </w:tcPr>
          <w:p>
            <w:pPr>
              <w:pStyle w:val="105"/>
              <w:rPr>
                <w:rFonts w:cs="Tahoma"/>
              </w:rPr>
            </w:pPr>
            <w:r>
              <w:rPr>
                <w:rFonts w:cs="Tahoma"/>
              </w:rPr>
              <w:t>PSS_RA = 0 dB</w:t>
            </w:r>
          </w:p>
        </w:tc>
        <w:tc>
          <w:tcPr>
            <w:tcW w:w="176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Tahoma"/>
                <w:szCs w:val="16"/>
              </w:rPr>
            </w:pPr>
            <w:r>
              <w:rPr>
                <w:rFonts w:cs="Tahoma"/>
                <w:szCs w:val="16"/>
              </w:rPr>
              <w:t>SSS</w:t>
            </w:r>
          </w:p>
        </w:tc>
        <w:tc>
          <w:tcPr>
            <w:tcW w:w="1826" w:type="dxa"/>
          </w:tcPr>
          <w:p>
            <w:pPr>
              <w:pStyle w:val="105"/>
              <w:rPr>
                <w:rFonts w:cs="Tahoma"/>
              </w:rPr>
            </w:pPr>
            <w:r>
              <w:rPr>
                <w:rFonts w:cs="Tahoma"/>
              </w:rPr>
              <w:t>SSS_RA = 0 dB</w:t>
            </w:r>
          </w:p>
        </w:tc>
        <w:tc>
          <w:tcPr>
            <w:tcW w:w="176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22"/>
              </w:rPr>
            </w:pPr>
            <w:r>
              <w:rPr>
                <w:rFonts w:cs="Tahoma"/>
                <w:szCs w:val="22"/>
              </w:rPr>
              <w:t>MPDCCH</w:t>
            </w:r>
          </w:p>
        </w:tc>
        <w:tc>
          <w:tcPr>
            <w:tcW w:w="1826" w:type="dxa"/>
          </w:tcPr>
          <w:p>
            <w:pPr>
              <w:pStyle w:val="105"/>
              <w:rPr>
                <w:rFonts w:cs="Tahoma"/>
              </w:rPr>
            </w:pPr>
            <w:r>
              <w:rPr>
                <w:rFonts w:cs="Tahoma"/>
              </w:rPr>
              <w:t>MPDCCH_RA = 0 dB</w:t>
            </w:r>
          </w:p>
        </w:tc>
        <w:tc>
          <w:tcPr>
            <w:tcW w:w="1767" w:type="dxa"/>
            <w:vMerge w:val="restart"/>
          </w:tcPr>
          <w:p>
            <w:pPr>
              <w:pStyle w:val="105"/>
              <w:rPr>
                <w:rFonts w:cs="Tahoma"/>
              </w:rPr>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16"/>
              </w:rPr>
            </w:pPr>
          </w:p>
        </w:tc>
        <w:tc>
          <w:tcPr>
            <w:tcW w:w="1826" w:type="dxa"/>
          </w:tcPr>
          <w:p>
            <w:pPr>
              <w:pStyle w:val="105"/>
              <w:rPr>
                <w:rFonts w:cs="Tahoma"/>
              </w:rPr>
            </w:pPr>
            <w:r>
              <w:rPr>
                <w:rFonts w:cs="Tahoma"/>
              </w:rPr>
              <w:t>MPDCCH_RB = 0 dB</w:t>
            </w:r>
          </w:p>
        </w:tc>
        <w:tc>
          <w:tcPr>
            <w:tcW w:w="176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Tahoma"/>
                <w:szCs w:val="22"/>
              </w:rPr>
            </w:pPr>
            <w:r>
              <w:rPr>
                <w:rFonts w:cs="Tahoma"/>
                <w:szCs w:val="22"/>
              </w:rPr>
              <w:t>PDSCH</w:t>
            </w:r>
          </w:p>
        </w:tc>
        <w:tc>
          <w:tcPr>
            <w:tcW w:w="1826" w:type="dxa"/>
          </w:tcPr>
          <w:p>
            <w:pPr>
              <w:pStyle w:val="105"/>
              <w:rPr>
                <w:rFonts w:cs="Tahoma"/>
              </w:rPr>
            </w:pPr>
            <w:r>
              <w:rPr>
                <w:rFonts w:cs="Tahoma"/>
              </w:rPr>
              <w:t>PDSCH_RA = 0 dB</w:t>
            </w:r>
          </w:p>
        </w:tc>
        <w:tc>
          <w:tcPr>
            <w:tcW w:w="176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Tahoma"/>
                <w:szCs w:val="22"/>
              </w:rPr>
            </w:pPr>
          </w:p>
        </w:tc>
        <w:tc>
          <w:tcPr>
            <w:tcW w:w="1826" w:type="dxa"/>
          </w:tcPr>
          <w:p>
            <w:pPr>
              <w:pStyle w:val="105"/>
              <w:rPr>
                <w:rFonts w:cs="Tahoma"/>
              </w:rPr>
            </w:pPr>
            <w:r>
              <w:rPr>
                <w:rFonts w:cs="Tahoma"/>
              </w:rPr>
              <w:t>PDSCH_RB = 0 dB</w:t>
            </w:r>
          </w:p>
        </w:tc>
        <w:tc>
          <w:tcPr>
            <w:tcW w:w="1767" w:type="dxa"/>
            <w:vMerge w:val="continue"/>
          </w:tcPr>
          <w:p>
            <w:pPr>
              <w:pStyle w:val="105"/>
              <w:rPr>
                <w:rFonts w:cs="Tahoma"/>
              </w:rPr>
            </w:pPr>
          </w:p>
        </w:tc>
      </w:tr>
    </w:tbl>
    <w:p/>
    <w:p>
      <w:pPr>
        <w:pStyle w:val="100"/>
      </w:pPr>
      <w:r>
        <w:t>NOTE 1:</w:t>
      </w:r>
      <w:r>
        <w:tab/>
      </w:r>
      <w:r>
        <w:t>No boosting is applied.</w:t>
      </w:r>
    </w:p>
    <w:p>
      <w:pPr>
        <w:pStyle w:val="113"/>
        <w:rPr>
          <w:rFonts w:cs="v5.0.0"/>
        </w:rPr>
      </w:pPr>
      <w:r>
        <w:t>Table C.3.0-2: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402" w:type="dxa"/>
          </w:tcPr>
          <w:p>
            <w:pPr>
              <w:pStyle w:val="104"/>
              <w:rPr>
                <w:rFonts w:cs="Tahoma"/>
                <w:lang w:eastAsia="zh-CN"/>
              </w:rPr>
            </w:pPr>
            <w:r>
              <w:rPr>
                <w:rFonts w:cs="Tahoma"/>
                <w:lang w:eastAsia="zh-CN"/>
              </w:rPr>
              <w:t>Parameter</w:t>
            </w:r>
          </w:p>
        </w:tc>
        <w:tc>
          <w:tcPr>
            <w:tcW w:w="1684" w:type="dxa"/>
          </w:tcPr>
          <w:p>
            <w:pPr>
              <w:pStyle w:val="104"/>
              <w:rPr>
                <w:rFonts w:cs="Tahoma"/>
                <w:lang w:eastAsia="zh-CN"/>
              </w:rPr>
            </w:pPr>
            <w:r>
              <w:rPr>
                <w:rFonts w:cs="Tahoma"/>
                <w:lang w:eastAsia="zh-CN"/>
              </w:rPr>
              <w:t>Unit</w:t>
            </w:r>
          </w:p>
        </w:tc>
        <w:tc>
          <w:tcPr>
            <w:tcW w:w="1684" w:type="dxa"/>
          </w:tcPr>
          <w:p>
            <w:pPr>
              <w:pStyle w:val="104"/>
              <w:rPr>
                <w:rFonts w:cs="Tahoma"/>
                <w:lang w:eastAsia="zh-CN"/>
              </w:rPr>
            </w:pPr>
            <w:r>
              <w:rPr>
                <w:rFonts w:cs="Tahoma"/>
                <w:lang w:eastAsia="zh-CN"/>
              </w:rPr>
              <w:t>Value</w:t>
            </w:r>
          </w:p>
        </w:tc>
        <w:tc>
          <w:tcPr>
            <w:tcW w:w="1860"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 xml:space="preserve">Transmitted power spectral density </w:t>
            </w:r>
            <w:r>
              <w:rPr>
                <w:rFonts w:cs="v5.0.0"/>
                <w:position w:val="-12"/>
                <w:szCs w:val="16"/>
              </w:rPr>
              <w:object>
                <v:shape id="_x0000_i1115" o:spt="75" type="#_x0000_t75" style="height:17.45pt;width:15.25pt;" o:ole="t" filled="f" o:preferrelative="t" stroked="f" coordsize="21600,21600">
                  <v:path/>
                  <v:fill on="f" focussize="0,0"/>
                  <v:stroke on="f" joinstyle="miter"/>
                  <v:imagedata r:id="rId167" o:title=""/>
                  <o:lock v:ext="edit" aspectratio="t"/>
                  <w10:wrap type="none"/>
                  <w10:anchorlock/>
                </v:shape>
                <o:OLEObject Type="Embed" ProgID="Equation.3" ShapeID="_x0000_i1115" DrawAspect="Content" ObjectID="_1468075815" r:id="rId166">
                  <o:LockedField>false</o:LockedField>
                </o:OLEObject>
              </w:object>
            </w:r>
          </w:p>
        </w:tc>
        <w:tc>
          <w:tcPr>
            <w:tcW w:w="1684" w:type="dxa"/>
          </w:tcPr>
          <w:p>
            <w:pPr>
              <w:pStyle w:val="105"/>
              <w:rPr>
                <w:rFonts w:cs="Tahoma"/>
              </w:rPr>
            </w:pPr>
            <w:r>
              <w:rPr>
                <w:rFonts w:cs="Tahoma"/>
              </w:rPr>
              <w:t>dBm/15 kHz</w:t>
            </w:r>
          </w:p>
        </w:tc>
        <w:tc>
          <w:tcPr>
            <w:tcW w:w="1684" w:type="dxa"/>
          </w:tcPr>
          <w:p>
            <w:pPr>
              <w:pStyle w:val="105"/>
              <w:rPr>
                <w:rFonts w:cs="Tahoma"/>
              </w:rPr>
            </w:pPr>
            <w:r>
              <w:rPr>
                <w:rFonts w:cs="Tahoma"/>
              </w:rPr>
              <w:t>Test specific</w:t>
            </w:r>
          </w:p>
        </w:tc>
        <w:tc>
          <w:tcPr>
            <w:tcW w:w="1860" w:type="dxa"/>
          </w:tcPr>
          <w:p>
            <w:pPr>
              <w:pStyle w:val="103"/>
              <w:rPr>
                <w:rFonts w:cs="Tahoma"/>
                <w:szCs w:val="16"/>
              </w:rPr>
            </w:pPr>
            <w:r>
              <w:rPr>
                <w:rFonts w:cs="Tahoma"/>
                <w:szCs w:val="16"/>
              </w:rPr>
              <w:t xml:space="preserve">1. </w:t>
            </w:r>
            <w:r>
              <w:rPr>
                <w:rFonts w:cs="v5.0.0"/>
                <w:position w:val="-12"/>
                <w:szCs w:val="16"/>
              </w:rPr>
              <w:object>
                <v:shape id="_x0000_i1116" o:spt="75" type="#_x0000_t75" style="height:17.45pt;width:15.25pt;" o:ole="t" filled="f" o:preferrelative="t" stroked="f" coordsize="21600,21600">
                  <v:path/>
                  <v:fill on="f" focussize="0,0"/>
                  <v:stroke on="f" joinstyle="miter"/>
                  <v:imagedata r:id="rId167" o:title=""/>
                  <o:lock v:ext="edit" aspectratio="t"/>
                  <w10:wrap type="none"/>
                  <w10:anchorlock/>
                </v:shape>
                <o:OLEObject Type="Embed" ProgID="Equation.3" ShapeID="_x0000_i1116" DrawAspect="Content" ObjectID="_1468075816" r:id="rId168">
                  <o:LockedField>false</o:LockedField>
                </o:OLEObject>
              </w:object>
            </w:r>
            <w:r>
              <w:rPr>
                <w:rFonts w:cs="v5.0.0"/>
                <w:szCs w:val="16"/>
              </w:rPr>
              <w:t>shall be kept constant throughout all OFDM symbols</w:t>
            </w:r>
          </w:p>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Cell-specific reference signal power ratio</w:t>
            </w:r>
            <w:r>
              <w:rPr>
                <w:rFonts w:cs="v5.0.0"/>
                <w:position w:val="-12"/>
                <w:szCs w:val="16"/>
              </w:rPr>
              <w:object>
                <v:shape id="_x0000_i1117" o:spt="75" type="#_x0000_t75" style="height:17.45pt;width:38.75pt;" o:ole="t" filled="f" o:preferrelative="t" stroked="f" coordsize="21600,21600">
                  <v:path/>
                  <v:fill on="f" focussize="0,0"/>
                  <v:stroke on="f" joinstyle="miter"/>
                  <v:imagedata r:id="rId170" o:title=""/>
                  <o:lock v:ext="edit" aspectratio="t"/>
                  <w10:wrap type="none"/>
                  <w10:anchorlock/>
                </v:shape>
                <o:OLEObject Type="Embed" ProgID="Equation.3" ShapeID="_x0000_i1117" DrawAspect="Content" ObjectID="_1468075817" r:id="rId169">
                  <o:LockedField>false</o:LockedField>
                </o:OLEObject>
              </w:object>
            </w:r>
          </w:p>
        </w:tc>
        <w:tc>
          <w:tcPr>
            <w:tcW w:w="1684" w:type="dxa"/>
          </w:tcPr>
          <w:p>
            <w:pPr>
              <w:pStyle w:val="105"/>
              <w:rPr>
                <w:rFonts w:cs="Tahoma"/>
              </w:rPr>
            </w:pPr>
          </w:p>
        </w:tc>
        <w:tc>
          <w:tcPr>
            <w:tcW w:w="1684" w:type="dxa"/>
          </w:tcPr>
          <w:p>
            <w:pPr>
              <w:pStyle w:val="105"/>
              <w:rPr>
                <w:rFonts w:cs="Tahoma"/>
              </w:rPr>
            </w:pPr>
            <w:r>
              <w:rPr>
                <w:rFonts w:cs="Tahoma"/>
              </w:rPr>
              <w:t>0 dB</w:t>
            </w:r>
          </w:p>
        </w:tc>
        <w:tc>
          <w:tcPr>
            <w:tcW w:w="1860" w:type="dxa"/>
          </w:tcPr>
          <w:p>
            <w:pPr>
              <w:pStyle w:val="105"/>
              <w:rPr>
                <w:rFonts w:cs="Tahoma"/>
              </w:rPr>
            </w:pPr>
          </w:p>
        </w:tc>
      </w:tr>
    </w:tbl>
    <w:p/>
    <w:p>
      <w:pPr>
        <w:pStyle w:val="113"/>
        <w:rPr>
          <w:rFonts w:cs="v5.0.0"/>
        </w:rPr>
      </w:pPr>
      <w:r>
        <w:t>Table C.3.0-3: PDCCH Aggregation Level (in CCE-s)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(SI-RNTI)</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3" w:type="dxa"/>
          </w:tcPr>
          <w:p>
            <w:pPr>
              <w:pStyle w:val="104"/>
              <w:rPr>
                <w:lang w:eastAsia="zh-CN"/>
              </w:rPr>
            </w:pPr>
            <w:r>
              <w:rPr>
                <w:lang w:eastAsia="zh-CN"/>
              </w:rPr>
              <w:t>DCI for UL</w:t>
            </w:r>
            <w:r>
              <w:rPr>
                <w:lang w:eastAsia="zh-CN"/>
              </w:rPr>
              <w:br w:type="textWrapping"/>
            </w:r>
            <w:r>
              <w:rPr>
                <w:lang w:eastAsia="zh-CN"/>
              </w:rPr>
              <w:t>(C-RNTI)</w:t>
            </w:r>
          </w:p>
        </w:tc>
        <w:tc>
          <w:tcPr>
            <w:tcW w:w="1843" w:type="dxa"/>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t>4</w:t>
            </w:r>
          </w:p>
        </w:tc>
        <w:tc>
          <w:tcPr>
            <w:tcW w:w="1842" w:type="dxa"/>
          </w:tcPr>
          <w:p>
            <w:pPr>
              <w:pStyle w:val="105"/>
            </w:pPr>
            <w:r>
              <w:t>1</w:t>
            </w:r>
          </w:p>
        </w:tc>
        <w:tc>
          <w:tcPr>
            <w:tcW w:w="1843" w:type="dxa"/>
          </w:tcPr>
          <w:p>
            <w:pPr>
              <w:pStyle w:val="105"/>
            </w:pPr>
            <w:r>
              <w:t>1</w:t>
            </w:r>
          </w:p>
        </w:tc>
        <w:tc>
          <w:tcPr>
            <w:tcW w:w="1843" w:type="dxa"/>
          </w:tcPr>
          <w:p>
            <w:pPr>
              <w:pStyle w:val="105"/>
            </w:pPr>
            <w:r>
              <w:t>Note 1</w:t>
            </w:r>
          </w:p>
        </w:tc>
      </w:tr>
    </w:tbl>
    <w:p/>
    <w:p>
      <w:pPr>
        <w:pStyle w:val="113"/>
      </w:pPr>
      <w:r>
        <w:t>Table C.3.0-3a: MPDCCH Aggregation Level (in ECCE-s)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2" w:type="dxa"/>
          </w:tcPr>
          <w:p>
            <w:pPr>
              <w:pStyle w:val="104"/>
              <w:rPr>
                <w:lang w:eastAsia="zh-CN"/>
              </w:rPr>
            </w:pPr>
            <w:r>
              <w:rPr>
                <w:lang w:eastAsia="zh-CN"/>
              </w:rPr>
              <w:t>DCI for UL</w:t>
            </w:r>
            <w:r>
              <w:rPr>
                <w:lang w:eastAsia="zh-CN"/>
              </w:rPr>
              <w:br w:type="textWrapping"/>
            </w:r>
            <w:r>
              <w:rPr>
                <w:lang w:eastAsia="zh-CN"/>
              </w:rPr>
              <w:t>(C-RNTI)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rPr>
                <w:lang w:eastAsia="ja-JP"/>
              </w:rPr>
              <w:t>2</w:t>
            </w:r>
          </w:p>
        </w:tc>
        <w:tc>
          <w:tcPr>
            <w:tcW w:w="1842" w:type="dxa"/>
          </w:tcPr>
          <w:p>
            <w:pPr>
              <w:pStyle w:val="105"/>
            </w:pPr>
            <w:r>
              <w:rPr>
                <w:lang w:eastAsia="ja-JP"/>
              </w:rPr>
              <w:t>4</w:t>
            </w:r>
          </w:p>
        </w:tc>
      </w:tr>
    </w:tbl>
    <w:p/>
    <w:p>
      <w:pPr>
        <w:pStyle w:val="4"/>
      </w:pPr>
      <w:bookmarkStart w:id="1109" w:name="_Toc232582149"/>
      <w:bookmarkStart w:id="1110" w:name="_Toc18374"/>
      <w:r>
        <w:t>C.3.1</w:t>
      </w:r>
      <w:r>
        <w:tab/>
      </w:r>
      <w:r>
        <w:t>Measurement of Receiver Characteristics</w:t>
      </w:r>
      <w:bookmarkEnd w:id="1109"/>
      <w:bookmarkEnd w:id="1110"/>
    </w:p>
    <w:p>
      <w:pPr>
        <w:rPr>
          <w:rFonts w:cs="v5.0.0"/>
          <w:lang w:val="en-US"/>
        </w:rPr>
      </w:pPr>
      <w:r>
        <w:rPr>
          <w:rFonts w:cs="v5.0.0"/>
          <w:lang w:val="en-US"/>
        </w:rPr>
        <w:t>Unless otherwise stated, Table B.3.1-1 is applicable for measurements on the Receiver Characteristics (clause 7).</w:t>
      </w:r>
    </w:p>
    <w:p>
      <w:pPr>
        <w:pStyle w:val="113"/>
        <w:rPr>
          <w:rFonts w:cs="v5.0.0"/>
          <w:lang w:val="en-US"/>
        </w:rPr>
      </w:pPr>
      <w:r>
        <w:rPr>
          <w:lang w:val="en-US"/>
        </w:rPr>
        <w:t>Table B.3.1-1: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Arial"/>
                <w:lang w:val="en-US"/>
              </w:rPr>
            </w:pPr>
            <w:r>
              <w:rPr>
                <w:rFonts w:cs="Arial"/>
                <w:lang w:val="en-US"/>
              </w:rPr>
              <w:t>Physical Channel</w:t>
            </w:r>
          </w:p>
        </w:tc>
        <w:tc>
          <w:tcPr>
            <w:tcW w:w="1826" w:type="dxa"/>
          </w:tcPr>
          <w:p>
            <w:pPr>
              <w:pStyle w:val="104"/>
              <w:rPr>
                <w:rFonts w:cs="Arial"/>
                <w:lang w:val="en-US"/>
              </w:rPr>
            </w:pPr>
            <w:r>
              <w:rPr>
                <w:rFonts w:cs="Arial"/>
                <w:lang w:val="en-US"/>
              </w:rPr>
              <w:t>EPRE Ratio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Arial"/>
                <w:lang w:val="en-US"/>
              </w:rPr>
            </w:pPr>
            <w:r>
              <w:rPr>
                <w:rFonts w:cs="Arial"/>
                <w:lang w:val="en-US"/>
              </w:rPr>
              <w:t>PBCH</w:t>
            </w:r>
          </w:p>
        </w:tc>
        <w:tc>
          <w:tcPr>
            <w:tcW w:w="1826" w:type="dxa"/>
          </w:tcPr>
          <w:p>
            <w:pPr>
              <w:pStyle w:val="105"/>
              <w:rPr>
                <w:rFonts w:cs="Arial"/>
                <w:lang w:val="en-US"/>
              </w:rPr>
            </w:pPr>
            <w:r>
              <w:rPr>
                <w:rFonts w:cs="Arial"/>
                <w:lang w:val="en-US"/>
              </w:rPr>
              <w:t>PBCH_RA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Arial"/>
                <w:lang w:val="en-US"/>
              </w:rPr>
            </w:pPr>
          </w:p>
        </w:tc>
        <w:tc>
          <w:tcPr>
            <w:tcW w:w="1826" w:type="dxa"/>
          </w:tcPr>
          <w:p>
            <w:pPr>
              <w:pStyle w:val="105"/>
              <w:rPr>
                <w:rFonts w:cs="Arial"/>
                <w:lang w:val="en-US"/>
              </w:rPr>
            </w:pPr>
            <w:r>
              <w:rPr>
                <w:rFonts w:cs="Arial"/>
                <w:lang w:val="en-US"/>
              </w:rPr>
              <w:t>PBCH_RB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PSS</w:t>
            </w:r>
          </w:p>
        </w:tc>
        <w:tc>
          <w:tcPr>
            <w:tcW w:w="1826" w:type="dxa"/>
          </w:tcPr>
          <w:p>
            <w:pPr>
              <w:pStyle w:val="105"/>
              <w:rPr>
                <w:rFonts w:cs="Arial"/>
                <w:lang w:val="en-US"/>
              </w:rPr>
            </w:pPr>
            <w:r>
              <w:rPr>
                <w:rFonts w:cs="Arial"/>
                <w:lang w:val="en-US"/>
              </w:rPr>
              <w:t>PSS_RA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SSS</w:t>
            </w:r>
          </w:p>
        </w:tc>
        <w:tc>
          <w:tcPr>
            <w:tcW w:w="1826" w:type="dxa"/>
          </w:tcPr>
          <w:p>
            <w:pPr>
              <w:pStyle w:val="105"/>
              <w:rPr>
                <w:rFonts w:cs="Arial"/>
                <w:lang w:val="en-US"/>
              </w:rPr>
            </w:pPr>
            <w:r>
              <w:rPr>
                <w:rFonts w:cs="Arial"/>
                <w:lang w:val="en-US"/>
              </w:rPr>
              <w:t>SSS_RA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restart"/>
          </w:tcPr>
          <w:p>
            <w:pPr>
              <w:pStyle w:val="103"/>
              <w:rPr>
                <w:rFonts w:cs="Arial"/>
                <w:szCs w:val="22"/>
                <w:lang w:val="en-US"/>
              </w:rPr>
            </w:pPr>
            <w:r>
              <w:rPr>
                <w:rFonts w:cs="Arial"/>
                <w:szCs w:val="22"/>
                <w:lang w:val="en-US"/>
              </w:rPr>
              <w:t>PDSCH</w:t>
            </w:r>
          </w:p>
        </w:tc>
        <w:tc>
          <w:tcPr>
            <w:tcW w:w="1826" w:type="dxa"/>
          </w:tcPr>
          <w:p>
            <w:pPr>
              <w:pStyle w:val="105"/>
              <w:rPr>
                <w:rFonts w:cs="Arial"/>
                <w:lang w:val="en-US"/>
              </w:rPr>
            </w:pPr>
            <w:r>
              <w:rPr>
                <w:rFonts w:cs="Arial"/>
                <w:lang w:val="en-US"/>
              </w:rPr>
              <w:t>PDSCH_RA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494" w:type="dxa"/>
            <w:vMerge w:val="continue"/>
          </w:tcPr>
          <w:p>
            <w:pPr>
              <w:pStyle w:val="103"/>
              <w:rPr>
                <w:rFonts w:cs="Arial"/>
                <w:szCs w:val="22"/>
                <w:lang w:val="en-US"/>
              </w:rPr>
            </w:pPr>
          </w:p>
        </w:tc>
        <w:tc>
          <w:tcPr>
            <w:tcW w:w="1826" w:type="dxa"/>
          </w:tcPr>
          <w:p>
            <w:pPr>
              <w:pStyle w:val="105"/>
              <w:rPr>
                <w:rFonts w:cs="Arial"/>
                <w:lang w:val="en-US"/>
              </w:rPr>
            </w:pPr>
            <w:r>
              <w:rPr>
                <w:rFonts w:cs="Arial"/>
                <w:lang w:val="en-US"/>
              </w:rPr>
              <w:t>PDSCH_RB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2494" w:type="dxa"/>
            <w:vMerge w:val="restart"/>
          </w:tcPr>
          <w:p>
            <w:pPr>
              <w:pStyle w:val="103"/>
              <w:rPr>
                <w:rFonts w:cs="Arial"/>
                <w:lang w:val="en-US"/>
              </w:rPr>
            </w:pPr>
            <w:r>
              <w:rPr>
                <w:rFonts w:cs="Arial"/>
                <w:lang w:val="en-US"/>
              </w:rPr>
              <w:t>OCNG</w:t>
            </w:r>
          </w:p>
        </w:tc>
        <w:tc>
          <w:tcPr>
            <w:tcW w:w="1826" w:type="dxa"/>
          </w:tcPr>
          <w:p>
            <w:pPr>
              <w:pStyle w:val="105"/>
              <w:rPr>
                <w:rFonts w:cs="Arial"/>
                <w:lang w:val="en-US"/>
              </w:rPr>
            </w:pPr>
            <w:r>
              <w:rPr>
                <w:rFonts w:cs="Arial"/>
                <w:lang w:val="en-US"/>
              </w:rPr>
              <w:t>OCNG_RA = 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2494" w:type="dxa"/>
            <w:vMerge w:val="continue"/>
          </w:tcPr>
          <w:p>
            <w:pPr>
              <w:pStyle w:val="103"/>
              <w:rPr>
                <w:rFonts w:cs="Arial"/>
                <w:lang w:val="en-US"/>
              </w:rPr>
            </w:pPr>
          </w:p>
        </w:tc>
        <w:tc>
          <w:tcPr>
            <w:tcW w:w="1826" w:type="dxa"/>
          </w:tcPr>
          <w:p>
            <w:pPr>
              <w:pStyle w:val="105"/>
              <w:rPr>
                <w:rFonts w:cs="Arial"/>
                <w:lang w:val="en-US"/>
              </w:rPr>
            </w:pPr>
            <w:r>
              <w:rPr>
                <w:rFonts w:cs="Arial"/>
                <w:lang w:val="en-US"/>
              </w:rPr>
              <w:t>OCNG_RB = 0 dB</w:t>
            </w:r>
          </w:p>
        </w:tc>
      </w:tr>
    </w:tbl>
    <w:p>
      <w:pPr>
        <w:rPr>
          <w:lang w:val="en-US"/>
        </w:rPr>
      </w:pPr>
    </w:p>
    <w:p>
      <w:pPr>
        <w:pStyle w:val="100"/>
        <w:rPr>
          <w:lang w:val="en-US"/>
        </w:rPr>
      </w:pPr>
      <w:r>
        <w:rPr>
          <w:lang w:val="en-US"/>
        </w:rPr>
        <w:t>NOTE 1:</w:t>
      </w:r>
      <w:r>
        <w:rPr>
          <w:rFonts w:cs="v5.0.0"/>
          <w:lang w:val="en-US"/>
        </w:rPr>
        <w:tab/>
      </w:r>
      <w:r>
        <w:rPr>
          <w:lang w:val="en-US"/>
        </w:rPr>
        <w:t>No boosting is applied.</w:t>
      </w:r>
    </w:p>
    <w:p>
      <w:pPr>
        <w:pStyle w:val="113"/>
        <w:rPr>
          <w:rFonts w:cs="v5.0.0"/>
          <w:lang w:val="en-US"/>
        </w:rPr>
      </w:pPr>
      <w:r>
        <w:rPr>
          <w:lang w:val="en-US"/>
        </w:rPr>
        <w:t>Table B.3.1-2: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Arial"/>
                <w:lang w:val="en-US"/>
              </w:rPr>
            </w:pPr>
            <w:r>
              <w:rPr>
                <w:rFonts w:cs="Arial"/>
                <w:lang w:val="en-US"/>
              </w:rPr>
              <w:t>Parameter</w:t>
            </w:r>
          </w:p>
        </w:tc>
        <w:tc>
          <w:tcPr>
            <w:tcW w:w="1684" w:type="dxa"/>
          </w:tcPr>
          <w:p>
            <w:pPr>
              <w:pStyle w:val="104"/>
              <w:rPr>
                <w:rFonts w:cs="Arial"/>
                <w:lang w:val="en-US"/>
              </w:rPr>
            </w:pPr>
            <w:r>
              <w:rPr>
                <w:rFonts w:cs="Arial"/>
                <w:lang w:val="en-US"/>
              </w:rPr>
              <w:t>Unit</w:t>
            </w:r>
          </w:p>
        </w:tc>
        <w:tc>
          <w:tcPr>
            <w:tcW w:w="1684" w:type="dxa"/>
          </w:tcPr>
          <w:p>
            <w:pPr>
              <w:pStyle w:val="104"/>
              <w:rPr>
                <w:rFonts w:cs="Arial"/>
                <w:lang w:val="en-US"/>
              </w:rPr>
            </w:pPr>
            <w:r>
              <w:rPr>
                <w:rFonts w:cs="Arial"/>
                <w:lang w:val="en-US"/>
              </w:rPr>
              <w:t>Value</w:t>
            </w:r>
          </w:p>
        </w:tc>
        <w:tc>
          <w:tcPr>
            <w:tcW w:w="1860" w:type="dxa"/>
          </w:tcPr>
          <w:p>
            <w:pPr>
              <w:pStyle w:val="104"/>
              <w:rPr>
                <w:rFonts w:cs="Arial"/>
                <w:lang w:val="en-US"/>
              </w:rPr>
            </w:pPr>
            <w:r>
              <w:rPr>
                <w:rFonts w:cs="Arial"/>
                <w:lang w:val="en-US"/>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Transmitted power spectral density </w:t>
            </w: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v5.0.0"/>
                <w:lang w:val="en-US"/>
              </w:rPr>
            </w:pPr>
            <w:r>
              <w:rPr>
                <w:rFonts w:cs="v5.0.0"/>
                <w:lang w:val="en-US"/>
              </w:rPr>
              <w:t>dBm/15 kHz</w:t>
            </w:r>
          </w:p>
        </w:tc>
        <w:tc>
          <w:tcPr>
            <w:tcW w:w="1684" w:type="dxa"/>
          </w:tcPr>
          <w:p>
            <w:pPr>
              <w:pStyle w:val="105"/>
              <w:rPr>
                <w:rFonts w:cs="v5.0.0"/>
                <w:lang w:val="en-US"/>
              </w:rPr>
            </w:pPr>
            <w:r>
              <w:rPr>
                <w:rFonts w:cs="v5.0.0"/>
                <w:lang w:val="en-US"/>
              </w:rPr>
              <w:t>Test specific</w:t>
            </w:r>
          </w:p>
        </w:tc>
        <w:tc>
          <w:tcPr>
            <w:tcW w:w="1860" w:type="dxa"/>
          </w:tcPr>
          <w:p>
            <w:pPr>
              <w:pStyle w:val="103"/>
              <w:rPr>
                <w:rFonts w:cs="Arial"/>
                <w:lang w:val="en-US"/>
              </w:rPr>
            </w:pPr>
            <w:r>
              <w:rPr>
                <w:rFonts w:cs="Arial"/>
                <w:lang w:val="en-US"/>
              </w:rPr>
              <w:t xml:space="preserve">1. </w:t>
            </w:r>
            <m:oMath>
              <m:sSub>
                <m:sSubPr>
                  <m:ctrlPr>
                    <w:rPr>
                      <w:rFonts w:ascii="Cambria Math" w:hAnsi="Cambria Math" w:cs="v5.0.0"/>
                      <w:i/>
                      <w:lang w:val="en-US"/>
                    </w:rPr>
                  </m:ctrlPr>
                </m:sSubPr>
                <m:e>
                  <m:r>
                    <m:rPr/>
                    <w:rPr>
                      <w:rFonts w:ascii="Cambria Math" w:hAnsi="Cambria Math" w:cs="v5.0.0"/>
                      <w:lang w:val="en-US"/>
                    </w:rPr>
                    <m:t>I</m:t>
                  </m:r>
                  <m:ctrlPr>
                    <w:rPr>
                      <w:rFonts w:ascii="Cambria Math" w:hAnsi="Cambria Math" w:cs="v5.0.0"/>
                      <w:i/>
                      <w:lang w:val="en-US"/>
                    </w:rPr>
                  </m:ctrlPr>
                </m:e>
                <m:sub>
                  <m:r>
                    <m:rPr/>
                    <w:rPr>
                      <w:rFonts w:ascii="Cambria Math" w:hAnsi="Cambria Math" w:cs="v5.0.0"/>
                      <w:lang w:val="en-US"/>
                    </w:rPr>
                    <m:t>or</m:t>
                  </m:r>
                  <m:ctrlPr>
                    <w:rPr>
                      <w:rFonts w:ascii="Cambria Math" w:hAnsi="Cambria Math" w:cs="v5.0.0"/>
                      <w:i/>
                      <w:lang w:val="en-US"/>
                    </w:rPr>
                  </m:ctrlPr>
                </m:sub>
              </m:sSub>
            </m:oMath>
            <w:r>
              <w:rPr>
                <w:rFonts w:cs="v5.0.0"/>
                <w:lang w:val="en-US"/>
              </w:rPr>
              <w:t xml:space="preserve"> shall be kept constant throughout all OFDM symbols</w:t>
            </w:r>
          </w:p>
          <w:p>
            <w:pPr>
              <w:pStyle w:val="105"/>
              <w:jc w:val="left"/>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402" w:type="dxa"/>
          </w:tcPr>
          <w:p>
            <w:pPr>
              <w:pStyle w:val="103"/>
              <w:rPr>
                <w:rFonts w:cs="Arial"/>
                <w:lang w:val="en-US"/>
              </w:rPr>
            </w:pPr>
            <w:r>
              <w:rPr>
                <w:rFonts w:cs="Arial"/>
                <w:lang w:val="en-US"/>
              </w:rPr>
              <w:t xml:space="preserve">Cell-specific reference signal power ratio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v5.0.0"/>
                <w:lang w:val="en-US"/>
              </w:rPr>
            </w:pPr>
          </w:p>
        </w:tc>
        <w:tc>
          <w:tcPr>
            <w:tcW w:w="1684" w:type="dxa"/>
          </w:tcPr>
          <w:p>
            <w:pPr>
              <w:pStyle w:val="105"/>
              <w:rPr>
                <w:rFonts w:cs="Arial"/>
                <w:lang w:val="en-US"/>
              </w:rPr>
            </w:pPr>
            <w:r>
              <w:rPr>
                <w:rFonts w:cs="v5.0.0"/>
                <w:lang w:val="en-US"/>
              </w:rPr>
              <w:t>0 dB</w:t>
            </w:r>
          </w:p>
        </w:tc>
        <w:tc>
          <w:tcPr>
            <w:tcW w:w="1860" w:type="dxa"/>
          </w:tcPr>
          <w:p>
            <w:pPr>
              <w:pStyle w:val="103"/>
              <w:rPr>
                <w:rFonts w:cs="Arial"/>
                <w:lang w:val="en-US"/>
              </w:rPr>
            </w:pPr>
          </w:p>
        </w:tc>
      </w:tr>
    </w:tbl>
    <w:p>
      <w:pPr>
        <w:rPr>
          <w:rFonts w:cs="v5.0.0"/>
        </w:rPr>
      </w:pPr>
    </w:p>
    <w:p>
      <w:pPr>
        <w:pStyle w:val="4"/>
      </w:pPr>
      <w:bookmarkStart w:id="1111" w:name="_Toc23137"/>
      <w:bookmarkStart w:id="1112" w:name="_Toc232582150"/>
      <w:r>
        <w:t>C.3.2</w:t>
      </w:r>
      <w:r>
        <w:tab/>
      </w:r>
      <w:r>
        <w:t>Measurement of Performance requirements</w:t>
      </w:r>
      <w:bookmarkEnd w:id="1111"/>
      <w:bookmarkEnd w:id="1112"/>
    </w:p>
    <w:p>
      <w:r>
        <w:t>Table C.3.2-1 is applicable for measurements in which uniform RS-to-EPRE boosting for all downlink physical channels</w:t>
      </w:r>
      <w:r>
        <w:rPr>
          <w:rFonts w:hint="eastAsia" w:eastAsia="宋体"/>
          <w:lang w:val="en-US" w:eastAsia="zh-CN"/>
        </w:rPr>
        <w:t>, unless otherwise stated</w:t>
      </w:r>
      <w:r>
        <w:t>.</w:t>
      </w:r>
    </w:p>
    <w:p>
      <w:pPr>
        <w:pStyle w:val="113"/>
        <w:rPr>
          <w:rFonts w:cs="v5.0.0"/>
        </w:rPr>
      </w:pPr>
      <w:r>
        <w:t>Table C.3.2-1: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4"/>
        <w:gridCol w:w="2126"/>
        <w:gridCol w:w="1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4"/>
              <w:rPr>
                <w:rFonts w:cs="Tahoma"/>
                <w:lang w:eastAsia="zh-CN"/>
              </w:rPr>
            </w:pPr>
            <w:r>
              <w:rPr>
                <w:rFonts w:cs="Tahoma"/>
                <w:lang w:eastAsia="zh-CN"/>
              </w:rPr>
              <w:t>Physical Channel</w:t>
            </w:r>
          </w:p>
        </w:tc>
        <w:tc>
          <w:tcPr>
            <w:tcW w:w="2126" w:type="dxa"/>
          </w:tcPr>
          <w:p>
            <w:pPr>
              <w:pStyle w:val="104"/>
              <w:rPr>
                <w:rFonts w:cs="Tahoma"/>
                <w:lang w:eastAsia="zh-CN"/>
              </w:rPr>
            </w:pPr>
            <w:r>
              <w:rPr>
                <w:rFonts w:cs="Tahoma"/>
                <w:lang w:eastAsia="zh-CN"/>
              </w:rPr>
              <w:t>EPRE Ratio</w:t>
            </w:r>
          </w:p>
        </w:tc>
        <w:tc>
          <w:tcPr>
            <w:tcW w:w="1627"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16"/>
              </w:rPr>
            </w:pPr>
            <w:r>
              <w:rPr>
                <w:rFonts w:cs="Tahoma"/>
                <w:szCs w:val="16"/>
              </w:rPr>
              <w:t>PBCH</w:t>
            </w:r>
          </w:p>
        </w:tc>
        <w:tc>
          <w:tcPr>
            <w:tcW w:w="2126" w:type="dxa"/>
          </w:tcPr>
          <w:p>
            <w:pPr>
              <w:pStyle w:val="105"/>
            </w:pPr>
            <w:r>
              <w:rPr>
                <w:rFonts w:cs="Tahoma"/>
              </w:rPr>
              <w:t xml:space="preserve">PBCH_RA = </w:t>
            </w:r>
            <w:r>
              <w:rPr>
                <w:rFonts w:ascii="Symbol" w:hAnsi="Symbol" w:cs="Tahoma"/>
              </w:rPr>
              <w:t></w:t>
            </w:r>
            <w:r>
              <w:rPr>
                <w:rFonts w:cs="Tahoma"/>
                <w:vertAlign w:val="subscript"/>
              </w:rPr>
              <w:t>A</w:t>
            </w:r>
            <w:r>
              <w:t xml:space="preserve"> + </w:t>
            </w:r>
            <w:r>
              <w:rPr>
                <w:rFonts w:ascii="Symbol" w:hAnsi="Symbol" w:cs="Arial"/>
              </w:rPr>
              <w:t></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16"/>
              </w:rPr>
            </w:pPr>
          </w:p>
        </w:tc>
        <w:tc>
          <w:tcPr>
            <w:tcW w:w="2126" w:type="dxa"/>
          </w:tcPr>
          <w:p>
            <w:pPr>
              <w:pStyle w:val="105"/>
              <w:rPr>
                <w:rFonts w:cs="Tahoma"/>
              </w:rPr>
            </w:pPr>
            <w:r>
              <w:rPr>
                <w:rFonts w:cs="Tahoma"/>
              </w:rPr>
              <w:t xml:space="preserve">PBCH_RB = </w:t>
            </w:r>
            <w:r>
              <w:rPr>
                <w:rFonts w:ascii="Symbol" w:hAnsi="Symbol" w:cs="Tahoma"/>
              </w:rPr>
              <w:t></w:t>
            </w:r>
            <w:r>
              <w:rPr>
                <w:rFonts w:cs="Tahoma"/>
                <w:vertAlign w:val="subscript"/>
              </w:rPr>
              <w:t>B</w:t>
            </w:r>
            <w:r>
              <w:t xml:space="preserve"> + </w:t>
            </w:r>
            <w:r>
              <w:rPr>
                <w:rFonts w:ascii="Symbol" w:hAnsi="Symbol" w:cs="Arial"/>
              </w:rPr>
              <w:t></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3"/>
              <w:rPr>
                <w:rFonts w:cs="Tahoma"/>
                <w:szCs w:val="16"/>
              </w:rPr>
            </w:pPr>
            <w:r>
              <w:rPr>
                <w:rFonts w:cs="Tahoma"/>
                <w:szCs w:val="16"/>
              </w:rPr>
              <w:t>PSS</w:t>
            </w:r>
          </w:p>
        </w:tc>
        <w:tc>
          <w:tcPr>
            <w:tcW w:w="2126" w:type="dxa"/>
          </w:tcPr>
          <w:p>
            <w:pPr>
              <w:pStyle w:val="105"/>
              <w:rPr>
                <w:rFonts w:cs="Tahoma"/>
              </w:rPr>
            </w:pPr>
            <w:r>
              <w:rPr>
                <w:rFonts w:cs="Tahoma"/>
              </w:rPr>
              <w:t xml:space="preserve">PSS_RA = 0 (Note </w:t>
            </w:r>
            <w:r>
              <w:rPr>
                <w:rFonts w:hint="eastAsia" w:eastAsia="宋体" w:cs="Tahoma"/>
                <w:lang w:val="en-US" w:eastAsia="zh-CN"/>
              </w:rPr>
              <w:t>3</w:t>
            </w:r>
            <w:r>
              <w:rPr>
                <w:rFonts w:cs="Tahoma"/>
              </w:rPr>
              <w:t>)</w:t>
            </w:r>
          </w:p>
        </w:tc>
        <w:tc>
          <w:tcPr>
            <w:tcW w:w="162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4" w:type="dxa"/>
          </w:tcPr>
          <w:p>
            <w:pPr>
              <w:pStyle w:val="103"/>
              <w:rPr>
                <w:rFonts w:cs="Tahoma"/>
                <w:szCs w:val="16"/>
              </w:rPr>
            </w:pPr>
            <w:r>
              <w:rPr>
                <w:rFonts w:cs="Tahoma"/>
                <w:szCs w:val="16"/>
              </w:rPr>
              <w:t>SSS</w:t>
            </w:r>
          </w:p>
        </w:tc>
        <w:tc>
          <w:tcPr>
            <w:tcW w:w="2126" w:type="dxa"/>
          </w:tcPr>
          <w:p>
            <w:pPr>
              <w:pStyle w:val="105"/>
              <w:rPr>
                <w:rFonts w:cs="Tahoma"/>
              </w:rPr>
            </w:pPr>
            <w:r>
              <w:rPr>
                <w:rFonts w:cs="Tahoma"/>
              </w:rPr>
              <w:t xml:space="preserve">SSS_RA = 0 (Note </w:t>
            </w:r>
            <w:r>
              <w:rPr>
                <w:rFonts w:hint="eastAsia" w:eastAsia="宋体" w:cs="Tahoma"/>
                <w:lang w:val="en-US" w:eastAsia="zh-CN"/>
              </w:rPr>
              <w:t>3</w:t>
            </w:r>
            <w:r>
              <w:rPr>
                <w:rFonts w:cs="Tahoma"/>
              </w:rPr>
              <w:t>)</w:t>
            </w:r>
          </w:p>
        </w:tc>
        <w:tc>
          <w:tcPr>
            <w:tcW w:w="1627" w:type="dxa"/>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22"/>
              </w:rPr>
            </w:pPr>
            <w:r>
              <w:rPr>
                <w:rFonts w:cs="Tahoma"/>
                <w:szCs w:val="16"/>
                <w:lang w:eastAsia="zh-CN"/>
              </w:rPr>
              <w:t>MPDCCH</w:t>
            </w:r>
          </w:p>
        </w:tc>
        <w:tc>
          <w:tcPr>
            <w:tcW w:w="2126" w:type="dxa"/>
          </w:tcPr>
          <w:p>
            <w:pPr>
              <w:pStyle w:val="105"/>
              <w:rPr>
                <w:rFonts w:cs="Tahoma"/>
              </w:rPr>
            </w:pPr>
            <w:r>
              <w:t xml:space="preserve">MPDCCH_RA = </w:t>
            </w:r>
            <w:r>
              <w:rPr>
                <w:rFonts w:ascii="Symbol" w:hAnsi="Symbol"/>
              </w:rPr>
              <w:t></w:t>
            </w:r>
            <w:r>
              <w:rPr>
                <w:vertAlign w:val="subscript"/>
              </w:rPr>
              <w:t>A</w:t>
            </w:r>
            <w:r>
              <w:t>+</w:t>
            </w:r>
            <w:r>
              <w:rPr>
                <w:rFonts w:cs="Arial"/>
              </w:rPr>
              <w:t>δ</w:t>
            </w:r>
          </w:p>
        </w:tc>
        <w:tc>
          <w:tcPr>
            <w:tcW w:w="1627" w:type="dxa"/>
            <w:vMerge w:val="restart"/>
          </w:tcPr>
          <w:p>
            <w:pPr>
              <w:pStyle w:val="105"/>
              <w:rPr>
                <w:rFonts w:cs="Tahoma"/>
              </w:rPr>
            </w:pPr>
            <w:r>
              <w:t>Only required for UE category M1 testing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22"/>
              </w:rPr>
            </w:pPr>
          </w:p>
        </w:tc>
        <w:tc>
          <w:tcPr>
            <w:tcW w:w="2126" w:type="dxa"/>
          </w:tcPr>
          <w:p>
            <w:pPr>
              <w:pStyle w:val="105"/>
              <w:rPr>
                <w:rFonts w:cs="Tahoma"/>
              </w:rPr>
            </w:pPr>
            <w:r>
              <w:t xml:space="preserve">MPDCCH_RB = </w:t>
            </w:r>
            <w:r>
              <w:rPr>
                <w:rFonts w:ascii="Symbol" w:hAnsi="Symbol"/>
              </w:rPr>
              <w:t></w:t>
            </w:r>
            <w:r>
              <w:rPr>
                <w:vertAlign w:val="subscript"/>
              </w:rPr>
              <w:t>B</w:t>
            </w:r>
            <w:r>
              <w:t>+</w:t>
            </w:r>
            <w:r>
              <w:rPr>
                <w:rFonts w:cs="Arial"/>
              </w:rPr>
              <w:t>δ</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restart"/>
          </w:tcPr>
          <w:p>
            <w:pPr>
              <w:pStyle w:val="103"/>
              <w:rPr>
                <w:rFonts w:cs="Tahoma"/>
                <w:szCs w:val="22"/>
              </w:rPr>
            </w:pPr>
            <w:r>
              <w:rPr>
                <w:rFonts w:cs="Tahoma"/>
                <w:szCs w:val="22"/>
              </w:rPr>
              <w:t>PDSCH</w:t>
            </w:r>
          </w:p>
        </w:tc>
        <w:tc>
          <w:tcPr>
            <w:tcW w:w="2126" w:type="dxa"/>
          </w:tcPr>
          <w:p>
            <w:pPr>
              <w:pStyle w:val="105"/>
              <w:rPr>
                <w:rFonts w:cs="Tahoma"/>
              </w:rPr>
            </w:pPr>
            <w:r>
              <w:rPr>
                <w:rFonts w:cs="Tahoma"/>
              </w:rPr>
              <w:t xml:space="preserve">PDSCH_RA = </w:t>
            </w:r>
            <w:r>
              <w:rPr>
                <w:rFonts w:ascii="Symbol" w:hAnsi="Symbol" w:cs="Tahoma"/>
              </w:rPr>
              <w:t></w:t>
            </w:r>
            <w:r>
              <w:rPr>
                <w:rFonts w:cs="Tahoma"/>
                <w:vertAlign w:val="subscript"/>
              </w:rPr>
              <w:t>A</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 w:hRule="atLeast"/>
          <w:jc w:val="center"/>
        </w:trPr>
        <w:tc>
          <w:tcPr>
            <w:tcW w:w="2334" w:type="dxa"/>
            <w:vMerge w:val="continue"/>
          </w:tcPr>
          <w:p>
            <w:pPr>
              <w:pStyle w:val="103"/>
              <w:rPr>
                <w:rFonts w:cs="Tahoma"/>
                <w:szCs w:val="22"/>
              </w:rPr>
            </w:pPr>
          </w:p>
        </w:tc>
        <w:tc>
          <w:tcPr>
            <w:tcW w:w="2126" w:type="dxa"/>
          </w:tcPr>
          <w:p>
            <w:pPr>
              <w:pStyle w:val="105"/>
              <w:rPr>
                <w:rFonts w:cs="Tahoma"/>
              </w:rPr>
            </w:pPr>
            <w:r>
              <w:rPr>
                <w:rFonts w:cs="Tahoma"/>
              </w:rPr>
              <w:t xml:space="preserve">PDSCH_RB = </w:t>
            </w:r>
            <w:r>
              <w:rPr>
                <w:rFonts w:ascii="Symbol" w:hAnsi="Symbol" w:cs="Tahoma"/>
              </w:rPr>
              <w:t></w:t>
            </w:r>
            <w:r>
              <w:rPr>
                <w:rFonts w:cs="Tahoma"/>
                <w:vertAlign w:val="subscript"/>
              </w:rPr>
              <w:t>B</w:t>
            </w:r>
          </w:p>
        </w:tc>
        <w:tc>
          <w:tcPr>
            <w:tcW w:w="1627" w:type="dxa"/>
            <w:vMerge w:val="continue"/>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2334" w:type="dxa"/>
            <w:vMerge w:val="restart"/>
          </w:tcPr>
          <w:p>
            <w:pPr>
              <w:pStyle w:val="103"/>
              <w:rPr>
                <w:rFonts w:cs="Tahoma"/>
                <w:szCs w:val="16"/>
              </w:rPr>
            </w:pPr>
            <w:r>
              <w:rPr>
                <w:rFonts w:cs="Tahoma"/>
                <w:szCs w:val="16"/>
              </w:rPr>
              <w:t>OCNG</w:t>
            </w:r>
          </w:p>
        </w:tc>
        <w:tc>
          <w:tcPr>
            <w:tcW w:w="2126" w:type="dxa"/>
          </w:tcPr>
          <w:p>
            <w:pPr>
              <w:pStyle w:val="105"/>
              <w:rPr>
                <w:rFonts w:cs="Tahoma"/>
              </w:rPr>
            </w:pPr>
            <w:r>
              <w:rPr>
                <w:rFonts w:cs="Tahoma"/>
              </w:rPr>
              <w:t xml:space="preserve">OCNG_RA = </w:t>
            </w:r>
            <w:r>
              <w:rPr>
                <w:rFonts w:ascii="Symbol" w:hAnsi="Symbol" w:cs="Tahoma"/>
              </w:rPr>
              <w:t></w:t>
            </w:r>
            <w:r>
              <w:rPr>
                <w:rFonts w:cs="Tahoma"/>
                <w:vertAlign w:val="subscript"/>
              </w:rPr>
              <w:t>A</w:t>
            </w:r>
            <w:r>
              <w:t xml:space="preserve"> + </w:t>
            </w:r>
            <w:r>
              <w:rPr>
                <w:rFonts w:ascii="Symbol" w:hAnsi="Symbol" w:cs="Arial"/>
              </w:rPr>
              <w:t></w:t>
            </w:r>
          </w:p>
        </w:tc>
        <w:tc>
          <w:tcPr>
            <w:tcW w:w="1627" w:type="dxa"/>
            <w:vMerge w:val="restart"/>
          </w:tcPr>
          <w:p>
            <w:pPr>
              <w:pStyle w:val="105"/>
              <w:rPr>
                <w:rFonts w:cs="Tahom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 w:hRule="atLeast"/>
          <w:jc w:val="center"/>
        </w:trPr>
        <w:tc>
          <w:tcPr>
            <w:tcW w:w="2334" w:type="dxa"/>
            <w:vMerge w:val="continue"/>
          </w:tcPr>
          <w:p>
            <w:pPr>
              <w:pStyle w:val="103"/>
              <w:rPr>
                <w:rFonts w:cs="Tahoma"/>
                <w:szCs w:val="16"/>
              </w:rPr>
            </w:pPr>
          </w:p>
        </w:tc>
        <w:tc>
          <w:tcPr>
            <w:tcW w:w="2126" w:type="dxa"/>
          </w:tcPr>
          <w:p>
            <w:pPr>
              <w:pStyle w:val="105"/>
              <w:rPr>
                <w:rFonts w:cs="Tahoma"/>
              </w:rPr>
            </w:pPr>
            <w:r>
              <w:rPr>
                <w:rFonts w:cs="Tahoma"/>
              </w:rPr>
              <w:t xml:space="preserve">OCNG_RB = </w:t>
            </w:r>
            <w:r>
              <w:rPr>
                <w:rFonts w:ascii="Symbol" w:hAnsi="Symbol" w:cs="Tahoma"/>
              </w:rPr>
              <w:t></w:t>
            </w:r>
            <w:r>
              <w:rPr>
                <w:rFonts w:cs="Tahoma"/>
                <w:vertAlign w:val="subscript"/>
              </w:rPr>
              <w:t>B</w:t>
            </w:r>
            <w:r>
              <w:t xml:space="preserve"> + </w:t>
            </w:r>
            <w:r>
              <w:rPr>
                <w:rFonts w:ascii="Symbol" w:hAnsi="Symbol" w:cs="Arial"/>
              </w:rPr>
              <w:t></w:t>
            </w:r>
          </w:p>
        </w:tc>
        <w:tc>
          <w:tcPr>
            <w:tcW w:w="1627" w:type="dxa"/>
            <w:vMerge w:val="continue"/>
          </w:tcPr>
          <w:p>
            <w:pPr>
              <w:pStyle w:val="105"/>
              <w:rPr>
                <w:rFonts w:cs="Tahoma"/>
              </w:rPr>
            </w:pPr>
          </w:p>
        </w:tc>
      </w:tr>
    </w:tbl>
    <w:p/>
    <w:p>
      <w:pPr>
        <w:pStyle w:val="100"/>
      </w:pPr>
      <w:r>
        <w:t xml:space="preserve">NOTE </w:t>
      </w:r>
      <w:r>
        <w:rPr>
          <w:rFonts w:hint="eastAsia" w:eastAsia="宋体"/>
          <w:lang w:val="en-US" w:eastAsia="zh-CN"/>
        </w:rPr>
        <w:t>1</w:t>
      </w:r>
      <w:r>
        <w:t>:</w:t>
      </w:r>
      <w:r>
        <w:tab/>
      </w:r>
      <w:r>
        <w:rPr>
          <w:rFonts w:ascii="Symbol" w:hAnsi="Symbol"/>
        </w:rPr>
        <w:t></w:t>
      </w:r>
      <w:r>
        <w:rPr>
          <w:vertAlign w:val="subscript"/>
        </w:rPr>
        <w:t>A</w:t>
      </w:r>
      <w:r>
        <w:t xml:space="preserve">= </w:t>
      </w:r>
      <w:r>
        <w:rPr>
          <w:rFonts w:ascii="Symbol" w:hAnsi="Symbol"/>
        </w:rPr>
        <w:t></w:t>
      </w:r>
      <w:r>
        <w:rPr>
          <w:vertAlign w:val="subscript"/>
        </w:rPr>
        <w:t>B</w:t>
      </w:r>
      <w:r>
        <w:t xml:space="preserve"> = 0 dB means no RS boosting.</w:t>
      </w:r>
    </w:p>
    <w:p>
      <w:pPr>
        <w:pStyle w:val="100"/>
      </w:pPr>
      <w:r>
        <w:t xml:space="preserve">NOTE </w:t>
      </w:r>
      <w:r>
        <w:rPr>
          <w:rFonts w:hint="eastAsia" w:eastAsia="宋体"/>
          <w:lang w:val="en-US" w:eastAsia="zh-CN"/>
        </w:rPr>
        <w:t>2</w:t>
      </w:r>
      <w:r>
        <w:t>:</w:t>
      </w:r>
      <w:r>
        <w:tab/>
      </w:r>
      <w:r>
        <w:t>OCNG are not defined downlink physical channels in [</w:t>
      </w:r>
      <w:r>
        <w:rPr>
          <w:rFonts w:hint="eastAsia" w:eastAsia="宋体"/>
          <w:lang w:val="en-US" w:eastAsia="zh-CN"/>
        </w:rPr>
        <w:t>4</w:t>
      </w:r>
      <w:r>
        <w:t>].</w:t>
      </w:r>
    </w:p>
    <w:p>
      <w:pPr>
        <w:pStyle w:val="100"/>
      </w:pPr>
      <w:r>
        <w:t xml:space="preserve">NOTE </w:t>
      </w:r>
      <w:r>
        <w:rPr>
          <w:rFonts w:hint="eastAsia" w:eastAsia="宋体"/>
          <w:lang w:val="en-US" w:eastAsia="zh-CN"/>
        </w:rPr>
        <w:t>3</w:t>
      </w:r>
      <w:r>
        <w:t>:</w:t>
      </w:r>
      <w:r>
        <w:tab/>
      </w:r>
      <w:r>
        <w:t>Assuming PSS and SSS transmitted on a single antenna port.</w:t>
      </w:r>
    </w:p>
    <w:p>
      <w:pPr>
        <w:pStyle w:val="100"/>
      </w:pPr>
      <w:r>
        <w:t xml:space="preserve">NOTE </w:t>
      </w:r>
      <w:r>
        <w:rPr>
          <w:rFonts w:hint="eastAsia" w:eastAsia="宋体"/>
          <w:lang w:val="en-US" w:eastAsia="zh-CN"/>
        </w:rPr>
        <w:t>4</w:t>
      </w:r>
      <w:r>
        <w:t xml:space="preserve">: </w:t>
      </w:r>
      <w:r>
        <w:rPr>
          <w:rFonts w:ascii="Symbol" w:hAnsi="Symbol"/>
          <w:lang w:val="en-US"/>
        </w:rPr>
        <w:t></w:t>
      </w:r>
      <w:r>
        <w:rPr>
          <w:vertAlign w:val="subscript"/>
          <w:lang w:val="en-US"/>
        </w:rPr>
        <w:t>A</w:t>
      </w:r>
      <w:r>
        <w:rPr>
          <w:lang w:val="en-US"/>
        </w:rPr>
        <w:t xml:space="preserve">, </w:t>
      </w:r>
      <w:r>
        <w:rPr>
          <w:rFonts w:ascii="Symbol" w:hAnsi="Symbol"/>
          <w:lang w:val="en-US"/>
        </w:rPr>
        <w:t></w:t>
      </w:r>
      <w:r>
        <w:rPr>
          <w:vertAlign w:val="subscript"/>
          <w:lang w:val="en-US"/>
        </w:rPr>
        <w:t>B</w:t>
      </w:r>
      <w:r>
        <w:rPr>
          <w:vertAlign w:val="subscript"/>
          <w:lang w:val="en-US" w:eastAsia="zh-CN"/>
        </w:rPr>
        <w:t>,</w:t>
      </w:r>
      <w:r>
        <w:rPr>
          <w:lang w:val="en-US"/>
        </w:rPr>
        <w:t xml:space="preserve"> </w:t>
      </w:r>
      <w:r>
        <w:rPr>
          <w:lang w:val="en-US"/>
        </w:rPr>
        <w:sym w:font="Symbol" w:char="F073"/>
      </w:r>
      <w:r>
        <w:rPr>
          <w:lang w:val="en-US" w:eastAsia="zh-CN"/>
        </w:rPr>
        <w:t xml:space="preserve">, and </w:t>
      </w:r>
      <w:r>
        <w:rPr>
          <w:rFonts w:ascii="Arial" w:hAnsi="Arial" w:cs="Arial"/>
          <w:sz w:val="18"/>
          <w:lang w:val="en-US" w:eastAsia="zh-CN"/>
        </w:rPr>
        <w:t>δ</w:t>
      </w:r>
      <w:r>
        <w:rPr>
          <w:lang w:val="en-US"/>
        </w:rPr>
        <w:t xml:space="preserve"> are test specific</w:t>
      </w:r>
      <w:r>
        <w:t>.</w:t>
      </w:r>
    </w:p>
    <w:p>
      <w:pPr>
        <w:pStyle w:val="113"/>
        <w:rPr>
          <w:rFonts w:cs="v5.0.0"/>
        </w:rPr>
      </w:pPr>
      <w:r>
        <w:t>Table C.3.2-2: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388"/>
        <w:gridCol w:w="1559"/>
        <w:gridCol w:w="22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Tahoma"/>
                <w:lang w:eastAsia="zh-CN"/>
              </w:rPr>
            </w:pPr>
            <w:r>
              <w:rPr>
                <w:rFonts w:cs="Tahoma"/>
                <w:lang w:eastAsia="zh-CN"/>
              </w:rPr>
              <w:t>Parameter</w:t>
            </w:r>
          </w:p>
        </w:tc>
        <w:tc>
          <w:tcPr>
            <w:tcW w:w="1388" w:type="dxa"/>
          </w:tcPr>
          <w:p>
            <w:pPr>
              <w:pStyle w:val="104"/>
              <w:rPr>
                <w:rFonts w:cs="Tahoma"/>
                <w:lang w:eastAsia="zh-CN"/>
              </w:rPr>
            </w:pPr>
            <w:r>
              <w:rPr>
                <w:rFonts w:cs="Tahoma"/>
                <w:lang w:eastAsia="zh-CN"/>
              </w:rPr>
              <w:t>Unit</w:t>
            </w:r>
          </w:p>
        </w:tc>
        <w:tc>
          <w:tcPr>
            <w:tcW w:w="1559" w:type="dxa"/>
          </w:tcPr>
          <w:p>
            <w:pPr>
              <w:pStyle w:val="104"/>
              <w:rPr>
                <w:rFonts w:cs="Tahoma"/>
                <w:lang w:eastAsia="zh-CN"/>
              </w:rPr>
            </w:pPr>
            <w:r>
              <w:rPr>
                <w:rFonts w:cs="Tahoma"/>
                <w:lang w:eastAsia="zh-CN"/>
              </w:rPr>
              <w:t>Value</w:t>
            </w:r>
          </w:p>
        </w:tc>
        <w:tc>
          <w:tcPr>
            <w:tcW w:w="2229" w:type="dxa"/>
          </w:tcPr>
          <w:p>
            <w:pPr>
              <w:pStyle w:val="104"/>
              <w:rPr>
                <w:rFonts w:cs="Tahoma"/>
                <w:lang w:eastAsia="zh-CN"/>
              </w:rPr>
            </w:pPr>
            <w:r>
              <w:rPr>
                <w:rFonts w:cs="Tahoma"/>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 xml:space="preserve">Total transmitted power spectral density </w:t>
            </w:r>
            <w:r>
              <w:rPr>
                <w:rFonts w:cs="v5.0.0"/>
                <w:position w:val="-12"/>
                <w:szCs w:val="16"/>
              </w:rPr>
              <w:object>
                <v:shape id="_x0000_i1118" o:spt="75" type="#_x0000_t75" style="height:17.45pt;width:15.25pt;" o:ole="t" filled="f" o:preferrelative="t" stroked="f" coordsize="21600,21600">
                  <v:path/>
                  <v:fill on="f" focussize="0,0"/>
                  <v:stroke on="f" joinstyle="miter"/>
                  <v:imagedata r:id="rId167" o:title=""/>
                  <o:lock v:ext="edit" aspectratio="t"/>
                  <w10:wrap type="none"/>
                  <w10:anchorlock/>
                </v:shape>
                <o:OLEObject Type="Embed" ProgID="Equation.3" ShapeID="_x0000_i1118" DrawAspect="Content" ObjectID="_1468075818" r:id="rId171">
                  <o:LockedField>false</o:LockedField>
                </o:OLEObject>
              </w:object>
            </w:r>
          </w:p>
        </w:tc>
        <w:tc>
          <w:tcPr>
            <w:tcW w:w="1388" w:type="dxa"/>
          </w:tcPr>
          <w:p>
            <w:pPr>
              <w:pStyle w:val="105"/>
              <w:rPr>
                <w:rFonts w:cs="Tahoma"/>
              </w:rPr>
            </w:pPr>
            <w:r>
              <w:rPr>
                <w:rFonts w:cs="Tahoma"/>
              </w:rPr>
              <w:t>dBm/15 kHz</w:t>
            </w: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w:t>
            </w:r>
            <w:r>
              <w:rPr>
                <w:rFonts w:cs="v5.0.0"/>
                <w:position w:val="-12"/>
                <w:szCs w:val="16"/>
              </w:rPr>
              <w:object>
                <v:shape id="_x0000_i1119" o:spt="75" type="#_x0000_t75" style="height:17.45pt;width:15.25pt;" o:ole="t" filled="f" o:preferrelative="t" stroked="f" coordsize="21600,21600">
                  <v:path/>
                  <v:fill on="f" focussize="0,0"/>
                  <v:stroke on="f" joinstyle="miter"/>
                  <v:imagedata r:id="rId167" o:title=""/>
                  <o:lock v:ext="edit" aspectratio="t"/>
                  <w10:wrap type="none"/>
                  <w10:anchorlock/>
                </v:shape>
                <o:OLEObject Type="Embed" ProgID="Equation.3" ShapeID="_x0000_i1119" DrawAspect="Content" ObjectID="_1468075819" r:id="rId172">
                  <o:LockedField>false</o:LockedField>
                </o:OLEObject>
              </w:object>
            </w:r>
            <w:r>
              <w:rPr>
                <w:rFonts w:cs="v5.0.0"/>
                <w:szCs w:val="16"/>
              </w:rPr>
              <w:t>shall be kept constant throughout all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Cell-specific reference signal power ratio</w:t>
            </w:r>
            <w:r>
              <w:rPr>
                <w:rFonts w:cs="v5.0.0"/>
                <w:position w:val="-12"/>
                <w:szCs w:val="16"/>
              </w:rPr>
              <w:object>
                <v:shape id="_x0000_i1120" o:spt="75" type="#_x0000_t75" style="height:17.45pt;width:38.75pt;" o:ole="t" filled="f" o:preferrelative="t" stroked="f" coordsize="21600,21600">
                  <v:path/>
                  <v:fill on="f" focussize="0,0"/>
                  <v:stroke on="f" joinstyle="miter"/>
                  <v:imagedata r:id="rId170" o:title=""/>
                  <o:lock v:ext="edit" aspectratio="t"/>
                  <w10:wrap type="none"/>
                  <w10:anchorlock/>
                </v:shape>
                <o:OLEObject Type="Embed" ProgID="Equation.3" ShapeID="_x0000_i1120" DrawAspect="Content" ObjectID="_1468075820" r:id="rId173">
                  <o:LockedField>false</o:LockedField>
                </o:OLEObject>
              </w:object>
            </w:r>
          </w:p>
        </w:tc>
        <w:tc>
          <w:tcPr>
            <w:tcW w:w="1388" w:type="dxa"/>
          </w:tcPr>
          <w:p>
            <w:pPr>
              <w:pStyle w:val="105"/>
              <w:rPr>
                <w:rFonts w:cs="Tahoma"/>
              </w:rPr>
            </w:pP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w:t>
            </w:r>
            <w:r>
              <w:rPr>
                <w:rFonts w:cs="v5.0.0"/>
                <w:szCs w:val="16"/>
              </w:rPr>
              <w:t xml:space="preserve">Applies for antenna port </w:t>
            </w:r>
            <w:r>
              <w:rPr>
                <w:rFonts w:cs="v5.0.0"/>
                <w:i/>
                <w:iCs/>
                <w:szCs w:val="16"/>
              </w:rPr>
              <w:t>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Tahoma"/>
                <w:szCs w:val="16"/>
              </w:rPr>
            </w:pPr>
            <w:r>
              <w:rPr>
                <w:rFonts w:cs="Tahoma"/>
                <w:szCs w:val="16"/>
              </w:rPr>
              <w:t>Energy per resource element EPRE</w:t>
            </w:r>
          </w:p>
        </w:tc>
        <w:tc>
          <w:tcPr>
            <w:tcW w:w="1388" w:type="dxa"/>
          </w:tcPr>
          <w:p>
            <w:pPr>
              <w:pStyle w:val="105"/>
              <w:rPr>
                <w:rFonts w:cs="Tahoma"/>
              </w:rPr>
            </w:pPr>
          </w:p>
        </w:tc>
        <w:tc>
          <w:tcPr>
            <w:tcW w:w="1559" w:type="dxa"/>
          </w:tcPr>
          <w:p>
            <w:pPr>
              <w:pStyle w:val="105"/>
              <w:rPr>
                <w:rFonts w:cs="Tahoma"/>
              </w:rPr>
            </w:pPr>
            <w:r>
              <w:rPr>
                <w:rFonts w:cs="Tahoma"/>
              </w:rPr>
              <w:t>Test specific</w:t>
            </w:r>
          </w:p>
        </w:tc>
        <w:tc>
          <w:tcPr>
            <w:tcW w:w="2229" w:type="dxa"/>
          </w:tcPr>
          <w:p>
            <w:pPr>
              <w:pStyle w:val="103"/>
              <w:rPr>
                <w:rFonts w:cs="Tahoma"/>
                <w:szCs w:val="16"/>
              </w:rPr>
            </w:pPr>
            <w:r>
              <w:rPr>
                <w:rFonts w:cs="Tahoma"/>
                <w:szCs w:val="16"/>
              </w:rPr>
              <w:t xml:space="preserve">1. The complex-valued symbols </w:t>
            </w:r>
            <w:r>
              <w:rPr>
                <w:position w:val="-10"/>
              </w:rPr>
              <w:object>
                <v:shape id="_x0000_i1121" o:spt="75" type="#_x0000_t75" style="height:14.2pt;width:28.35pt;" o:ole="t" filled="f" o:preferrelative="t" stroked="f" coordsize="21600,21600">
                  <v:path/>
                  <v:fill on="f" focussize="0,0"/>
                  <v:stroke on="f" joinstyle="miter"/>
                  <v:imagedata r:id="rId175" o:title=""/>
                  <o:lock v:ext="edit" aspectratio="t"/>
                  <w10:wrap type="none"/>
                  <w10:anchorlock/>
                </v:shape>
                <o:OLEObject Type="Embed" ProgID="Equation.3" ShapeID="_x0000_i1121" DrawAspect="Content" ObjectID="_1468075821" r:id="rId174">
                  <o:LockedField>false</o:LockedField>
                </o:OLEObject>
              </w:object>
            </w:r>
            <w:r>
              <w:rPr>
                <w:rFonts w:cs="Tahoma"/>
                <w:szCs w:val="16"/>
              </w:rPr>
              <w:t xml:space="preserve"> and </w:t>
            </w:r>
            <w:r>
              <w:rPr>
                <w:position w:val="-14"/>
                <w:sz w:val="20"/>
              </w:rPr>
              <w:object>
                <v:shape id="_x0000_i1122" o:spt="75" type="#_x0000_t75" style="height:19.1pt;width:20.75pt;" o:ole="t" filled="f" o:preferrelative="t" stroked="f" coordsize="21600,21600">
                  <v:path/>
                  <v:fill on="f" focussize="0,0"/>
                  <v:stroke on="f" joinstyle="miter"/>
                  <v:imagedata r:id="rId177" o:title=""/>
                  <o:lock v:ext="edit" aspectratio="t"/>
                  <w10:wrap type="none"/>
                  <w10:anchorlock/>
                </v:shape>
                <o:OLEObject Type="Embed" ProgID="Equation.3" ShapeID="_x0000_i1122" DrawAspect="Content" ObjectID="_1468075822" r:id="rId176">
                  <o:LockedField>false</o:LockedField>
                </o:OLEObject>
              </w:object>
            </w:r>
            <w:r>
              <w:rPr>
                <w:sz w:val="20"/>
              </w:rPr>
              <w:t xml:space="preserve"> </w:t>
            </w:r>
            <w:r>
              <w:rPr>
                <w:rFonts w:cs="Tahoma"/>
                <w:szCs w:val="16"/>
              </w:rPr>
              <w:t xml:space="preserve">defined in </w:t>
            </w:r>
            <w:r>
              <w:rPr>
                <w:rFonts w:eastAsia="宋体" w:cs="Tahoma"/>
                <w:szCs w:val="16"/>
                <w:lang w:val="en-US" w:eastAsia="zh-CN"/>
              </w:rPr>
              <w:t xml:space="preserve">TS 36.211 </w:t>
            </w:r>
            <w:r>
              <w:rPr>
                <w:rFonts w:cs="Tahoma"/>
                <w:szCs w:val="16"/>
              </w:rPr>
              <w:t>[</w:t>
            </w:r>
            <w:r>
              <w:rPr>
                <w:rFonts w:eastAsia="宋体" w:cs="Tahoma"/>
                <w:szCs w:val="16"/>
                <w:lang w:val="en-US" w:eastAsia="zh-CN"/>
              </w:rPr>
              <w:t>3</w:t>
            </w:r>
            <w:r>
              <w:rPr>
                <w:rFonts w:cs="Tahoma"/>
                <w:szCs w:val="16"/>
              </w:rPr>
              <w:t>] shall conform to the given EPRE value.</w:t>
            </w:r>
          </w:p>
        </w:tc>
      </w:tr>
    </w:tbl>
    <w:p>
      <w:pPr>
        <w:pStyle w:val="108"/>
      </w:pPr>
    </w:p>
    <w:p>
      <w:pPr>
        <w:pStyle w:val="113"/>
      </w:pPr>
      <w:r>
        <w:t>Table C.3.2-3: MPDCCH Aggregation Level (in ECCE-s) for PDSCH demodulation tests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2"/>
        <w:gridCol w:w="1842"/>
        <w:gridCol w:w="1843"/>
        <w:gridCol w:w="18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4"/>
              <w:rPr>
                <w:lang w:eastAsia="zh-CN"/>
              </w:rPr>
            </w:pPr>
            <w:r>
              <w:rPr>
                <w:lang w:eastAsia="zh-CN"/>
              </w:rPr>
              <w:t>Bandwidth</w:t>
            </w:r>
          </w:p>
        </w:tc>
        <w:tc>
          <w:tcPr>
            <w:tcW w:w="1842" w:type="dxa"/>
          </w:tcPr>
          <w:p>
            <w:pPr>
              <w:pStyle w:val="104"/>
              <w:rPr>
                <w:lang w:eastAsia="zh-CN"/>
              </w:rPr>
            </w:pPr>
            <w:r>
              <w:rPr>
                <w:lang w:eastAsia="zh-CN"/>
              </w:rPr>
              <w:t>DCI for DL</w:t>
            </w:r>
            <w:r>
              <w:rPr>
                <w:lang w:eastAsia="zh-CN"/>
              </w:rPr>
              <w:br w:type="textWrapping"/>
            </w:r>
            <w:r>
              <w:rPr>
                <w:lang w:eastAsia="zh-CN"/>
              </w:rPr>
              <w:t>(C-RNTI)</w:t>
            </w:r>
          </w:p>
        </w:tc>
        <w:tc>
          <w:tcPr>
            <w:tcW w:w="1843" w:type="dxa"/>
          </w:tcPr>
          <w:p>
            <w:pPr>
              <w:pStyle w:val="104"/>
              <w:rPr>
                <w:lang w:eastAsia="zh-CN"/>
              </w:rPr>
            </w:pPr>
            <w:r>
              <w:rPr>
                <w:lang w:eastAsia="zh-CN"/>
              </w:rPr>
              <w:t>DCI for UL</w:t>
            </w:r>
            <w:r>
              <w:rPr>
                <w:lang w:eastAsia="zh-CN"/>
              </w:rPr>
              <w:br w:type="textWrapping"/>
            </w:r>
            <w:r>
              <w:rPr>
                <w:lang w:eastAsia="zh-CN"/>
              </w:rPr>
              <w:t>(C-RNTI)</w:t>
            </w:r>
          </w:p>
        </w:tc>
        <w:tc>
          <w:tcPr>
            <w:tcW w:w="1843" w:type="dxa"/>
          </w:tcPr>
          <w:p>
            <w:pPr>
              <w:pStyle w:val="104"/>
              <w:rPr>
                <w:lang w:eastAsia="zh-CN"/>
              </w:rPr>
            </w:pPr>
            <w:r>
              <w:rPr>
                <w:lang w:eastAsia="zh-CN"/>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42" w:type="dxa"/>
          </w:tcPr>
          <w:p>
            <w:pPr>
              <w:pStyle w:val="103"/>
              <w:overflowPunct w:val="0"/>
              <w:autoSpaceDE w:val="0"/>
              <w:autoSpaceDN w:val="0"/>
              <w:adjustRightInd w:val="0"/>
              <w:textAlignment w:val="baseline"/>
            </w:pPr>
            <w:r>
              <w:t>1.4 MHz</w:t>
            </w:r>
          </w:p>
        </w:tc>
        <w:tc>
          <w:tcPr>
            <w:tcW w:w="1842" w:type="dxa"/>
          </w:tcPr>
          <w:p>
            <w:pPr>
              <w:pStyle w:val="105"/>
            </w:pPr>
            <w:r>
              <w:t>16</w:t>
            </w:r>
          </w:p>
        </w:tc>
        <w:tc>
          <w:tcPr>
            <w:tcW w:w="1843" w:type="dxa"/>
          </w:tcPr>
          <w:p>
            <w:pPr>
              <w:pStyle w:val="105"/>
            </w:pPr>
            <w:r>
              <w:t>16</w:t>
            </w:r>
          </w:p>
        </w:tc>
        <w:tc>
          <w:tcPr>
            <w:tcW w:w="1843" w:type="dxa"/>
          </w:tcPr>
          <w:p>
            <w:pPr>
              <w:pStyle w:val="105"/>
            </w:pPr>
            <w:r>
              <w:t>Note 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70" w:type="dxa"/>
            <w:gridSpan w:val="4"/>
          </w:tcPr>
          <w:p>
            <w:pPr>
              <w:pStyle w:val="118"/>
            </w:pPr>
            <w:r>
              <w:t>Note 1:</w:t>
            </w:r>
            <w:r>
              <w:tab/>
            </w:r>
            <w:r>
              <w:t>No DL data allocated on subframe 5</w:t>
            </w:r>
          </w:p>
          <w:p>
            <w:pPr>
              <w:pStyle w:val="118"/>
            </w:pPr>
            <w:r>
              <w:t xml:space="preserve">Note </w:t>
            </w:r>
            <w:r>
              <w:rPr>
                <w:rFonts w:hint="eastAsia" w:eastAsia="宋体"/>
                <w:lang w:val="en-US" w:eastAsia="zh-CN"/>
              </w:rPr>
              <w:t>2</w:t>
            </w:r>
            <w:r>
              <w:t>:</w:t>
            </w:r>
            <w:r>
              <w:tab/>
            </w:r>
            <w:r>
              <w:t>For using 2PRB for MPDCCH, aggregation level 2 and 4 are used to transmit DCI for DL(C-RNTI) and UL(C-RNTI), respectively.</w:t>
            </w:r>
          </w:p>
        </w:tc>
      </w:tr>
    </w:tbl>
    <w:p/>
    <w:p>
      <w:pPr>
        <w:pStyle w:val="4"/>
        <w:rPr>
          <w:lang w:val="en-US"/>
        </w:rPr>
      </w:pPr>
      <w:bookmarkStart w:id="1113" w:name="_Toc137386476"/>
      <w:bookmarkStart w:id="1114" w:name="_Toc137401362"/>
      <w:bookmarkStart w:id="1115" w:name="_Toc138894886"/>
      <w:bookmarkStart w:id="1116" w:name="_Toc13677"/>
      <w:r>
        <w:rPr>
          <w:rFonts w:eastAsia="宋体"/>
          <w:lang w:val="en-US" w:eastAsia="zh-CN"/>
        </w:rPr>
        <w:t>C</w:t>
      </w:r>
      <w:r>
        <w:rPr>
          <w:lang w:val="en-US"/>
        </w:rPr>
        <w:t>.3.3</w:t>
      </w:r>
      <w:r>
        <w:rPr>
          <w:lang w:val="en-US"/>
        </w:rPr>
        <w:tab/>
      </w:r>
      <w:r>
        <w:rPr>
          <w:lang w:val="en-US"/>
        </w:rPr>
        <w:t>Measurement of Receiver Characteristics for Narrowband IoT</w:t>
      </w:r>
      <w:bookmarkEnd w:id="1113"/>
      <w:bookmarkEnd w:id="1114"/>
      <w:bookmarkEnd w:id="1115"/>
      <w:bookmarkEnd w:id="1116"/>
    </w:p>
    <w:p>
      <w:pPr>
        <w:rPr>
          <w:lang w:val="en-US"/>
        </w:rPr>
      </w:pPr>
      <w:r>
        <w:rPr>
          <w:lang w:val="en-US"/>
        </w:rPr>
        <w:t xml:space="preserve">For the performance requirements for Narrowband IoT, the power allocation for the physical channels is listed in Table </w:t>
      </w:r>
      <w:r>
        <w:rPr>
          <w:rFonts w:eastAsia="宋体"/>
          <w:highlight w:val="none"/>
          <w:lang w:val="en-US" w:eastAsia="zh-CN"/>
        </w:rPr>
        <w:t>C</w:t>
      </w:r>
      <w:r>
        <w:rPr>
          <w:lang w:val="en-US"/>
        </w:rPr>
        <w:t>.3.</w:t>
      </w:r>
      <w:r>
        <w:rPr>
          <w:rFonts w:eastAsia="宋体"/>
          <w:lang w:val="en-US" w:eastAsia="zh-CN"/>
        </w:rPr>
        <w:t>3</w:t>
      </w:r>
      <w:r>
        <w:rPr>
          <w:lang w:val="en-US"/>
        </w:rPr>
        <w:t>-1</w:t>
      </w:r>
    </w:p>
    <w:p>
      <w:pPr>
        <w:pStyle w:val="113"/>
        <w:rPr>
          <w:rFonts w:cs="v5.0.0"/>
          <w:lang w:val="en-US"/>
        </w:rPr>
      </w:pPr>
      <w:r>
        <w:rPr>
          <w:lang w:val="en-US"/>
        </w:rPr>
        <w:t xml:space="preserve">Table </w:t>
      </w:r>
      <w:r>
        <w:rPr>
          <w:rFonts w:eastAsia="宋体"/>
          <w:lang w:val="en-US" w:eastAsia="zh-CN"/>
        </w:rPr>
        <w:t>C</w:t>
      </w:r>
      <w:r>
        <w:rPr>
          <w:lang w:val="en-US"/>
        </w:rPr>
        <w:t>.3.</w:t>
      </w:r>
      <w:r>
        <w:rPr>
          <w:rFonts w:eastAsia="宋体"/>
          <w:lang w:val="en-US" w:eastAsia="zh-CN"/>
        </w:rPr>
        <w:t>3</w:t>
      </w:r>
      <w:r>
        <w:rPr>
          <w:lang w:val="en-US"/>
        </w:rPr>
        <w:t>-1: Downlink Physical Channels transmitted during a connection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4"/>
        <w:gridCol w:w="1826"/>
        <w:gridCol w:w="18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4"/>
              <w:rPr>
                <w:rFonts w:cs="Arial"/>
                <w:lang w:val="en-US"/>
              </w:rPr>
            </w:pPr>
            <w:r>
              <w:rPr>
                <w:rFonts w:cs="Arial"/>
                <w:lang w:val="en-US"/>
              </w:rPr>
              <w:t>Physical Channel</w:t>
            </w:r>
          </w:p>
        </w:tc>
        <w:tc>
          <w:tcPr>
            <w:tcW w:w="1826" w:type="dxa"/>
          </w:tcPr>
          <w:p>
            <w:pPr>
              <w:pStyle w:val="104"/>
              <w:rPr>
                <w:rFonts w:cs="Arial"/>
                <w:lang w:val="en-US"/>
              </w:rPr>
            </w:pPr>
            <w:r>
              <w:rPr>
                <w:rFonts w:cs="Arial"/>
                <w:lang w:val="en-US"/>
              </w:rPr>
              <w:t>EPRE Ratio for one NRS antenna port</w:t>
            </w:r>
          </w:p>
        </w:tc>
        <w:tc>
          <w:tcPr>
            <w:tcW w:w="1826" w:type="dxa"/>
          </w:tcPr>
          <w:p>
            <w:pPr>
              <w:pStyle w:val="104"/>
              <w:rPr>
                <w:rFonts w:cs="Arial"/>
                <w:lang w:val="en-US"/>
              </w:rPr>
            </w:pPr>
            <w:r>
              <w:rPr>
                <w:rFonts w:cs="Arial"/>
                <w:lang w:val="en-US"/>
              </w:rPr>
              <w:t>EPRE Ratio for two NRS antenna ports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NPBCH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NPDCCH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NPDSCH</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-3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NPSS</w:t>
            </w:r>
          </w:p>
        </w:tc>
        <w:tc>
          <w:tcPr>
            <w:tcW w:w="1826" w:type="dxa"/>
          </w:tcPr>
          <w:p>
            <w:pPr>
              <w:pStyle w:val="105"/>
              <w:rPr>
                <w:rFonts w:cs="Arial"/>
                <w:lang w:val="en-US"/>
              </w:rPr>
            </w:pPr>
            <w:r>
              <w:rPr>
                <w:rFonts w:cs="Arial"/>
                <w:lang w:val="en-US"/>
              </w:rPr>
              <w:t>0 dB</w:t>
            </w:r>
          </w:p>
        </w:tc>
        <w:tc>
          <w:tcPr>
            <w:tcW w:w="1826" w:type="dxa"/>
            <w:vAlign w:val="center"/>
          </w:tcPr>
          <w:p>
            <w:pPr>
              <w:pStyle w:val="105"/>
              <w:rPr>
                <w:rFonts w:cs="Arial"/>
                <w:lang w:val="en-US"/>
              </w:rPr>
            </w:pPr>
            <w:r>
              <w:rPr>
                <w:rFonts w:cs="Arial"/>
                <w:lang w:val="en-US"/>
              </w:rPr>
              <w:t>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4" w:type="dxa"/>
          </w:tcPr>
          <w:p>
            <w:pPr>
              <w:pStyle w:val="103"/>
              <w:rPr>
                <w:rFonts w:cs="Arial"/>
                <w:lang w:val="en-US"/>
              </w:rPr>
            </w:pPr>
            <w:r>
              <w:rPr>
                <w:rFonts w:cs="Arial"/>
                <w:lang w:val="en-US"/>
              </w:rPr>
              <w:t>NSSS</w:t>
            </w:r>
          </w:p>
        </w:tc>
        <w:tc>
          <w:tcPr>
            <w:tcW w:w="1826" w:type="dxa"/>
          </w:tcPr>
          <w:p>
            <w:pPr>
              <w:pStyle w:val="105"/>
              <w:rPr>
                <w:rFonts w:cs="Arial"/>
                <w:lang w:val="en-US"/>
              </w:rPr>
            </w:pPr>
            <w:r>
              <w:rPr>
                <w:rFonts w:cs="Arial"/>
                <w:lang w:val="en-US"/>
              </w:rPr>
              <w:t>0 dB</w:t>
            </w:r>
          </w:p>
        </w:tc>
        <w:tc>
          <w:tcPr>
            <w:tcW w:w="1826" w:type="dxa"/>
          </w:tcPr>
          <w:p>
            <w:pPr>
              <w:pStyle w:val="105"/>
              <w:rPr>
                <w:rFonts w:cs="Arial"/>
                <w:lang w:val="en-US"/>
              </w:rPr>
            </w:pPr>
            <w:r>
              <w:rPr>
                <w:rFonts w:cs="Arial"/>
                <w:lang w:val="en-US"/>
              </w:rPr>
              <w:t>0 dB</w:t>
            </w:r>
          </w:p>
        </w:tc>
      </w:tr>
    </w:tbl>
    <w:p>
      <w:pPr>
        <w:rPr>
          <w:lang w:val="en-US"/>
        </w:rPr>
      </w:pPr>
    </w:p>
    <w:p>
      <w:pPr>
        <w:pStyle w:val="100"/>
        <w:rPr>
          <w:lang w:val="en-US"/>
        </w:rPr>
      </w:pPr>
      <w:r>
        <w:rPr>
          <w:rFonts w:eastAsia="宋体"/>
          <w:lang w:val="en-US" w:eastAsia="zh-CN"/>
        </w:rPr>
        <w:t>NOTE 1</w:t>
      </w:r>
      <w:r>
        <w:rPr>
          <w:lang w:val="en-US"/>
        </w:rPr>
        <w:t>:</w:t>
      </w:r>
      <w:r>
        <w:rPr>
          <w:lang w:val="en-US"/>
        </w:rPr>
        <w:tab/>
      </w:r>
      <w:r>
        <w:rPr>
          <w:lang w:val="en-US"/>
        </w:rPr>
        <w:t>Assuming NPSS and NSSS transmitted on one NRS antenna port.</w:t>
      </w:r>
    </w:p>
    <w:p>
      <w:pPr>
        <w:pStyle w:val="113"/>
        <w:rPr>
          <w:rFonts w:cs="v5.0.0"/>
          <w:lang w:val="en-US"/>
        </w:rPr>
      </w:pPr>
      <w:r>
        <w:rPr>
          <w:lang w:val="en-US"/>
        </w:rPr>
        <w:t xml:space="preserve">Table </w:t>
      </w:r>
      <w:r>
        <w:rPr>
          <w:rFonts w:eastAsia="宋体"/>
          <w:lang w:val="en-US" w:eastAsia="zh-CN"/>
        </w:rPr>
        <w:t>C</w:t>
      </w:r>
      <w:r>
        <w:rPr>
          <w:lang w:val="en-US"/>
        </w:rPr>
        <w:t>.3.</w:t>
      </w:r>
      <w:r>
        <w:rPr>
          <w:rFonts w:eastAsia="宋体"/>
          <w:lang w:val="en-US" w:eastAsia="zh-CN"/>
        </w:rPr>
        <w:t>3</w:t>
      </w:r>
      <w:r>
        <w:rPr>
          <w:lang w:val="en-US"/>
        </w:rPr>
        <w:t>-2: Power allocation for OFDM symbols and reference signals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2"/>
        <w:gridCol w:w="1684"/>
        <w:gridCol w:w="1684"/>
        <w:gridCol w:w="18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4"/>
              <w:rPr>
                <w:rFonts w:cs="Arial"/>
                <w:lang w:val="en-US"/>
              </w:rPr>
            </w:pPr>
            <w:r>
              <w:rPr>
                <w:rFonts w:cs="Arial"/>
                <w:lang w:val="en-US"/>
              </w:rPr>
              <w:t>Parameter</w:t>
            </w:r>
          </w:p>
        </w:tc>
        <w:tc>
          <w:tcPr>
            <w:tcW w:w="1684" w:type="dxa"/>
          </w:tcPr>
          <w:p>
            <w:pPr>
              <w:pStyle w:val="104"/>
              <w:rPr>
                <w:rFonts w:cs="Arial"/>
                <w:lang w:val="en-US"/>
              </w:rPr>
            </w:pPr>
            <w:r>
              <w:rPr>
                <w:rFonts w:cs="Arial"/>
                <w:lang w:val="en-US"/>
              </w:rPr>
              <w:t>Unit</w:t>
            </w:r>
          </w:p>
        </w:tc>
        <w:tc>
          <w:tcPr>
            <w:tcW w:w="1684" w:type="dxa"/>
          </w:tcPr>
          <w:p>
            <w:pPr>
              <w:pStyle w:val="104"/>
              <w:rPr>
                <w:rFonts w:cs="Arial"/>
                <w:lang w:val="en-US"/>
              </w:rPr>
            </w:pPr>
            <w:r>
              <w:rPr>
                <w:rFonts w:cs="Arial"/>
                <w:lang w:val="en-US"/>
              </w:rPr>
              <w:t>Value</w:t>
            </w:r>
          </w:p>
        </w:tc>
        <w:tc>
          <w:tcPr>
            <w:tcW w:w="1860" w:type="dxa"/>
          </w:tcPr>
          <w:p>
            <w:pPr>
              <w:pStyle w:val="104"/>
              <w:rPr>
                <w:rFonts w:cs="Arial"/>
                <w:lang w:val="en-US"/>
              </w:rPr>
            </w:pPr>
            <w:r>
              <w:rPr>
                <w:rFonts w:cs="Arial"/>
                <w:lang w:val="en-US"/>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Transmitted power spectral density </w:t>
            </w: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Arial"/>
                <w:lang w:val="en-US"/>
              </w:rPr>
            </w:pPr>
            <w:r>
              <w:rPr>
                <w:rFonts w:cs="Arial"/>
                <w:lang w:val="en-US"/>
              </w:rPr>
              <w:t>dBm/15 kHz</w:t>
            </w:r>
          </w:p>
        </w:tc>
        <w:tc>
          <w:tcPr>
            <w:tcW w:w="1684" w:type="dxa"/>
          </w:tcPr>
          <w:p>
            <w:pPr>
              <w:pStyle w:val="105"/>
              <w:rPr>
                <w:rFonts w:cs="Arial"/>
                <w:lang w:val="en-US"/>
              </w:rPr>
            </w:pPr>
            <w:r>
              <w:rPr>
                <w:rFonts w:cs="Arial"/>
                <w:lang w:val="en-US"/>
              </w:rPr>
              <w:t>Test specific</w:t>
            </w:r>
          </w:p>
        </w:tc>
        <w:tc>
          <w:tcPr>
            <w:tcW w:w="1860" w:type="dxa"/>
          </w:tcPr>
          <w:p>
            <w:pPr>
              <w:pStyle w:val="103"/>
              <w:rPr>
                <w:rFonts w:cs="Arial"/>
                <w:lang w:val="en-US"/>
              </w:rPr>
            </w:pPr>
            <m:oMath>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r>
              <w:rPr>
                <w:rFonts w:cs="Arial"/>
                <w:lang w:val="en-US"/>
              </w:rPr>
              <w:t xml:space="preserve"> shall be kept constant throughout all OFDM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02" w:type="dxa"/>
          </w:tcPr>
          <w:p>
            <w:pPr>
              <w:pStyle w:val="103"/>
              <w:rPr>
                <w:rFonts w:cs="Arial"/>
                <w:lang w:val="en-US"/>
              </w:rPr>
            </w:pPr>
            <w:r>
              <w:rPr>
                <w:rFonts w:cs="Arial"/>
                <w:lang w:val="en-US"/>
              </w:rPr>
              <w:t xml:space="preserve">Narrowband reference signal power ratio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CRS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I</m:t>
                  </m:r>
                  <m:ctrlPr>
                    <w:rPr>
                      <w:rFonts w:ascii="Cambria Math" w:hAnsi="Cambria Math" w:cs="Arial"/>
                      <w:i/>
                      <w:lang w:val="en-US"/>
                    </w:rPr>
                  </m:ctrlPr>
                </m:e>
                <m:sub>
                  <m:r>
                    <m:rPr/>
                    <w:rPr>
                      <w:rFonts w:ascii="Cambria Math" w:hAnsi="Cambria Math" w:cs="Arial"/>
                      <w:lang w:val="en-US"/>
                    </w:rPr>
                    <m:t>or</m:t>
                  </m:r>
                  <m:ctrlPr>
                    <w:rPr>
                      <w:rFonts w:ascii="Cambria Math" w:hAnsi="Cambria Math" w:cs="Arial"/>
                      <w:i/>
                      <w:lang w:val="en-US"/>
                    </w:rPr>
                  </m:ctrlPr>
                </m:sub>
              </m:sSub>
            </m:oMath>
          </w:p>
        </w:tc>
        <w:tc>
          <w:tcPr>
            <w:tcW w:w="1684" w:type="dxa"/>
          </w:tcPr>
          <w:p>
            <w:pPr>
              <w:pStyle w:val="105"/>
              <w:rPr>
                <w:rFonts w:cs="Arial"/>
                <w:lang w:val="en-US"/>
              </w:rPr>
            </w:pPr>
          </w:p>
        </w:tc>
        <w:tc>
          <w:tcPr>
            <w:tcW w:w="1684" w:type="dxa"/>
          </w:tcPr>
          <w:p>
            <w:pPr>
              <w:pStyle w:val="105"/>
              <w:rPr>
                <w:rFonts w:cs="Arial"/>
                <w:lang w:val="en-US"/>
              </w:rPr>
            </w:pPr>
            <w:r>
              <w:rPr>
                <w:rFonts w:cs="Arial"/>
                <w:lang w:val="en-US"/>
              </w:rPr>
              <w:t>0 dB</w:t>
            </w:r>
          </w:p>
        </w:tc>
        <w:tc>
          <w:tcPr>
            <w:tcW w:w="1860" w:type="dxa"/>
          </w:tcPr>
          <w:p>
            <w:pPr>
              <w:pStyle w:val="103"/>
              <w:rPr>
                <w:rFonts w:cs="Arial"/>
                <w:lang w:val="en-US"/>
              </w:rPr>
            </w:pPr>
            <w:r>
              <w:rPr>
                <w:rFonts w:cs="Arial"/>
                <w:lang w:val="en-US"/>
              </w:rPr>
              <w:t>Applicable for Stand-alone operation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5" w:hRule="atLeast"/>
          <w:jc w:val="center"/>
        </w:trPr>
        <w:tc>
          <w:tcPr>
            <w:tcW w:w="2402" w:type="dxa"/>
          </w:tcPr>
          <w:p>
            <w:pPr>
              <w:pStyle w:val="103"/>
              <w:rPr>
                <w:rFonts w:cs="Arial"/>
                <w:lang w:val="en-US"/>
              </w:rPr>
            </w:pPr>
            <w:r>
              <w:rPr>
                <w:rFonts w:cs="Arial"/>
                <w:lang w:val="en-US"/>
              </w:rPr>
              <w:t xml:space="preserve">Narrowband reference signal power over cell-specific reference signal power </w:t>
            </w:r>
            <m:oMath>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NRS</m:t>
                  </m:r>
                  <m:ctrlPr>
                    <w:rPr>
                      <w:rFonts w:ascii="Cambria Math" w:hAnsi="Cambria Math" w:cs="Arial"/>
                      <w:i/>
                      <w:lang w:val="en-US"/>
                    </w:rPr>
                  </m:ctrlPr>
                </m:sub>
              </m:sSub>
              <m:r>
                <m:rPr/>
                <w:rPr>
                  <w:rFonts w:ascii="Cambria Math" w:hAnsi="Cambria Math" w:cs="Arial"/>
                  <w:lang w:val="en-US"/>
                </w:rPr>
                <m:t>/</m:t>
              </m:r>
              <m:sSub>
                <m:sSubPr>
                  <m:ctrlPr>
                    <w:rPr>
                      <w:rFonts w:ascii="Cambria Math" w:hAnsi="Cambria Math" w:cs="Arial"/>
                      <w:i/>
                      <w:lang w:val="en-US"/>
                    </w:rPr>
                  </m:ctrlPr>
                </m:sSubPr>
                <m:e>
                  <m:r>
                    <m:rPr/>
                    <w:rPr>
                      <w:rFonts w:ascii="Cambria Math" w:hAnsi="Cambria Math" w:cs="Arial"/>
                      <w:lang w:val="en-US"/>
                    </w:rPr>
                    <m:t>E</m:t>
                  </m:r>
                  <m:ctrlPr>
                    <w:rPr>
                      <w:rFonts w:ascii="Cambria Math" w:hAnsi="Cambria Math" w:cs="Arial"/>
                      <w:i/>
                      <w:lang w:val="en-US"/>
                    </w:rPr>
                  </m:ctrlPr>
                </m:e>
                <m:sub>
                  <m:r>
                    <m:rPr/>
                    <w:rPr>
                      <w:rFonts w:ascii="Cambria Math" w:hAnsi="Cambria Math" w:cs="Arial"/>
                      <w:lang w:val="en-US"/>
                    </w:rPr>
                    <m:t>RS</m:t>
                  </m:r>
                  <m:ctrlPr>
                    <w:rPr>
                      <w:rFonts w:ascii="Cambria Math" w:hAnsi="Cambria Math" w:cs="Arial"/>
                      <w:i/>
                      <w:lang w:val="en-US"/>
                    </w:rPr>
                  </m:ctrlPr>
                </m:sub>
              </m:sSub>
            </m:oMath>
          </w:p>
        </w:tc>
        <w:tc>
          <w:tcPr>
            <w:tcW w:w="1684" w:type="dxa"/>
          </w:tcPr>
          <w:p>
            <w:pPr>
              <w:pStyle w:val="105"/>
              <w:rPr>
                <w:rFonts w:cs="Arial"/>
                <w:lang w:val="en-US"/>
              </w:rPr>
            </w:pPr>
          </w:p>
        </w:tc>
        <w:tc>
          <w:tcPr>
            <w:tcW w:w="1684" w:type="dxa"/>
          </w:tcPr>
          <w:p>
            <w:pPr>
              <w:pStyle w:val="105"/>
              <w:rPr>
                <w:rFonts w:cs="Arial"/>
                <w:lang w:val="en-US"/>
              </w:rPr>
            </w:pPr>
            <w:r>
              <w:rPr>
                <w:rFonts w:cs="Arial"/>
                <w:lang w:val="en-US"/>
              </w:rPr>
              <w:t>0 dB</w:t>
            </w:r>
          </w:p>
        </w:tc>
        <w:tc>
          <w:tcPr>
            <w:tcW w:w="1860" w:type="dxa"/>
          </w:tcPr>
          <w:p>
            <w:pPr>
              <w:pStyle w:val="103"/>
              <w:rPr>
                <w:rFonts w:cs="Arial"/>
                <w:lang w:val="en-US"/>
              </w:rPr>
            </w:pPr>
            <w:r>
              <w:rPr>
                <w:rFonts w:cs="Arial"/>
                <w:lang w:val="en-US"/>
              </w:rPr>
              <w:t>Applicable for In-band operation</w:t>
            </w:r>
          </w:p>
        </w:tc>
      </w:tr>
    </w:tbl>
    <w:p>
      <w:pPr>
        <w:rPr>
          <w:lang w:eastAsia="ja-JP"/>
        </w:rPr>
      </w:pPr>
    </w:p>
    <w:p>
      <w:pPr>
        <w:pStyle w:val="11"/>
      </w:pPr>
      <w:bookmarkStart w:id="1117" w:name="_Toc232582151"/>
      <w:bookmarkStart w:id="1118" w:name="_Toc27493"/>
      <w:r>
        <w:t>Annex D (</w:t>
      </w:r>
      <w:r>
        <w:rPr>
          <w:lang w:eastAsia="en-GB"/>
        </w:rPr>
        <w:t>normative</w:t>
      </w:r>
      <w:r>
        <w:t>):</w:t>
      </w:r>
      <w:r>
        <w:br w:type="textWrapping"/>
      </w:r>
      <w:r>
        <w:t>Characteristics of the Interfering Signal</w:t>
      </w:r>
      <w:bookmarkEnd w:id="1117"/>
      <w:bookmarkEnd w:id="1118"/>
    </w:p>
    <w:p>
      <w:pPr>
        <w:pStyle w:val="3"/>
      </w:pPr>
      <w:bookmarkStart w:id="1119" w:name="_Toc232582152"/>
      <w:bookmarkStart w:id="1120" w:name="_Toc13593"/>
      <w:r>
        <w:t>D.1</w:t>
      </w:r>
      <w:r>
        <w:tab/>
      </w:r>
      <w:r>
        <w:t>General</w:t>
      </w:r>
      <w:bookmarkEnd w:id="1119"/>
      <w:bookmarkEnd w:id="1120"/>
    </w:p>
    <w:p>
      <w:pPr>
        <w:rPr>
          <w:rFonts w:cs="v5.0.0"/>
          <w:snapToGrid w:val="0"/>
        </w:rPr>
      </w:pPr>
      <w:r>
        <w:t xml:space="preserve">Some RF performance requirements for the </w:t>
      </w:r>
      <w:r>
        <w:rPr>
          <w:rFonts w:hint="eastAsia"/>
        </w:rPr>
        <w:t>category M1</w:t>
      </w:r>
      <w:r>
        <w:t xml:space="preserve"> </w:t>
      </w:r>
      <w:r>
        <w:rPr>
          <w:rFonts w:hint="eastAsia" w:eastAsia="宋体"/>
          <w:lang w:val="en-US" w:eastAsia="zh-CN"/>
        </w:rPr>
        <w:t xml:space="preserve">and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 </w:t>
      </w:r>
      <w:r>
        <w:t xml:space="preserve">UE receiver are defined with interfering signals present in addition to the wanted signal. For wanted channel band widths below </w:t>
      </w:r>
      <w:r>
        <w:rPr>
          <w:rFonts w:hint="eastAsia" w:eastAsia="宋体"/>
          <w:lang w:val="en-US" w:eastAsia="zh-CN"/>
        </w:rPr>
        <w:t>1.4</w:t>
      </w:r>
      <w:r>
        <w:t>MHz, the band width of the modulated interferer should be equal to the channel band width of the wanted signal.</w:t>
      </w:r>
    </w:p>
    <w:p>
      <w:pPr>
        <w:pStyle w:val="3"/>
      </w:pPr>
      <w:bookmarkStart w:id="1121" w:name="_Toc4691"/>
      <w:bookmarkStart w:id="1122" w:name="_Toc232582153"/>
      <w:r>
        <w:t>D.2</w:t>
      </w:r>
      <w:r>
        <w:tab/>
      </w:r>
      <w:r>
        <w:t>Interference signals</w:t>
      </w:r>
      <w:bookmarkEnd w:id="1121"/>
      <w:bookmarkEnd w:id="1122"/>
    </w:p>
    <w:p>
      <w:pPr>
        <w:rPr>
          <w:rFonts w:cs="v5.0.0"/>
          <w:snapToGrid w:val="0"/>
        </w:rPr>
      </w:pPr>
      <w:r>
        <w:rPr>
          <w:rFonts w:cs="v5.0.0"/>
          <w:snapToGrid w:val="0"/>
        </w:rPr>
        <w:t>Table D.2-1 describes the modulated interferer for different channel band width options.</w:t>
      </w:r>
    </w:p>
    <w:p>
      <w:pPr>
        <w:pStyle w:val="113"/>
      </w:pPr>
      <w:r>
        <w:t xml:space="preserve">Table D.2-1: Description of modulated </w:t>
      </w:r>
      <w:r>
        <w:rPr>
          <w:rFonts w:hint="eastAsia"/>
        </w:rPr>
        <w:t>category M1</w:t>
      </w:r>
      <w:r>
        <w:t xml:space="preserve"> interferer</w:t>
      </w:r>
    </w:p>
    <w:tbl>
      <w:tblPr>
        <w:tblStyle w:val="89"/>
        <w:tblW w:w="0" w:type="auto"/>
        <w:tblInd w:w="15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0"/>
        <w:gridCol w:w="55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160" w:type="dxa"/>
            <w:vMerge w:val="restart"/>
            <w:vAlign w:val="center"/>
          </w:tcPr>
          <w:p>
            <w:pPr>
              <w:pStyle w:val="104"/>
              <w:rPr>
                <w:lang w:eastAsia="zh-CN"/>
              </w:rPr>
            </w:pPr>
          </w:p>
        </w:tc>
        <w:tc>
          <w:tcPr>
            <w:tcW w:w="5578" w:type="dxa"/>
            <w:vAlign w:val="center"/>
          </w:tcPr>
          <w:p>
            <w:pPr>
              <w:pStyle w:val="104"/>
              <w:rPr>
                <w:lang w:eastAsia="zh-CN"/>
              </w:rPr>
            </w:pPr>
            <w:r>
              <w:rPr>
                <w:lang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4" w:hRule="atLeast"/>
        </w:trPr>
        <w:tc>
          <w:tcPr>
            <w:tcW w:w="1160" w:type="dxa"/>
            <w:vMerge w:val="continue"/>
            <w:vAlign w:val="center"/>
          </w:tcPr>
          <w:p>
            <w:pPr>
              <w:pStyle w:val="104"/>
              <w:rPr>
                <w:lang w:eastAsia="zh-CN"/>
              </w:rPr>
            </w:pPr>
          </w:p>
        </w:tc>
        <w:tc>
          <w:tcPr>
            <w:tcW w:w="5578" w:type="dxa"/>
            <w:vAlign w:val="center"/>
          </w:tcPr>
          <w:p>
            <w:pPr>
              <w:pStyle w:val="104"/>
              <w:rPr>
                <w:lang w:eastAsia="zh-CN"/>
              </w:rPr>
            </w:pPr>
            <w:r>
              <w:rPr>
                <w:lang w:eastAsia="zh-CN"/>
              </w:rPr>
              <w:t>1.4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0" w:type="dxa"/>
            <w:vAlign w:val="center"/>
          </w:tcPr>
          <w:p>
            <w:pPr>
              <w:pStyle w:val="105"/>
            </w:pPr>
            <w:r>
              <w:t>RB</w:t>
            </w:r>
          </w:p>
        </w:tc>
        <w:tc>
          <w:tcPr>
            <w:tcW w:w="5578" w:type="dxa"/>
            <w:vAlign w:val="center"/>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60" w:type="dxa"/>
            <w:vAlign w:val="center"/>
          </w:tcPr>
          <w:p>
            <w:pPr>
              <w:pStyle w:val="105"/>
            </w:pPr>
            <w:r>
              <w:t>BW</w:t>
            </w:r>
            <w:r>
              <w:rPr>
                <w:vertAlign w:val="subscript"/>
              </w:rPr>
              <w:t>Interferer</w:t>
            </w:r>
          </w:p>
        </w:tc>
        <w:tc>
          <w:tcPr>
            <w:tcW w:w="5578" w:type="dxa"/>
            <w:vAlign w:val="center"/>
          </w:tcPr>
          <w:p>
            <w:pPr>
              <w:pStyle w:val="105"/>
            </w:pPr>
            <w:r>
              <w:t>1.4 MHz</w:t>
            </w:r>
          </w:p>
        </w:tc>
      </w:tr>
    </w:tbl>
    <w:p>
      <w:pPr>
        <w:pStyle w:val="108"/>
        <w:rPr>
          <w:snapToGrid w:val="0"/>
        </w:rPr>
      </w:pPr>
    </w:p>
    <w:p>
      <w:pPr>
        <w:rPr>
          <w:rFonts w:cs="v5.0.0"/>
          <w:snapToGrid w:val="0"/>
        </w:rPr>
      </w:pPr>
      <w:r>
        <w:rPr>
          <w:rFonts w:cs="v5.0.0"/>
          <w:snapToGrid w:val="0"/>
        </w:rPr>
        <w:t xml:space="preserve">Table D.2-2 </w:t>
      </w:r>
      <w:r>
        <w:rPr>
          <w:rFonts w:eastAsia="宋体" w:cs="v5.0.0"/>
          <w:snapToGrid w:val="0"/>
          <w:lang w:val="en-US" w:eastAsia="zh-CN"/>
        </w:rPr>
        <w:t>and D.2-3</w:t>
      </w:r>
      <w:r>
        <w:rPr>
          <w:rFonts w:hint="eastAsia" w:eastAsia="宋体" w:cs="v5.0.0"/>
          <w:snapToGrid w:val="0"/>
          <w:lang w:val="en-US" w:eastAsia="zh-CN"/>
        </w:rPr>
        <w:t xml:space="preserve"> </w:t>
      </w:r>
      <w:r>
        <w:rPr>
          <w:rFonts w:cs="v5.0.0"/>
          <w:snapToGrid w:val="0"/>
        </w:rPr>
        <w:t xml:space="preserve">describe the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w:t>
      </w:r>
      <w:r>
        <w:rPr>
          <w:rFonts w:cs="v5.0.0"/>
          <w:snapToGrid w:val="0"/>
        </w:rPr>
        <w:t xml:space="preserve"> interferer</w:t>
      </w:r>
      <w:r>
        <w:rPr>
          <w:rFonts w:eastAsia="宋体" w:cs="v5.0.0"/>
          <w:snapToGrid w:val="0"/>
          <w:lang w:val="en-US" w:eastAsia="zh-CN"/>
        </w:rPr>
        <w:t>s</w:t>
      </w:r>
      <w:r>
        <w:rPr>
          <w:rFonts w:cs="v5.0.0"/>
          <w:snapToGrid w:val="0"/>
        </w:rPr>
        <w:t>.</w:t>
      </w:r>
    </w:p>
    <w:p>
      <w:pPr>
        <w:pStyle w:val="113"/>
      </w:pPr>
      <w:r>
        <w:t xml:space="preserve">Table D.2-2: Description of </w:t>
      </w:r>
      <w:r>
        <w:rPr>
          <w:rFonts w:hint="eastAsia"/>
        </w:rPr>
        <w:t xml:space="preserve">category </w:t>
      </w:r>
      <w:r>
        <w:rPr>
          <w:rFonts w:hint="eastAsia" w:eastAsia="宋体"/>
          <w:lang w:val="en-US" w:eastAsia="zh-CN"/>
        </w:rPr>
        <w:t>NB</w:t>
      </w:r>
      <w:r>
        <w:rPr>
          <w:rFonts w:hint="eastAsia"/>
        </w:rPr>
        <w:t>1</w:t>
      </w:r>
      <w:r>
        <w:rPr>
          <w:rFonts w:hint="eastAsia" w:eastAsia="宋体"/>
          <w:lang w:val="en-US" w:eastAsia="zh-CN"/>
        </w:rPr>
        <w:t xml:space="preserve"> and NB2 </w:t>
      </w:r>
      <w:r>
        <w:rPr>
          <w:rFonts w:eastAsia="宋体"/>
          <w:lang w:val="en-US" w:eastAsia="zh-CN"/>
        </w:rPr>
        <w:t>GSM</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eastAsia="zh-CN"/>
              </w:rPr>
            </w:pPr>
            <w:r>
              <w:rPr>
                <w:b w:val="0"/>
                <w:lang w:eastAsia="zh-CN"/>
              </w:rPr>
              <w:t>BW</w:t>
            </w:r>
            <w:r>
              <w:rPr>
                <w:b w:val="0"/>
                <w:vertAlign w:val="subscript"/>
                <w:lang w:eastAsia="zh-CN"/>
              </w:rPr>
              <w:t>Interferer</w:t>
            </w: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eastAsia="zh-CN"/>
              </w:rPr>
            </w:pPr>
            <w:r>
              <w:rPr>
                <w:b w:val="0"/>
                <w:lang w:eastAsia="zh-CN"/>
              </w:rPr>
              <w:t>200kHz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5"/>
            </w:pPr>
            <w:r>
              <w:t>Modulation</w:t>
            </w:r>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eastAsia="宋体"/>
                <w:lang w:val="en-US" w:eastAsia="zh-CN"/>
              </w:rPr>
              <w:t>GMSK</w:t>
            </w:r>
          </w:p>
        </w:tc>
      </w:tr>
    </w:tbl>
    <w:p/>
    <w:p>
      <w:pPr>
        <w:pStyle w:val="113"/>
      </w:pPr>
      <w:r>
        <w:t>Table D.2-</w:t>
      </w:r>
      <w:r>
        <w:rPr>
          <w:rFonts w:eastAsia="宋体"/>
          <w:lang w:val="en-US" w:eastAsia="zh-CN"/>
        </w:rPr>
        <w:t>3</w:t>
      </w:r>
      <w:r>
        <w:t xml:space="preserve">: Description of category </w:t>
      </w:r>
      <w:r>
        <w:rPr>
          <w:rFonts w:eastAsia="宋体"/>
          <w:lang w:val="en-US" w:eastAsia="zh-CN"/>
        </w:rPr>
        <w:t>NB</w:t>
      </w:r>
      <w:r>
        <w:t>1</w:t>
      </w:r>
      <w:r>
        <w:rPr>
          <w:rFonts w:eastAsia="宋体"/>
          <w:lang w:val="en-US" w:eastAsia="zh-CN"/>
        </w:rPr>
        <w:t xml:space="preserve"> and NB2 modulated </w:t>
      </w:r>
      <w:r>
        <w:rPr>
          <w:rFonts w:hint="eastAsia" w:eastAsia="宋体"/>
          <w:lang w:val="en-US" w:eastAsia="zh-CN"/>
        </w:rPr>
        <w:t>E-UTRA</w:t>
      </w:r>
      <w:r>
        <w:t xml:space="preserve"> interferer</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35"/>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Merge w:val="restart"/>
            <w:tcBorders>
              <w:top w:val="single" w:color="auto" w:sz="4" w:space="0"/>
              <w:left w:val="single" w:color="auto" w:sz="4" w:space="0"/>
              <w:right w:val="single" w:color="auto" w:sz="4" w:space="0"/>
            </w:tcBorders>
            <w:vAlign w:val="center"/>
          </w:tcPr>
          <w:p>
            <w:pPr>
              <w:pStyle w:val="104"/>
              <w:rPr>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bCs/>
                <w:lang w:val="en-US" w:eastAsia="zh-CN"/>
              </w:rPr>
            </w:pPr>
            <w:r>
              <w:rPr>
                <w:b/>
                <w:bCs/>
                <w:lang w:val="en-US" w:eastAsia="zh-CN"/>
              </w:rPr>
              <w:t>Channel bandwidth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vMerge w:val="continue"/>
            <w:tcBorders>
              <w:left w:val="single" w:color="auto" w:sz="4" w:space="0"/>
              <w:bottom w:val="single" w:color="auto" w:sz="4" w:space="0"/>
              <w:right w:val="single" w:color="auto" w:sz="4" w:space="0"/>
            </w:tcBorders>
            <w:vAlign w:val="center"/>
          </w:tcPr>
          <w:p>
            <w:pPr>
              <w:pStyle w:val="104"/>
              <w:rPr>
                <w:b w:val="0"/>
                <w:lang w:eastAsia="zh-CN"/>
              </w:rPr>
            </w:pP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bCs/>
                <w:lang w:val="en-US" w:eastAsia="zh-CN"/>
              </w:rPr>
            </w:pPr>
            <w:r>
              <w:rPr>
                <w:b/>
                <w:bCs/>
                <w:lang w:val="en-US" w:eastAsia="zh-CN"/>
              </w:rPr>
              <w:t>5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val="en-US" w:eastAsia="zh-CN"/>
              </w:rPr>
            </w:pPr>
            <w:r>
              <w:rPr>
                <w:b w:val="0"/>
                <w:lang w:val="en-US" w:eastAsia="zh-CN"/>
              </w:rPr>
              <w:t>RB</w:t>
            </w:r>
          </w:p>
        </w:tc>
        <w:tc>
          <w:tcPr>
            <w:tcW w:w="2835" w:type="dxa"/>
            <w:tcBorders>
              <w:top w:val="single" w:color="auto" w:sz="4" w:space="0"/>
              <w:left w:val="single" w:color="auto" w:sz="4" w:space="0"/>
              <w:bottom w:val="single" w:color="auto" w:sz="4" w:space="0"/>
              <w:right w:val="single" w:color="auto" w:sz="4" w:space="0"/>
            </w:tcBorders>
            <w:vAlign w:val="center"/>
          </w:tcPr>
          <w:p>
            <w:pPr>
              <w:pStyle w:val="104"/>
              <w:rPr>
                <w:b w:val="0"/>
                <w:lang w:val="en-US" w:eastAsia="zh-CN"/>
              </w:rPr>
            </w:pPr>
            <w:r>
              <w:rPr>
                <w:b w:val="0"/>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35" w:type="dxa"/>
            <w:tcBorders>
              <w:top w:val="single" w:color="auto" w:sz="4" w:space="0"/>
              <w:left w:val="single" w:color="auto" w:sz="4" w:space="0"/>
              <w:bottom w:val="single" w:color="auto" w:sz="4" w:space="0"/>
              <w:right w:val="single" w:color="auto" w:sz="4" w:space="0"/>
            </w:tcBorders>
            <w:vAlign w:val="center"/>
          </w:tcPr>
          <w:p>
            <w:pPr>
              <w:pStyle w:val="105"/>
            </w:pPr>
            <w:r>
              <w:rPr>
                <w:lang w:eastAsia="zh-CN"/>
              </w:rPr>
              <w:t>BW</w:t>
            </w:r>
            <w:r>
              <w:rPr>
                <w:vertAlign w:val="subscript"/>
                <w:lang w:eastAsia="zh-CN"/>
              </w:rPr>
              <w:t>Interferer</w:t>
            </w:r>
          </w:p>
        </w:tc>
        <w:tc>
          <w:tcPr>
            <w:tcW w:w="2835" w:type="dxa"/>
            <w:tcBorders>
              <w:top w:val="single" w:color="auto" w:sz="4" w:space="0"/>
              <w:left w:val="single" w:color="auto" w:sz="4" w:space="0"/>
              <w:bottom w:val="single" w:color="auto" w:sz="4" w:space="0"/>
              <w:right w:val="single" w:color="auto" w:sz="4" w:space="0"/>
            </w:tcBorders>
            <w:vAlign w:val="center"/>
          </w:tcPr>
          <w:p>
            <w:pPr>
              <w:pStyle w:val="105"/>
              <w:rPr>
                <w:rFonts w:eastAsia="宋体"/>
                <w:lang w:val="en-US" w:eastAsia="zh-CN"/>
              </w:rPr>
            </w:pPr>
            <w:r>
              <w:rPr>
                <w:rFonts w:hint="eastAsia" w:eastAsia="宋体"/>
                <w:lang w:val="en-US" w:eastAsia="zh-CN"/>
              </w:rPr>
              <w:t>5 MHz</w:t>
            </w:r>
          </w:p>
        </w:tc>
      </w:tr>
    </w:tbl>
    <w:p/>
    <w:p>
      <w:pPr>
        <w:pStyle w:val="11"/>
      </w:pPr>
      <w:bookmarkStart w:id="1123" w:name="_Toc5136"/>
      <w:r>
        <w:t>Annex E (no</w:t>
      </w:r>
      <w:r>
        <w:rPr>
          <w:lang w:eastAsia="en-GB"/>
        </w:rPr>
        <w:t>rmative</w:t>
      </w:r>
      <w:r>
        <w:t>):</w:t>
      </w:r>
      <w:r>
        <w:br w:type="textWrapping"/>
      </w:r>
      <w:r>
        <w:t>Global In-Channel TX-Test</w:t>
      </w:r>
      <w:bookmarkEnd w:id="1123"/>
    </w:p>
    <w:p>
      <w:pPr>
        <w:ind w:left="737"/>
        <w:rPr>
          <w:i/>
        </w:rPr>
      </w:pPr>
      <w:r>
        <w:t xml:space="preserve">Note: Clauses E.2.2 to E.5.9.3 are descriptions, which assume no power ramping adjacent to the measurement period. </w:t>
      </w:r>
      <w:r>
        <w:rPr>
          <w:i/>
        </w:rPr>
        <w:t>Power ramping adjacent to the measurement period requires exclusion periods, described in clause E.7</w:t>
      </w:r>
    </w:p>
    <w:p>
      <w:pPr>
        <w:pStyle w:val="3"/>
        <w:rPr>
          <w:snapToGrid w:val="0"/>
        </w:rPr>
      </w:pPr>
      <w:bookmarkStart w:id="1124" w:name="_Toc10571"/>
      <w:bookmarkStart w:id="1125" w:name="_Toc232582155"/>
      <w:r>
        <w:rPr>
          <w:snapToGrid w:val="0"/>
        </w:rPr>
        <w:t>E.1</w:t>
      </w:r>
      <w:r>
        <w:rPr>
          <w:snapToGrid w:val="0"/>
        </w:rPr>
        <w:tab/>
      </w:r>
      <w:r>
        <w:rPr>
          <w:snapToGrid w:val="0"/>
        </w:rPr>
        <w:t>General</w:t>
      </w:r>
      <w:bookmarkEnd w:id="1124"/>
      <w:bookmarkEnd w:id="1125"/>
    </w:p>
    <w:p>
      <w:r>
        <w:t>The global in-channel TX test enables the measurement of all relevant parameters that describe the in-channel quality of the output signal of the TX under test in a single measurement process.</w:t>
      </w:r>
    </w:p>
    <w:p>
      <w:r>
        <w:t>The parameters describing the in-channel quality of a transmitter, however, are not necessarily independent. The algorithm chosen for description inside this annex places particular emphasis on the exclusion of all interdependencies among the parameters.</w:t>
      </w:r>
    </w:p>
    <w:p>
      <w:pPr>
        <w:pStyle w:val="3"/>
      </w:pPr>
      <w:bookmarkStart w:id="1126" w:name="_Toc232582156"/>
      <w:bookmarkStart w:id="1127" w:name="_Toc9780"/>
      <w:r>
        <w:t>E.2</w:t>
      </w:r>
      <w:r>
        <w:tab/>
      </w:r>
      <w:r>
        <w:t>Signals and results</w:t>
      </w:r>
      <w:bookmarkEnd w:id="1126"/>
      <w:bookmarkEnd w:id="1127"/>
    </w:p>
    <w:p>
      <w:pPr>
        <w:pStyle w:val="4"/>
      </w:pPr>
      <w:bookmarkStart w:id="1128" w:name="_Toc232582157"/>
      <w:bookmarkStart w:id="1129" w:name="_Toc5598"/>
      <w:r>
        <w:t>E.2.1</w:t>
      </w:r>
      <w:r>
        <w:tab/>
      </w:r>
      <w:r>
        <w:t>Basic principle</w:t>
      </w:r>
      <w:bookmarkEnd w:id="1128"/>
      <w:bookmarkEnd w:id="1129"/>
    </w:p>
    <w:p>
      <w:r>
        <w:t xml:space="preserve">The process is based on the comparison of the actual </w:t>
      </w:r>
      <w:r>
        <w:rPr>
          <w:b/>
        </w:rPr>
        <w:t>output signal of the TX under test</w:t>
      </w:r>
      <w:r>
        <w:t xml:space="preserve">, received by an ideal receiver, with a </w:t>
      </w:r>
      <w:r>
        <w:rPr>
          <w:b/>
        </w:rPr>
        <w:t>reference signal</w:t>
      </w:r>
      <w:r>
        <w:t>, that is generated by the measuring equipment and represents an ideal error free received signal. All signals are represented as equivalent (generally complex) baseband signals.</w:t>
      </w:r>
    </w:p>
    <w:p>
      <w:r>
        <w:t>The description below uses numbers as examples. These numbers are taken from frame structure 1 with normal CP length and 20 MHz bandwidth. The application of the text below, however, is not restricted to this frame structure and bandwidth.</w:t>
      </w:r>
    </w:p>
    <w:p>
      <w:pPr>
        <w:pStyle w:val="4"/>
      </w:pPr>
      <w:bookmarkStart w:id="1130" w:name="_Toc32547"/>
      <w:bookmarkStart w:id="1131" w:name="_Toc232582158"/>
      <w:r>
        <w:t>E.2.2</w:t>
      </w:r>
      <w:r>
        <w:tab/>
      </w:r>
      <w:r>
        <w:t>Output signal of the TX under test</w:t>
      </w:r>
      <w:bookmarkEnd w:id="1130"/>
      <w:bookmarkEnd w:id="1131"/>
    </w:p>
    <w:p>
      <w:r>
        <w:t xml:space="preserve">The output signal of the TX under test is acquired by the measuring equipment and stored for further processing. It is sampled at a sampling rate of 30.72 Msps. In the time domain it comprises at least 10 </w:t>
      </w:r>
      <w:r>
        <w:rPr>
          <w:lang w:eastAsia="zh-CN"/>
        </w:rPr>
        <w:t>uplink</w:t>
      </w:r>
      <w:r>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pPr>
        <w:pStyle w:val="100"/>
      </w:pPr>
      <w:r>
        <w:t>NOTE 1:</w:t>
      </w:r>
      <w:r>
        <w:tab/>
      </w:r>
      <w:r>
        <w:t>TDD</w:t>
      </w:r>
    </w:p>
    <w:p>
      <w:pPr>
        <w:rPr>
          <w:lang w:eastAsia="zh-CN"/>
        </w:rPr>
      </w:pPr>
      <w:r>
        <w:t xml:space="preserve">For frame structure type 2, </w:t>
      </w:r>
      <w:r>
        <w:rPr>
          <w:lang w:eastAsia="zh-CN"/>
        </w:rPr>
        <w:t>subframes with special fields (UpPTS) do not undergo any evaluation. Since the uplink subframes are not continuous, the 20 slots should be extracted from more than 1 continuous radio frame:</w:t>
      </w:r>
    </w:p>
    <w:p>
      <w:r>
        <w:t xml:space="preserve">Figure E.2.2-1 is an example for </w:t>
      </w:r>
      <w:r>
        <w:rPr>
          <w:lang w:eastAsia="zh-CN"/>
        </w:rPr>
        <w:t>uplink-downlink</w:t>
      </w:r>
      <w:r>
        <w:t xml:space="preserve"> configuration 1 (DSUUDDSUUD) as specified in TS </w:t>
      </w:r>
      <w:r>
        <w:rPr>
          <w:lang w:eastAsia="zh-CN"/>
        </w:rPr>
        <w:t>36</w:t>
      </w:r>
      <w:r>
        <w:t>.211 [8] Table 4.2-2,assuming all uplink subframes are active.</w:t>
      </w:r>
    </w:p>
    <w:p>
      <w:pPr>
        <w:pStyle w:val="113"/>
      </w:pPr>
      <w:bookmarkStart w:id="1132" w:name="_MON_1317025491"/>
      <w:bookmarkEnd w:id="1132"/>
      <w:bookmarkStart w:id="1133" w:name="_MON_1317024721"/>
      <w:bookmarkEnd w:id="1133"/>
      <w:r>
        <w:object>
          <v:shape id="_x0000_i1123" o:spt="75" type="#_x0000_t75" style="height:153.25pt;width:452.75pt;" o:ole="t" filled="f" o:preferrelative="t" stroked="f" coordsize="21600,21600">
            <v:path/>
            <v:fill on="f" focussize="0,0"/>
            <v:stroke on="f" joinstyle="miter"/>
            <v:imagedata r:id="rId179" o:title=""/>
            <o:lock v:ext="edit" aspectratio="t"/>
            <w10:wrap type="none"/>
            <w10:anchorlock/>
          </v:shape>
          <o:OLEObject Type="Embed" ProgID="Word.Picture.8" ShapeID="_x0000_i1123" DrawAspect="Content" ObjectID="_1468075823" r:id="rId178">
            <o:LockedField>false</o:LockedField>
          </o:OLEObject>
        </w:object>
      </w:r>
    </w:p>
    <w:p>
      <w:pPr>
        <w:pStyle w:val="120"/>
      </w:pPr>
      <w:r>
        <w:t>Figure E.2.2</w:t>
      </w:r>
      <w:r>
        <w:rPr>
          <w:lang w:eastAsia="zh-CN"/>
        </w:rPr>
        <w:t>-1</w:t>
      </w:r>
      <w:r>
        <w:t>: Example of uplink – downlink configuration 1</w:t>
      </w:r>
    </w:p>
    <w:p/>
    <w:p>
      <w:pPr>
        <w:pStyle w:val="4"/>
      </w:pPr>
      <w:bookmarkStart w:id="1134" w:name="_Toc232582159"/>
      <w:bookmarkStart w:id="1135" w:name="_Toc6199"/>
      <w:r>
        <w:t>E.2.3</w:t>
      </w:r>
      <w:r>
        <w:tab/>
      </w:r>
      <w:r>
        <w:t>Reference signal</w:t>
      </w:r>
      <w:bookmarkEnd w:id="1134"/>
      <w:bookmarkEnd w:id="1135"/>
    </w:p>
    <w:p>
      <w:r>
        <w:t>Two types of reference signal are defined:</w:t>
      </w:r>
    </w:p>
    <w:p>
      <w:r>
        <w:t>The reference signal i</w:t>
      </w:r>
      <w:r>
        <w:rPr>
          <w:vertAlign w:val="subscript"/>
        </w:rPr>
        <w:t>1</w:t>
      </w:r>
      <w:r>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Msps in the time domain.</w:t>
      </w:r>
    </w:p>
    <w:p>
      <w:r>
        <w:t>The reference signal i</w:t>
      </w:r>
      <w:r>
        <w:rPr>
          <w:vertAlign w:val="subscript"/>
        </w:rPr>
        <w:t>2</w:t>
      </w:r>
      <w:r>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Msps in the time domain.</w:t>
      </w:r>
    </w:p>
    <w:p>
      <w:pPr>
        <w:pStyle w:val="100"/>
      </w:pPr>
      <w:r>
        <w:t>NOTE:</w:t>
      </w:r>
      <w:r>
        <w:tab/>
      </w:r>
      <w:r>
        <w:t>The PUCCH is off during the time under test.</w:t>
      </w:r>
    </w:p>
    <w:p>
      <w:pPr>
        <w:pStyle w:val="4"/>
        <w:rPr>
          <w:snapToGrid w:val="0"/>
        </w:rPr>
      </w:pPr>
      <w:bookmarkStart w:id="1136" w:name="_Toc232582160"/>
      <w:bookmarkStart w:id="1137" w:name="_Toc5436"/>
      <w:r>
        <w:rPr>
          <w:snapToGrid w:val="0"/>
        </w:rPr>
        <w:t>E.2.4</w:t>
      </w:r>
      <w:r>
        <w:rPr>
          <w:snapToGrid w:val="0"/>
        </w:rPr>
        <w:tab/>
      </w:r>
      <w:r>
        <w:rPr>
          <w:snapToGrid w:val="0"/>
        </w:rPr>
        <w:t>Measurement results</w:t>
      </w:r>
      <w:bookmarkEnd w:id="1136"/>
      <w:bookmarkEnd w:id="1137"/>
    </w:p>
    <w:p>
      <w:pPr>
        <w:rPr>
          <w:snapToGrid w:val="0"/>
        </w:rPr>
      </w:pPr>
      <w:r>
        <w:rPr>
          <w:snapToGrid w:val="0"/>
        </w:rPr>
        <w:t>The measurement results, achieved by the global in channel TX test are the following:</w:t>
      </w:r>
    </w:p>
    <w:p>
      <w:pPr>
        <w:pStyle w:val="111"/>
      </w:pPr>
      <w:bookmarkStart w:id="1138" w:name="_Toc232582161"/>
      <w:r>
        <w:t>-</w:t>
      </w:r>
      <w:r>
        <w:tab/>
      </w:r>
      <w:r>
        <w:t>Carrier Frequency error</w:t>
      </w:r>
    </w:p>
    <w:p>
      <w:pPr>
        <w:pStyle w:val="111"/>
      </w:pPr>
      <w:r>
        <w:t>-</w:t>
      </w:r>
      <w:r>
        <w:tab/>
      </w:r>
      <w:r>
        <w:t>EVM (Error Vector Magnitude)</w:t>
      </w:r>
    </w:p>
    <w:p>
      <w:pPr>
        <w:pStyle w:val="111"/>
      </w:pPr>
      <w:r>
        <w:t>-</w:t>
      </w:r>
      <w:r>
        <w:tab/>
      </w:r>
      <w:r>
        <w:t>Carrier leakage</w:t>
      </w:r>
    </w:p>
    <w:p>
      <w:pPr>
        <w:pStyle w:val="111"/>
      </w:pPr>
      <w:r>
        <w:t>-</w:t>
      </w:r>
      <w:r>
        <w:tab/>
      </w:r>
      <w:r>
        <w:t>Unwanted emissions, falling into non allocated resource blocks.</w:t>
      </w:r>
    </w:p>
    <w:p>
      <w:pPr>
        <w:pStyle w:val="111"/>
      </w:pPr>
      <w:r>
        <w:t>-</w:t>
      </w:r>
      <w:r>
        <w:tab/>
      </w:r>
      <w:r>
        <w:t>EVM equalizer spectrum flatness</w:t>
      </w:r>
    </w:p>
    <w:p>
      <w:pPr>
        <w:pStyle w:val="4"/>
      </w:pPr>
      <w:bookmarkStart w:id="1139" w:name="_Toc12443"/>
      <w:r>
        <w:t>E.2.5</w:t>
      </w:r>
      <w:r>
        <w:tab/>
      </w:r>
      <w:r>
        <w:t>Measurement points</w:t>
      </w:r>
      <w:bookmarkEnd w:id="1138"/>
      <w:bookmarkEnd w:id="1139"/>
    </w:p>
    <w:p>
      <w:r>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pPr>
        <w:pStyle w:val="113"/>
      </w:pPr>
      <w:r>
        <w:drawing>
          <wp:inline distT="0" distB="0" distL="114300" distR="11430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0"/>
                    <a:stretch>
                      <a:fillRect/>
                    </a:stretch>
                  </pic:blipFill>
                  <pic:spPr>
                    <a:xfrm>
                      <a:off x="0" y="0"/>
                      <a:ext cx="5486400" cy="1289050"/>
                    </a:xfrm>
                    <a:prstGeom prst="rect">
                      <a:avLst/>
                    </a:prstGeom>
                    <a:noFill/>
                    <a:ln>
                      <a:noFill/>
                    </a:ln>
                  </pic:spPr>
                </pic:pic>
              </a:graphicData>
            </a:graphic>
          </wp:inline>
        </w:drawing>
      </w:r>
    </w:p>
    <w:p>
      <w:pPr>
        <w:pStyle w:val="120"/>
        <w:rPr>
          <w:rFonts w:eastAsia="Osaka"/>
        </w:rPr>
      </w:pPr>
      <w:r>
        <w:rPr>
          <w:rFonts w:eastAsia="Osaka"/>
        </w:rPr>
        <w:t>Figure E.2.5-1: EVM measurement points</w:t>
      </w:r>
    </w:p>
    <w:p/>
    <w:p>
      <w:pPr>
        <w:pStyle w:val="3"/>
        <w:rPr>
          <w:snapToGrid w:val="0"/>
        </w:rPr>
      </w:pPr>
      <w:bookmarkStart w:id="1140" w:name="_Toc9640"/>
      <w:bookmarkStart w:id="1141" w:name="_Toc232582162"/>
      <w:r>
        <w:rPr>
          <w:snapToGrid w:val="0"/>
        </w:rPr>
        <w:t>E.3</w:t>
      </w:r>
      <w:r>
        <w:rPr>
          <w:snapToGrid w:val="0"/>
        </w:rPr>
        <w:tab/>
      </w:r>
      <w:r>
        <w:rPr>
          <w:snapToGrid w:val="0"/>
        </w:rPr>
        <w:t>Signal processing</w:t>
      </w:r>
      <w:bookmarkEnd w:id="1140"/>
      <w:bookmarkEnd w:id="1141"/>
    </w:p>
    <w:p>
      <w:pPr>
        <w:pStyle w:val="4"/>
      </w:pPr>
      <w:bookmarkStart w:id="1142" w:name="_Toc13750"/>
      <w:bookmarkStart w:id="1143" w:name="_Toc232582163"/>
      <w:r>
        <w:t>E.3.1</w:t>
      </w:r>
      <w:r>
        <w:tab/>
      </w:r>
      <w:r>
        <w:t>Pre FFT minimization process</w:t>
      </w:r>
      <w:bookmarkEnd w:id="1142"/>
      <w:bookmarkEnd w:id="1143"/>
    </w:p>
    <w:p>
      <w:r>
        <w:t>Before applying the pre-FFT minimization process, z(ν) and i(ν) are portioned into 20 pieces, comprising one slot each. 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r>
        <w:t>The carrier frequency variation and the IQ variation are the measurement results: Carrier Frequency Error and Carrier leakage.</w:t>
      </w:r>
    </w:p>
    <w:p>
      <w:r>
        <w:t>From the acquired samples 20 carrier frequencies and 20 carrier leakages can be derived.</w:t>
      </w:r>
    </w:p>
    <w:p>
      <w:pPr>
        <w:pStyle w:val="100"/>
      </w:pPr>
      <w:r>
        <w:t>NOTE 1:</w:t>
      </w:r>
      <w:r>
        <w:tab/>
      </w:r>
      <w:r>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pPr>
        <w:pStyle w:val="100"/>
      </w:pPr>
      <w:r>
        <w:t>NOTE 2:</w:t>
      </w:r>
      <w:r>
        <w:tab/>
      </w:r>
      <w:r>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r>
        <w:t>After this process the samples z(ν) are called z</w:t>
      </w:r>
      <w:r>
        <w:rPr>
          <w:vertAlign w:val="superscript"/>
        </w:rPr>
        <w:t>0</w:t>
      </w:r>
      <w:r>
        <w:t>(ν).</w:t>
      </w:r>
    </w:p>
    <w:p>
      <w:pPr>
        <w:pStyle w:val="4"/>
      </w:pPr>
      <w:bookmarkStart w:id="1144" w:name="_Toc10719"/>
      <w:bookmarkStart w:id="1145" w:name="_Toc232582164"/>
      <w:r>
        <w:t>E.3.2</w:t>
      </w:r>
      <w:r>
        <w:tab/>
      </w:r>
      <w:r>
        <w:t>Timing of the FFT window</w:t>
      </w:r>
      <w:bookmarkEnd w:id="1144"/>
      <w:bookmarkEnd w:id="1145"/>
    </w:p>
    <w:p>
      <w:pPr>
        <w:rPr>
          <w:rFonts w:eastAsia="Osaka"/>
        </w:rPr>
      </w:pPr>
      <w:r>
        <w:rPr>
          <w:rFonts w:eastAsia="Osaka"/>
        </w:rPr>
        <w:t>The FFT window length is 2048 samples per OFDM symbol. 7 FFTs (14336 samples) cover less than the acquired number of samples (15360 samples) The position in time for FFT must be determined.</w:t>
      </w:r>
    </w:p>
    <w:p>
      <w:pPr>
        <w:rPr>
          <w:rFonts w:eastAsia="Osaka"/>
        </w:rPr>
      </w:pPr>
      <w:r>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r>
        <w:rPr>
          <w:rFonts w:eastAsia="Osaka"/>
        </w:rPr>
        <w:t xml:space="preserve">Centre of the reduced window, called </w:t>
      </w:r>
      <w:r>
        <w:rPr>
          <w:position w:val="-6"/>
        </w:rPr>
        <w:object>
          <v:shape id="_x0000_i1124"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4" DrawAspect="Content" ObjectID="_1468075824" r:id="rId181">
            <o:LockedField>false</o:LockedField>
          </o:OLEObject>
        </w:object>
      </w:r>
      <w:r>
        <w:t xml:space="preserve">, </w:t>
      </w:r>
      <w:r>
        <w:rPr>
          <w:position w:val="-6"/>
        </w:rPr>
        <w:object>
          <v:shape id="_x0000_i1125"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5" DrawAspect="Content" ObjectID="_1468075825" r:id="rId183">
            <o:LockedField>false</o:LockedField>
          </o:OLEObject>
        </w:object>
      </w:r>
      <w:r>
        <w:t xml:space="preserve"> –W/2 and </w:t>
      </w:r>
      <w:r>
        <w:rPr>
          <w:position w:val="-6"/>
        </w:rPr>
        <w:object>
          <v:shape id="_x0000_i112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6" DrawAspect="Content" ObjectID="_1468075826" r:id="rId184">
            <o:LockedField>false</o:LockedField>
          </o:OLEObject>
        </w:object>
      </w:r>
      <w:r>
        <w:t xml:space="preserve"> +W/2. </w:t>
      </w:r>
    </w:p>
    <w:p>
      <w:r>
        <w:t>The timing of the measured signal is determined in the pre FFT domain as follows, using z</w:t>
      </w:r>
      <w:r>
        <w:rPr>
          <w:vertAlign w:val="superscript"/>
        </w:rPr>
        <w:t>0</w:t>
      </w:r>
      <w:r>
        <w:t>(ν) and i</w:t>
      </w:r>
      <w:r>
        <w:rPr>
          <w:vertAlign w:val="subscript"/>
        </w:rPr>
        <w:t>2</w:t>
      </w:r>
      <w:r>
        <w:t>(ν) :</w:t>
      </w:r>
    </w:p>
    <w:p>
      <w:pPr>
        <w:pStyle w:val="111"/>
      </w:pPr>
      <w:r>
        <w:t>1.</w:t>
      </w:r>
      <w:r>
        <w:tab/>
      </w:r>
      <w:r>
        <w:t>The measured signal is delay spread by the TX filter. Hence the distinct boarders between the OFDM symbols and between Data and CP are also spread and the timing is not obvious.</w:t>
      </w:r>
    </w:p>
    <w:p>
      <w:pPr>
        <w:pStyle w:val="111"/>
      </w:pPr>
      <w:r>
        <w:t>2.</w:t>
      </w:r>
      <w:r>
        <w:tab/>
      </w:r>
      <w:r>
        <w:t>In the Reference Signal i</w:t>
      </w:r>
      <w:r>
        <w:rPr>
          <w:vertAlign w:val="subscript"/>
        </w:rPr>
        <w:t>2</w:t>
      </w:r>
      <w:r>
        <w:t>(ν) the timing is known.</w:t>
      </w:r>
    </w:p>
    <w:p>
      <w:pPr>
        <w:pStyle w:val="111"/>
      </w:pPr>
      <w:r>
        <w:t>3.</w:t>
      </w:r>
      <w:r>
        <w:tab/>
      </w:r>
      <w:r>
        <w:t>Correlation between (1.) and (2.) will result in a correlation peak. The meaning of the correlation peak is approx. the “impulse response” of the TX filter. The meaning of “impulse response” assumes that the autocorrelation of the reference signal i</w:t>
      </w:r>
      <w:r>
        <w:rPr>
          <w:vertAlign w:val="subscript"/>
        </w:rPr>
        <w:t>2</w:t>
      </w:r>
      <w:r>
        <w:t>(ν) is a Dirac peak and that the correlation between the reference signal i</w:t>
      </w:r>
      <w:r>
        <w:rPr>
          <w:vertAlign w:val="subscript"/>
        </w:rPr>
        <w:t>2</w:t>
      </w:r>
      <w:r>
        <w:t>(ν) and the data in the measured signal is 0. The correlation peak, (the highest, or in case of more than one, the earliest) indicates the timing in the measured signal.</w:t>
      </w:r>
    </w:p>
    <w:p>
      <w:r>
        <w:t>From the acquired samples 20 timings can be derived.</w:t>
      </w:r>
    </w:p>
    <w:p>
      <w:r>
        <w:t>For all calculations, except EVM, the number of samples in z</w:t>
      </w:r>
      <w:r>
        <w:rPr>
          <w:vertAlign w:val="superscript"/>
        </w:rPr>
        <w:t>0</w:t>
      </w:r>
      <w:r>
        <w:t xml:space="preserve">(ν) is reduced to 7 blocks of samples, comprising 2048 samples (FFT width) and starting with </w:t>
      </w:r>
      <w:r>
        <w:rPr>
          <w:position w:val="-6"/>
        </w:rPr>
        <w:object>
          <v:shape id="_x0000_i1127"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7" DrawAspect="Content" ObjectID="_1468075827" r:id="rId185">
            <o:LockedField>false</o:LockedField>
          </o:OLEObject>
        </w:object>
      </w:r>
      <w:r>
        <w:t xml:space="preserve"> in each OFDM symbol including the demodulation reference signal.</w:t>
      </w:r>
    </w:p>
    <w:p>
      <w:r>
        <w:t xml:space="preserve">For the EVM calculation the output signal under test is reduced to 14 blocks of samples, comprising 2048 samples (FFT width) and starting with </w:t>
      </w:r>
      <w:r>
        <w:rPr>
          <w:position w:val="-6"/>
        </w:rPr>
        <w:object>
          <v:shape id="_x0000_i1128"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8" DrawAspect="Content" ObjectID="_1468075828" r:id="rId186">
            <o:LockedField>false</o:LockedField>
          </o:OLEObject>
        </w:object>
      </w:r>
      <w:r>
        <w:t xml:space="preserve"> –W/2 and </w:t>
      </w:r>
      <w:r>
        <w:rPr>
          <w:position w:val="-6"/>
        </w:rPr>
        <w:object>
          <v:shape id="_x0000_i1129"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29" DrawAspect="Content" ObjectID="_1468075829" r:id="rId187">
            <o:LockedField>false</o:LockedField>
          </o:OLEObject>
        </w:object>
      </w:r>
      <w:r>
        <w:t xml:space="preserve"> +W/2 in each OFDM symbol including the demodulation reference signal.</w:t>
      </w:r>
    </w:p>
    <w:p>
      <w:r>
        <w:t>The number of samples, used for FFT is reduced compared to z</w:t>
      </w:r>
      <w:r>
        <w:rPr>
          <w:vertAlign w:val="superscript"/>
        </w:rPr>
        <w:t>0</w:t>
      </w:r>
      <w:r>
        <w:t>(ν). This subset of samples is called z’(ν).</w:t>
      </w:r>
    </w:p>
    <w:p>
      <w:r>
        <w:t xml:space="preserve">The timing of the centre </w:t>
      </w:r>
      <w:r>
        <w:rPr>
          <w:position w:val="-6"/>
        </w:rPr>
        <w:object>
          <v:shape id="_x0000_i1130"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0" DrawAspect="Content" ObjectID="_1468075830" r:id="rId188">
            <o:LockedField>false</o:LockedField>
          </o:OLEObject>
        </w:object>
      </w:r>
      <w:r>
        <w:t xml:space="preserve"> with respect to the different CP length in a slot is as follows: (Frame structure 1, normal CP length)</w:t>
      </w:r>
    </w:p>
    <w:p>
      <w:r>
        <w:rPr>
          <w:position w:val="-6"/>
        </w:rPr>
        <w:object>
          <v:shape id="_x0000_i1131"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1" DrawAspect="Content" ObjectID="_1468075831" r:id="rId189">
            <o:LockedField>false</o:LockedField>
          </o:OLEObject>
        </w:object>
      </w:r>
      <w:r>
        <w:t xml:space="preserve"> is on T</w:t>
      </w:r>
      <w:r>
        <w:rPr>
          <w:vertAlign w:val="subscript"/>
        </w:rPr>
        <w:t>f</w:t>
      </w:r>
      <w:r>
        <w:t>=72 within the CP of length 144 (in OFDM symbol 1 to 6)</w:t>
      </w:r>
    </w:p>
    <w:p>
      <w:r>
        <w:rPr>
          <w:position w:val="-6"/>
        </w:rPr>
        <w:object>
          <v:shape id="_x0000_i1132"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2" DrawAspect="Content" ObjectID="_1468075832" r:id="rId190">
            <o:LockedField>false</o:LockedField>
          </o:OLEObject>
        </w:object>
      </w:r>
      <w:r>
        <w:t xml:space="preserve"> is on T</w:t>
      </w:r>
      <w:r>
        <w:rPr>
          <w:vertAlign w:val="subscript"/>
        </w:rPr>
        <w:t>f</w:t>
      </w:r>
      <w:r>
        <w:t>=88 (=160-72) within the CP of length 160 (in OFDM symbol 0)</w:t>
      </w:r>
    </w:p>
    <w:p>
      <w:pPr>
        <w:pStyle w:val="4"/>
      </w:pPr>
      <w:bookmarkStart w:id="1146" w:name="_Toc232582165"/>
      <w:bookmarkStart w:id="1147" w:name="_Toc19094"/>
      <w:r>
        <w:t>E.3.3</w:t>
      </w:r>
      <w:r>
        <w:tab/>
      </w:r>
      <w:r>
        <w:t>Post FFT equalisation</w:t>
      </w:r>
      <w:bookmarkEnd w:id="1146"/>
      <w:bookmarkEnd w:id="1147"/>
    </w:p>
    <w:p>
      <w:r>
        <w:t xml:space="preserve">Perform 7 FFTs on z’(ν), one for each OFDM symbol in a slot using the timing </w:t>
      </w:r>
      <w:r>
        <w:rPr>
          <w:position w:val="-6"/>
        </w:rPr>
        <w:object>
          <v:shape id="_x0000_i1133"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3" DrawAspect="Content" ObjectID="_1468075833" r:id="rId191">
            <o:LockedField>false</o:LockedField>
          </o:OLEObject>
        </w:object>
      </w:r>
      <w:r>
        <w:t>,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inband emissions in the non allocated RBs within the transmission BW.</w:t>
      </w:r>
    </w:p>
    <w:p>
      <w:r>
        <w:t>Only the allocated resource blocks in the frequency domain are used for equalisation.</w:t>
      </w:r>
    </w:p>
    <w:p>
      <w:r>
        <w:t>The nominal demodulation reference symbols and nominal DFT coded data symbols are used to equalize the measured data symbols. (Location for equalization see Figure E.2.5-1)</w:t>
      </w:r>
    </w:p>
    <w:p>
      <w:pPr>
        <w:pStyle w:val="100"/>
      </w:pPr>
      <w:r>
        <w:t>NOTE:</w:t>
      </w:r>
      <w:r>
        <w:tab/>
      </w:r>
      <w:r>
        <w:t>The nomenclature inside this note is local and not valid outside.</w:t>
      </w:r>
    </w:p>
    <w:p>
      <w:r>
        <w:t>The nominal DFT coded data symbols are created by a demodulation process. The location to gain the demodulated data symbols is “EVM” in Figure E.2.5-1. A demodulation process as follows is recommended:</w:t>
      </w:r>
    </w:p>
    <w:p>
      <w:pPr>
        <w:pStyle w:val="111"/>
      </w:pPr>
      <w:r>
        <w:t>1.</w:t>
      </w:r>
      <w:r>
        <w:tab/>
      </w:r>
      <w:r>
        <w:t>Equalize the measured DFT coded data symbols using the reference symbols for equalisation. Result: Equalized DFT coded data symbols</w:t>
      </w:r>
    </w:p>
    <w:p>
      <w:pPr>
        <w:pStyle w:val="111"/>
      </w:pPr>
      <w:r>
        <w:t>2.</w:t>
      </w:r>
      <w:r>
        <w:tab/>
      </w:r>
      <w:r>
        <w:t>iDFT transform the equalized DFT coded data symbols: Result: Equalized data symbols</w:t>
      </w:r>
    </w:p>
    <w:p>
      <w:pPr>
        <w:pStyle w:val="111"/>
      </w:pPr>
      <w:r>
        <w:t>3.</w:t>
      </w:r>
      <w:r>
        <w:tab/>
      </w:r>
      <w:r>
        <w:t>Decide for the nearest constellation point: Result: Nominal data symbols</w:t>
      </w:r>
    </w:p>
    <w:p>
      <w:pPr>
        <w:pStyle w:val="111"/>
      </w:pPr>
      <w:r>
        <w:t>4.</w:t>
      </w:r>
      <w:r>
        <w:tab/>
      </w:r>
      <w:r>
        <w:t>DFT transform the nominal data symbols: Result: Nominal DFT coded data symbols</w:t>
      </w:r>
    </w:p>
    <w:p>
      <w:r>
        <w:t xml:space="preserve">At this stage we have an array of </w:t>
      </w:r>
      <w:r>
        <w:rPr>
          <w:u w:val="single"/>
        </w:rPr>
        <w:t>M</w:t>
      </w:r>
      <w:r>
        <w:t xml:space="preserve">easured </w:t>
      </w:r>
      <w:r>
        <w:rPr>
          <w:lang w:eastAsia="zh-CN"/>
        </w:rPr>
        <w:t xml:space="preserve">DFT coded </w:t>
      </w:r>
      <w:r>
        <w:t>data-</w:t>
      </w:r>
      <w:r>
        <w:rPr>
          <w:u w:val="single"/>
        </w:rPr>
        <w:t>S</w:t>
      </w:r>
      <w:r>
        <w:t>ymbols and reference-</w:t>
      </w:r>
      <w:r>
        <w:rPr>
          <w:u w:val="single"/>
        </w:rPr>
        <w:t>S</w:t>
      </w:r>
      <w:r>
        <w:t>ymbols (MS(f,t))</w:t>
      </w:r>
    </w:p>
    <w:p>
      <w:r>
        <w:t xml:space="preserve">versus an array of </w:t>
      </w:r>
      <w:r>
        <w:rPr>
          <w:u w:val="single"/>
        </w:rPr>
        <w:t>N</w:t>
      </w:r>
      <w:r>
        <w:t>ominal</w:t>
      </w:r>
      <w:r>
        <w:rPr>
          <w:lang w:eastAsia="zh-CN"/>
        </w:rPr>
        <w:t xml:space="preserve"> DFT coded</w:t>
      </w:r>
      <w:r>
        <w:t xml:space="preserve"> data-</w:t>
      </w:r>
      <w:r>
        <w:rPr>
          <w:u w:val="single"/>
        </w:rPr>
        <w:t>S</w:t>
      </w:r>
      <w:r>
        <w:t xml:space="preserve">ymbols and reference </w:t>
      </w:r>
      <w:r>
        <w:rPr>
          <w:u w:val="single"/>
        </w:rPr>
        <w:t>S</w:t>
      </w:r>
      <w:r>
        <w:t>ymbols (NS(f,t))</w:t>
      </w:r>
    </w:p>
    <w:p>
      <w:r>
        <w:t>(complex, the arrays comprise 6 DFT coded data symbols and 1 demodulation reference symbol in the time axis and the number of allocated subcarriers in the frequency axis.)</w:t>
      </w:r>
    </w:p>
    <w:p>
      <w:pPr>
        <w:spacing w:after="0"/>
      </w:pPr>
      <w:r>
        <w:t>MS(f,t) and NS(f,t) are processed with a least square (LS) estimator, to derive one equalizer coefficient per time slot and per allocated subcarrier. EC(f)</w:t>
      </w:r>
    </w:p>
    <w:p>
      <w:pPr>
        <w:pStyle w:val="95"/>
        <w:jc w:val="center"/>
      </w:pPr>
      <w:r>
        <w:rPr>
          <w:position w:val="-60"/>
        </w:rPr>
        <w:object>
          <v:shape id="_x0000_i1134" o:spt="75" type="#_x0000_t75" style="height:65.45pt;width:155.45pt;" o:ole="t" filled="f" o:preferrelative="t" stroked="f" coordsize="21600,21600">
            <v:path/>
            <v:fill on="f" focussize="0,0"/>
            <v:stroke on="f" joinstyle="miter"/>
            <v:imagedata r:id="rId193" o:title=""/>
            <o:lock v:ext="edit" aspectratio="t"/>
            <w10:wrap type="none"/>
            <w10:anchorlock/>
          </v:shape>
          <o:OLEObject Type="Embed" ProgID="Equation.3" ShapeID="_x0000_i1134" DrawAspect="Content" ObjectID="_1468075834" r:id="rId192">
            <o:LockedField>false</o:LockedField>
          </o:OLEObject>
        </w:object>
      </w:r>
    </w:p>
    <w:p>
      <w:r>
        <w:t>With * denoting complex conjugation.</w:t>
      </w:r>
    </w:p>
    <w:p>
      <w:r>
        <w:t>EC(f) are used to equalize the DFT-coded data symbols. The measured DFT-coded data and the references symbols are equalized by:</w:t>
      </w:r>
    </w:p>
    <w:p>
      <w:pPr>
        <w:pStyle w:val="95"/>
        <w:jc w:val="center"/>
      </w:pPr>
      <w:r>
        <w:t xml:space="preserve">Z’(f,t) = MS(f,t) </w:t>
      </w:r>
      <w:r>
        <w:rPr>
          <w:b/>
          <w:vertAlign w:val="superscript"/>
        </w:rPr>
        <w:t>.</w:t>
      </w:r>
      <w:r>
        <w:t xml:space="preserve"> EC(f)</w:t>
      </w:r>
    </w:p>
    <w:p>
      <w:r>
        <w:t xml:space="preserve">With </w:t>
      </w:r>
      <w:r>
        <w:rPr>
          <w:b/>
          <w:vertAlign w:val="superscript"/>
        </w:rPr>
        <w:t>.</w:t>
      </w:r>
      <w:r>
        <w:t xml:space="preserve"> denoting multiplication.</w:t>
      </w:r>
    </w:p>
    <w:p>
      <w:r>
        <w:t>Z’(f,t), restricted to the data symbol (excluding t=3) is used to calculate EVM, as described in E.4.1.</w:t>
      </w:r>
    </w:p>
    <w:p>
      <w:r>
        <w:t>EC(f) is used in E.4.4 to calculate EVM equalizer spectral flatness.</w:t>
      </w:r>
    </w:p>
    <w:p>
      <w:pPr>
        <w:pStyle w:val="100"/>
      </w:pPr>
      <w:r>
        <w:t>NOTE:</w:t>
      </w:r>
      <w:r>
        <w:tab/>
      </w:r>
      <w:r>
        <w:t>although an exclusion period for EVM may be applicable in E.7, the post FFT minimisation process is done over 7 symbols (6 DFT-coded data symbols and 1 reference symbol).</w:t>
      </w:r>
    </w:p>
    <w:p>
      <w:r>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pPr>
        <w:pStyle w:val="3"/>
        <w:rPr>
          <w:snapToGrid w:val="0"/>
        </w:rPr>
      </w:pPr>
      <w:bookmarkStart w:id="1148" w:name="_Toc29261"/>
      <w:bookmarkStart w:id="1149" w:name="_Toc232582166"/>
      <w:r>
        <w:rPr>
          <w:snapToGrid w:val="0"/>
        </w:rPr>
        <w:t>E.4</w:t>
      </w:r>
      <w:r>
        <w:rPr>
          <w:snapToGrid w:val="0"/>
        </w:rPr>
        <w:tab/>
      </w:r>
      <w:r>
        <w:rPr>
          <w:snapToGrid w:val="0"/>
        </w:rPr>
        <w:t>Derivation of the results</w:t>
      </w:r>
      <w:bookmarkEnd w:id="1148"/>
      <w:bookmarkEnd w:id="1149"/>
    </w:p>
    <w:p>
      <w:pPr>
        <w:pStyle w:val="4"/>
      </w:pPr>
      <w:bookmarkStart w:id="1150" w:name="_Toc232582167"/>
      <w:bookmarkStart w:id="1151" w:name="_Toc6469"/>
      <w:r>
        <w:t>E.4.1</w:t>
      </w:r>
      <w:r>
        <w:tab/>
      </w:r>
      <w:r>
        <w:t>EVM</w:t>
      </w:r>
      <w:bookmarkEnd w:id="1150"/>
      <w:bookmarkEnd w:id="1151"/>
    </w:p>
    <w:p>
      <w:r>
        <w:rPr>
          <w:rFonts w:eastAsia="Osaka"/>
        </w:rPr>
        <w:t xml:space="preserve">For EVM create two sets of </w:t>
      </w:r>
      <w:r>
        <w:t>Z’(f,t).</w:t>
      </w:r>
      <w:r>
        <w:rPr>
          <w:rFonts w:eastAsia="Osaka"/>
        </w:rPr>
        <w:t xml:space="preserve">, according to the timing </w:t>
      </w:r>
      <w:r>
        <w:t xml:space="preserve">” </w:t>
      </w:r>
      <w:r>
        <w:rPr>
          <w:position w:val="-6"/>
        </w:rPr>
        <w:object>
          <v:shape id="_x0000_i1135"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5" DrawAspect="Content" ObjectID="_1468075835" r:id="rId194">
            <o:LockedField>false</o:LockedField>
          </o:OLEObject>
        </w:object>
      </w:r>
      <w:r>
        <w:t xml:space="preserve"> –W/2 and </w:t>
      </w:r>
      <w:r>
        <w:rPr>
          <w:position w:val="-6"/>
        </w:rPr>
        <w:object>
          <v:shape id="_x0000_i113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36" DrawAspect="Content" ObjectID="_1468075836" r:id="rId195">
            <o:LockedField>false</o:LockedField>
          </o:OLEObject>
        </w:object>
      </w:r>
      <w:r>
        <w:t xml:space="preserve"> +W/2” using the equalizer coefficients from E.3.3.</w:t>
      </w:r>
    </w:p>
    <w:p>
      <w:r>
        <w:rPr>
          <w:rFonts w:eastAsia="Osaka"/>
        </w:rPr>
        <w:t>Perform the iDFTs on</w:t>
      </w:r>
      <w:r>
        <w:t xml:space="preserve"> Z’(f,t).</w:t>
      </w:r>
      <w:r>
        <w:rPr>
          <w:rFonts w:eastAsia="Osaka"/>
        </w:rPr>
        <w:t xml:space="preserve"> The IDFT-decoding preserves the meaning of </w:t>
      </w:r>
      <w:r>
        <w:t>t</w:t>
      </w:r>
      <w:r>
        <w:rPr>
          <w:rFonts w:eastAsia="Osaka"/>
        </w:rPr>
        <w:t xml:space="preserve"> but transforms the variable f (representing the allocated sub carriers) into another variable g, covering the same count and representing the demodulated symbols. The samples in the post IDFT domain are called iZ’(g, t). </w:t>
      </w:r>
      <w:r>
        <w:t>The equivalent ideal samples are called iI</w:t>
      </w:r>
      <w:r>
        <w:rPr>
          <w:rFonts w:eastAsia="Osaka"/>
        </w:rPr>
        <w:t>(g,t)</w:t>
      </w:r>
      <w:r>
        <w:t>. Those samples of Z’(f,t), carrying the reference symbols (=symbol 3) are not iDFT processed.</w:t>
      </w:r>
    </w:p>
    <w:p>
      <w:r>
        <w:t>The EVM is the difference between the ideal waveform and the measured and equalized waveform for the allocated RB(s)</w:t>
      </w:r>
    </w:p>
    <w:p>
      <w:pPr>
        <w:pStyle w:val="95"/>
        <w:jc w:val="center"/>
      </w:pPr>
      <w:r>
        <w:rPr>
          <w:position w:val="-34"/>
        </w:rPr>
        <w:object>
          <v:shape id="_x0000_i1137" o:spt="75" type="#_x0000_t75" style="height:52.9pt;width:209.45pt;" o:ole="t" filled="f" o:preferrelative="t" stroked="f" coordsize="21600,21600">
            <v:path/>
            <v:fill on="f" focussize="0,0"/>
            <v:stroke on="f" joinstyle="miter"/>
            <v:imagedata r:id="rId197" o:title=""/>
            <o:lock v:ext="edit" aspectratio="t"/>
            <w10:wrap type="none"/>
            <w10:anchorlock/>
          </v:shape>
          <o:OLEObject Type="Embed" ProgID="Equation.3" ShapeID="_x0000_i1137" DrawAspect="Content" ObjectID="_1468075837" r:id="rId196">
            <o:LockedField>false</o:LockedField>
          </o:OLEObject>
        </w:object>
      </w:r>
      <w:r>
        <w:t>,</w:t>
      </w:r>
    </w:p>
    <w:p>
      <w:r>
        <w:t>where</w:t>
      </w:r>
    </w:p>
    <w:p>
      <w:r>
        <w:rPr>
          <w:sz w:val="24"/>
          <w:szCs w:val="24"/>
        </w:rPr>
        <w:t xml:space="preserve">t </w:t>
      </w:r>
      <w:r>
        <w:t xml:space="preserve">covers the count of demodulated symbols with the considered modulation scheme being active within the measurement period, (i.e. symbol 0,1,2,4,5and 6 in each slot, </w:t>
      </w:r>
      <w:r>
        <w:rPr/>
        <w:sym w:font="Wingdings" w:char="F0E0"/>
      </w:r>
      <w:r>
        <w:t>|T|=6 )</w:t>
      </w:r>
    </w:p>
    <w:p>
      <w:pPr>
        <w:rPr>
          <w:sz w:val="18"/>
        </w:rPr>
      </w:pPr>
      <w:r>
        <w:rPr>
          <w:rFonts w:eastAsia="Osaka"/>
        </w:rPr>
        <w:t xml:space="preserve">g covers the count of demodulated symbols </w:t>
      </w:r>
      <w:r>
        <w:t>with the considered modulation scheme being active within the allocated bandwidth. (</w:t>
      </w:r>
      <w:r>
        <w:rPr>
          <w:sz w:val="18"/>
        </w:rPr>
        <w:t>|G|=</w:t>
      </w:r>
      <w:r>
        <w:t>12*</w:t>
      </w:r>
      <w:r>
        <w:rPr>
          <w:position w:val="-10"/>
        </w:rPr>
        <w:object>
          <v:shape id="_x0000_i1138"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38" DrawAspect="Content" ObjectID="_1468075838" r:id="rId198">
            <o:LockedField>false</o:LockedField>
          </o:OLEObject>
        </w:object>
      </w:r>
      <w:r>
        <w:t xml:space="preserve"> (with</w:t>
      </w:r>
      <w:r>
        <w:rPr>
          <w:position w:val="-10"/>
        </w:rPr>
        <w:object>
          <v:shape id="_x0000_i1139"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39" DrawAspect="Content" ObjectID="_1468075839" r:id="rId200">
            <o:LockedField>false</o:LockedField>
          </o:OLEObject>
        </w:object>
      </w:r>
      <w:r>
        <w:t xml:space="preserve">: number of allocated resource blocks)). </w:t>
      </w:r>
    </w:p>
    <w:p>
      <w:r>
        <w:rPr>
          <w:position w:val="-14"/>
        </w:rPr>
        <w:object>
          <v:shape id="_x0000_i1140" o:spt="75" type="#_x0000_t75" style="height:20.75pt;width:47.45pt;" o:ole="t" filled="f" o:preferrelative="t" stroked="f" coordsize="21600,21600">
            <v:path/>
            <v:fill on="f" focussize="0,0"/>
            <v:stroke on="f" joinstyle="miter"/>
            <v:imagedata r:id="rId202" o:title=""/>
            <o:lock v:ext="edit" aspectratio="t"/>
            <w10:wrap type="none"/>
            <w10:anchorlock/>
          </v:shape>
          <o:OLEObject Type="Embed" ProgID="Equation.3" ShapeID="_x0000_i1140" DrawAspect="Content" ObjectID="_1468075840" r:id="rId201">
            <o:LockedField>false</o:LockedField>
          </o:OLEObject>
        </w:object>
      </w:r>
      <w:r>
        <w:t xml:space="preserve"> are the samples of the signal evaluated for the EVM.</w:t>
      </w:r>
    </w:p>
    <w:p>
      <w:r>
        <w:rPr>
          <w:position w:val="-10"/>
        </w:rPr>
        <w:object>
          <v:shape id="_x0000_i1141" o:spt="75" type="#_x0000_t75" style="height:19.1pt;width:37.65pt;" o:ole="t" filled="f" o:preferrelative="t" stroked="f" coordsize="21600,21600">
            <v:path/>
            <v:fill on="f" focussize="0,0"/>
            <v:stroke on="f" joinstyle="miter"/>
            <v:imagedata r:id="rId204" o:title=""/>
            <o:lock v:ext="edit" aspectratio="t"/>
            <w10:wrap type="none"/>
            <w10:anchorlock/>
          </v:shape>
          <o:OLEObject Type="Embed" ProgID="Equation.3" ShapeID="_x0000_i1141" DrawAspect="Content" ObjectID="_1468075841" r:id="rId203">
            <o:LockedField>false</o:LockedField>
          </o:OLEObject>
        </w:object>
      </w:r>
      <w:r>
        <w:t>is the ideal signal reconstructed by the measurement equipment, and</w:t>
      </w:r>
    </w:p>
    <w:p>
      <w:r>
        <w:rPr>
          <w:rFonts w:ascii="Arial" w:hAnsi="Arial" w:cs="Arial"/>
          <w:position w:val="-12"/>
        </w:rPr>
        <w:object>
          <v:shape id="_x0000_i1142"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42" DrawAspect="Content" ObjectID="_1468075842" r:id="rId205">
            <o:LockedField>false</o:LockedField>
          </o:OLEObject>
        </w:object>
      </w:r>
      <w:r>
        <w:t xml:space="preserve"> is the average power of the ideal signal. For normalized modulation symbols </w:t>
      </w:r>
      <w:r>
        <w:rPr>
          <w:position w:val="-12"/>
        </w:rPr>
        <w:object>
          <v:shape id="_x0000_i1143"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43" DrawAspect="Content" ObjectID="_1468075843" r:id="rId207">
            <o:LockedField>false</o:LockedField>
          </o:OLEObject>
        </w:object>
      </w:r>
      <w:r>
        <w:t xml:space="preserve"> is equal to 1.</w:t>
      </w:r>
    </w:p>
    <w:p>
      <w:pPr>
        <w:rPr>
          <w:rFonts w:eastAsia="MS Mincho"/>
        </w:rPr>
      </w:pPr>
      <w:r>
        <w:rPr>
          <w:rFonts w:eastAsia="MS Mincho"/>
        </w:rPr>
        <w:t xml:space="preserve">From the acquired samples 40 EVM value can be derived, 20 values for the timing </w:t>
      </w:r>
      <w:r>
        <w:rPr>
          <w:position w:val="-6"/>
        </w:rPr>
        <w:object>
          <v:shape id="_x0000_i1144"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4" DrawAspect="Content" ObjectID="_1468075844" r:id="rId208">
            <o:LockedField>false</o:LockedField>
          </o:OLEObject>
        </w:object>
      </w:r>
      <w:r>
        <w:t xml:space="preserve"> –W/2 and 20 values for the timing </w:t>
      </w:r>
      <w:r>
        <w:rPr>
          <w:position w:val="-6"/>
        </w:rPr>
        <w:object>
          <v:shape id="_x0000_i1145"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5" DrawAspect="Content" ObjectID="_1468075845" r:id="rId209">
            <o:LockedField>false</o:LockedField>
          </o:OLEObject>
        </w:object>
      </w:r>
      <w:r>
        <w:t xml:space="preserve"> +W/2</w:t>
      </w:r>
    </w:p>
    <w:p>
      <w:pPr>
        <w:pStyle w:val="4"/>
      </w:pPr>
      <w:bookmarkStart w:id="1152" w:name="_Toc232582168"/>
      <w:bookmarkStart w:id="1153" w:name="_Toc22259"/>
      <w:r>
        <w:t>E.4.2</w:t>
      </w:r>
      <w:r>
        <w:tab/>
      </w:r>
      <w:r>
        <w:t>Averaged EVM</w:t>
      </w:r>
      <w:bookmarkEnd w:id="1152"/>
      <w:bookmarkEnd w:id="1153"/>
    </w:p>
    <w:p>
      <w:pPr>
        <w:rPr>
          <w:lang w:eastAsia="zh-CN"/>
        </w:rPr>
      </w:pPr>
      <w:r>
        <w:t xml:space="preserve">EVM is averaged over all </w:t>
      </w:r>
      <w:r>
        <w:rPr>
          <w:lang w:eastAsia="zh-CN"/>
        </w:rPr>
        <w:t>basic EVM measurements.</w:t>
      </w:r>
    </w:p>
    <w:p>
      <w:pPr>
        <w:rPr>
          <w:lang w:eastAsia="zh-CN"/>
        </w:rPr>
      </w:pPr>
      <w:r>
        <w:rPr>
          <w:lang w:eastAsia="zh-CN"/>
        </w:rPr>
        <w:t>For subslot TTI, The averaging comprises 60 UL subslots (for frame structure 2: excluding special fields(UpPTS)) for PUCCH, PUSCH, PDSCH.</w:t>
      </w:r>
    </w:p>
    <w:p>
      <w:pPr>
        <w:rPr>
          <w:lang w:eastAsia="zh-CN"/>
        </w:rPr>
      </w:pPr>
      <w:r>
        <w:rPr>
          <w:lang w:eastAsia="zh-CN"/>
        </w:rPr>
        <w:t>For subframe/slot TTI, the  averaging comprises n UL slots (for frame structure 2: excluding special fields(UpPTS))</w:t>
      </w:r>
    </w:p>
    <w:p>
      <w:pPr>
        <w:pStyle w:val="113"/>
        <w:rPr>
          <w:lang w:eastAsia="zh-CN"/>
        </w:rPr>
      </w:pPr>
      <m:oMathPara>
        <m:oMath>
          <m:bar>
            <m:barPr>
              <m:pos m:val="top"/>
              <m:ctrlPr>
                <w:rPr>
                  <w:rFonts w:ascii="Cambria Math" w:hAnsi="Cambria Math" w:eastAsia="Calibri"/>
                  <w:i/>
                  <w:sz w:val="24"/>
                  <w:lang w:val="zh-CN"/>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hAnsi="Cambria Math" w:eastAsia="Calibri"/>
                  <w:i/>
                  <w:sz w:val="24"/>
                  <w:lang w:val="zh-CN"/>
                </w:rPr>
              </m:ctrlPr>
            </m:radPr>
            <m:deg>
              <m:ctrlPr>
                <w:rPr>
                  <w:rFonts w:ascii="Cambria Math" w:hAnsi="Cambria Math"/>
                </w:rPr>
              </m:ctrlPr>
            </m:deg>
            <m:e>
              <m:f>
                <m:fPr>
                  <m:ctrlPr>
                    <w:rPr>
                      <w:rFonts w:ascii="Cambria Math" w:hAnsi="Cambria Math" w:eastAsia="Calibri"/>
                      <w:i/>
                      <w:sz w:val="24"/>
                      <w:lang w:val="zh-CN"/>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hAnsi="Cambria Math" w:eastAsia="Calibri"/>
                      <w:i/>
                      <w:sz w:val="24"/>
                      <w:lang w:val="zh-CN"/>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hAnsi="Cambria Math" w:eastAsia="Calibri"/>
                          <w:i/>
                          <w:sz w:val="24"/>
                          <w:lang w:val="zh-CN"/>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ctrlPr>
                    <w:rPr>
                      <w:rFonts w:ascii="Cambria Math" w:hAnsi="Cambria Math" w:eastAsia="Calibri"/>
                      <w:i/>
                      <w:sz w:val="24"/>
                      <w:lang w:val="zh-CN"/>
                    </w:rPr>
                  </m:ctrlPr>
                </m:e>
              </m:nary>
              <m:ctrlPr>
                <w:rPr>
                  <w:rFonts w:ascii="Cambria Math" w:hAnsi="Cambria Math" w:eastAsia="Calibri"/>
                  <w:i/>
                  <w:sz w:val="24"/>
                  <w:lang w:val="zh-CN"/>
                </w:rPr>
              </m:ctrlPr>
            </m:e>
          </m:rad>
        </m:oMath>
      </m:oMathPara>
    </w:p>
    <w:p>
      <w:pPr>
        <w:rPr>
          <w:lang w:eastAsia="zh-CN"/>
        </w:rPr>
      </w:pPr>
      <w:r>
        <w:rPr>
          <w:lang w:eastAsia="zh-CN"/>
        </w:rPr>
        <w:t>where n is</w:t>
      </w:r>
    </w:p>
    <w:p>
      <w:r>
        <w:rPr>
          <w:rFonts w:eastAsia="×–¾’©‘Ì"/>
        </w:rPr>
        <w:t>n = 20 for PUCCH, PUSCH,</w:t>
      </w:r>
      <w:r>
        <w:t xml:space="preserve"> PSDCH, PSCCH, and PSSCH,</w:t>
      </w:r>
    </w:p>
    <w:p>
      <w:pPr>
        <w:rPr>
          <w:lang w:eastAsia="zh-CN"/>
        </w:rPr>
      </w:pPr>
      <w:r>
        <w:rPr>
          <w:rFonts w:eastAsia="×–¾’©‘Ì"/>
        </w:rPr>
        <w:t xml:space="preserve">n = 48 for PBSCH. </w:t>
      </w:r>
      <w:r>
        <w:rPr>
          <w:lang w:eastAsia="zh-CN"/>
        </w:rPr>
        <w:t>The averaging is done separately for timing¦</w:t>
      </w:r>
      <w:r>
        <w:t xml:space="preserve"> </w:t>
      </w:r>
      <w:r>
        <w:rPr>
          <w:position w:val="-6"/>
        </w:rPr>
        <w:object>
          <v:shape id="_x0000_i114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6" DrawAspect="Content" ObjectID="_1468075846" r:id="rId210">
            <o:LockedField>false</o:LockedField>
          </o:OLEObject>
        </w:object>
      </w:r>
      <w:r>
        <w:t xml:space="preserve"> –W/2 and </w:t>
      </w:r>
      <w:r>
        <w:rPr>
          <w:position w:val="-6"/>
        </w:rPr>
        <w:object>
          <v:shape id="_x0000_i1147"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7" DrawAspect="Content" ObjectID="_1468075847" r:id="rId211">
            <o:LockedField>false</o:LockedField>
          </o:OLEObject>
        </w:object>
      </w:r>
      <w:r>
        <w:t xml:space="preserve"> +W/2</w:t>
      </w:r>
      <w:r>
        <w:rPr>
          <w:lang w:eastAsia="zh-CN"/>
        </w:rPr>
        <w:t xml:space="preserve"> leading to</w:t>
      </w:r>
      <w:r>
        <w:rPr>
          <w:lang w:eastAsia="zh-CN"/>
        </w:rPr>
        <w:drawing>
          <wp:inline distT="0" distB="0" distL="114300" distR="114300">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2"/>
                    <a:stretch>
                      <a:fillRect/>
                    </a:stretch>
                  </pic:blipFill>
                  <pic:spPr>
                    <a:xfrm>
                      <a:off x="0" y="0"/>
                      <a:ext cx="431800" cy="222250"/>
                    </a:xfrm>
                    <a:prstGeom prst="rect">
                      <a:avLst/>
                    </a:prstGeom>
                    <a:noFill/>
                    <a:ln>
                      <a:noFill/>
                    </a:ln>
                  </pic:spPr>
                </pic:pic>
              </a:graphicData>
            </a:graphic>
          </wp:inline>
        </w:drawing>
      </w:r>
      <w:r>
        <w:rPr>
          <w:lang w:eastAsia="zh-CN"/>
        </w:rPr>
        <w:t xml:space="preserve"> and </w:t>
      </w:r>
      <w:r>
        <w:rPr>
          <w:lang w:eastAsia="zh-CN"/>
        </w:rPr>
        <w:drawing>
          <wp:inline distT="0" distB="0" distL="114300" distR="114300">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13"/>
                    <a:stretch>
                      <a:fillRect/>
                    </a:stretch>
                  </pic:blipFill>
                  <pic:spPr>
                    <a:xfrm>
                      <a:off x="0" y="0"/>
                      <a:ext cx="469900" cy="222250"/>
                    </a:xfrm>
                    <a:prstGeom prst="rect">
                      <a:avLst/>
                    </a:prstGeom>
                    <a:noFill/>
                    <a:ln>
                      <a:noFill/>
                    </a:ln>
                  </pic:spPr>
                </pic:pic>
              </a:graphicData>
            </a:graphic>
          </wp:inline>
        </w:drawing>
      </w:r>
    </w:p>
    <w:p>
      <w:pPr>
        <w:jc w:val="both"/>
        <w:rPr>
          <w:lang w:eastAsia="zh-CN"/>
        </w:rPr>
      </w:pPr>
      <w:r>
        <w:rPr>
          <w:lang w:eastAsia="zh-CN"/>
        </w:rPr>
        <w:drawing>
          <wp:inline distT="0" distB="0" distL="114300" distR="114300">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14"/>
                    <a:stretch>
                      <a:fillRect/>
                    </a:stretch>
                  </pic:blipFill>
                  <pic:spPr>
                    <a:xfrm>
                      <a:off x="0" y="0"/>
                      <a:ext cx="2012950" cy="247650"/>
                    </a:xfrm>
                    <a:prstGeom prst="rect">
                      <a:avLst/>
                    </a:prstGeom>
                    <a:noFill/>
                    <a:ln>
                      <a:noFill/>
                    </a:ln>
                  </pic:spPr>
                </pic:pic>
              </a:graphicData>
            </a:graphic>
          </wp:inline>
        </w:drawing>
      </w:r>
      <w:r>
        <w:rPr>
          <w:lang w:eastAsia="zh-CN"/>
        </w:rPr>
        <w:t xml:space="preserve"> is compared against the test requirements.</w:t>
      </w:r>
    </w:p>
    <w:p>
      <w:pPr>
        <w:pStyle w:val="4"/>
      </w:pPr>
      <w:bookmarkStart w:id="1154" w:name="_Toc8028"/>
      <w:bookmarkStart w:id="1155" w:name="_Toc232582171"/>
      <w:r>
        <w:t>E.4.3</w:t>
      </w:r>
      <w:r>
        <w:tab/>
      </w:r>
      <w:r>
        <w:t>In-band emissions measurement</w:t>
      </w:r>
      <w:bookmarkEnd w:id="1154"/>
      <w:bookmarkEnd w:id="1155"/>
    </w:p>
    <w:p>
      <w:r>
        <w:t>The in-band emissions are a measure of the interference falling into the non-allocated resources blocks.</w:t>
      </w:r>
    </w:p>
    <w:p>
      <w:r>
        <w:t>Explanatory Note:</w:t>
      </w:r>
    </w:p>
    <w:p>
      <w:r>
        <w:t>The inband emission measurement is only meaningful with allocated RBs next to non 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r>
        <w:t>There are 3 types of inband emissions:</w:t>
      </w:r>
    </w:p>
    <w:p>
      <w:pPr>
        <w:pStyle w:val="111"/>
      </w:pPr>
      <w:r>
        <w:t>1.</w:t>
      </w:r>
      <w:r>
        <w:tab/>
      </w:r>
      <w:r>
        <w:t>General</w:t>
      </w:r>
    </w:p>
    <w:p>
      <w:pPr>
        <w:pStyle w:val="111"/>
      </w:pPr>
      <w:r>
        <w:t>2.</w:t>
      </w:r>
      <w:r>
        <w:tab/>
      </w:r>
      <w:r>
        <w:t>IQ image</w:t>
      </w:r>
    </w:p>
    <w:p>
      <w:pPr>
        <w:pStyle w:val="111"/>
      </w:pPr>
      <w:r>
        <w:t>3.</w:t>
      </w:r>
      <w:r>
        <w:tab/>
      </w:r>
      <w:r>
        <w:t>Carrier leakage</w:t>
      </w:r>
    </w:p>
    <w:p>
      <w:r>
        <w:rPr>
          <w:i/>
        </w:rPr>
        <w:t>Carrier leakage</w:t>
      </w:r>
      <w:r>
        <w:t xml:space="preserve"> are inband emissions next to the carrier.</w:t>
      </w:r>
    </w:p>
    <w:p>
      <w:r>
        <w:rPr>
          <w:i/>
        </w:rPr>
        <w:t>IQ image</w:t>
      </w:r>
      <w:r>
        <w:t xml:space="preserve"> are inband emissions symmetrically (with respect to the carrier) on the other side of the allocated RBs.</w:t>
      </w:r>
    </w:p>
    <w:p>
      <w:pPr>
        <w:rPr>
          <w:lang w:eastAsia="zh-CN"/>
        </w:rPr>
      </w:pPr>
      <w:r>
        <w:rPr>
          <w:i/>
        </w:rPr>
        <w:t>General</w:t>
      </w:r>
      <w:r>
        <w:t xml:space="preserve"> are applied to all unallocated RBs.</w:t>
      </w:r>
    </w:p>
    <w:p>
      <w:r>
        <w:rPr>
          <w:lang w:eastAsia="zh-CN"/>
        </w:rPr>
        <w:t xml:space="preserve">For each evaluated RB, the minimum requirement is </w:t>
      </w:r>
      <w:r>
        <w:t xml:space="preserve">calculated as the higher of </w:t>
      </w:r>
      <w:r>
        <w:rPr>
          <w:i/>
        </w:rPr>
        <w:t>P</w:t>
      </w:r>
      <w:r>
        <w:rPr>
          <w:i/>
          <w:vertAlign w:val="subscript"/>
        </w:rPr>
        <w:t xml:space="preserve">RB </w:t>
      </w:r>
      <w:r>
        <w:t>- 30 dB and the power sum of all limit values (General, IQ Image or Carrier leakage) that apply</w:t>
      </w:r>
      <w:r>
        <w:rPr>
          <w:lang w:eastAsia="zh-CN"/>
        </w:rPr>
        <w:t>.</w:t>
      </w:r>
    </w:p>
    <w:p>
      <w:pPr>
        <w:rPr>
          <w:lang w:eastAsia="zh-CN"/>
        </w:rPr>
      </w:pPr>
      <w:r>
        <w:rPr>
          <w:lang w:eastAsia="zh-CN"/>
        </w:rPr>
        <w:t>In specific the following combinations:</w:t>
      </w:r>
    </w:p>
    <w:p>
      <w:pPr>
        <w:pStyle w:val="111"/>
      </w:pPr>
      <w:r>
        <w:t>-</w:t>
      </w:r>
      <w:r>
        <w:tab/>
      </w:r>
      <w:r>
        <w:t>Power (General)</w:t>
      </w:r>
    </w:p>
    <w:p>
      <w:pPr>
        <w:pStyle w:val="111"/>
      </w:pPr>
      <w:r>
        <w:t>-</w:t>
      </w:r>
      <w:r>
        <w:tab/>
      </w:r>
      <w:r>
        <w:t>Power (General + Carrier leakage)</w:t>
      </w:r>
    </w:p>
    <w:p>
      <w:pPr>
        <w:pStyle w:val="111"/>
      </w:pPr>
      <w:r>
        <w:t>-</w:t>
      </w:r>
      <w:r>
        <w:tab/>
      </w:r>
      <w:r>
        <w:t>Power (General + IQ Image)</w:t>
      </w:r>
    </w:p>
    <w:p>
      <w:pPr>
        <w:pStyle w:val="111"/>
      </w:pPr>
      <w:r>
        <w:tab/>
      </w:r>
      <w:r>
        <w:t>1 and 2 is expressed in terms of power in one non allocated RB under test, normalized to the average power of an allocated RB (unit dB).</w:t>
      </w:r>
    </w:p>
    <w:p>
      <w:pPr>
        <w:pStyle w:val="111"/>
      </w:pPr>
      <w:r>
        <w:tab/>
      </w:r>
      <w:r>
        <w:t>3 is expressed in terms of power in one non allocated RB, normalized to the power of all allocated RBs. (unit dBc).</w:t>
      </w:r>
    </w:p>
    <w:p>
      <w:r>
        <w:t xml:space="preserve">This is the reason for two formulas </w:t>
      </w:r>
      <w:r>
        <w:rPr>
          <w:i/>
        </w:rPr>
        <w:t xml:space="preserve">Emissions </w:t>
      </w:r>
      <w:r>
        <w:rPr>
          <w:i/>
          <w:vertAlign w:val="subscript"/>
        </w:rPr>
        <w:t>relative</w:t>
      </w:r>
      <w:r>
        <w:t>.</w:t>
      </w:r>
    </w:p>
    <w:p>
      <w:r>
        <w:t>Create one set of Y(t,f) per slot according to the timing “</w:t>
      </w:r>
      <w:r>
        <w:rPr>
          <w:position w:val="-6"/>
        </w:rPr>
        <w:object>
          <v:shape id="_x0000_i1148"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48" DrawAspect="Content" ObjectID="_1468075848" r:id="rId215">
            <o:LockedField>false</o:LockedField>
          </o:OLEObject>
        </w:object>
      </w:r>
      <w:r>
        <w:t>”</w:t>
      </w:r>
    </w:p>
    <w:p>
      <w:r>
        <w:t>For the non-allocated RBs below the in-band emissions are calculated as follows</w:t>
      </w:r>
    </w:p>
    <w:p>
      <w:pPr>
        <w:pStyle w:val="95"/>
        <w:jc w:val="center"/>
      </w:pPr>
      <w:r>
        <w:object>
          <v:shape id="_x0000_i1149" o:spt="75" type="#_x0000_t75" style="height:72pt;width:324.55pt;" o:ole="t" filled="f" o:preferrelative="t" stroked="f" coordsize="21600,21600">
            <v:path/>
            <v:fill on="f" focussize="0,0"/>
            <v:stroke on="f" joinstyle="miter"/>
            <v:imagedata r:id="rId217" o:title=""/>
            <o:lock v:ext="edit" aspectratio="t"/>
            <w10:wrap type="none"/>
            <w10:anchorlock/>
          </v:shape>
          <o:OLEObject Type="Embed" ProgID="Equation.3" ShapeID="_x0000_i1149" DrawAspect="Content" ObjectID="_1468075849" r:id="rId216">
            <o:LockedField>false</o:LockedField>
          </o:OLEObject>
        </w:object>
      </w:r>
      <w:r>
        <w:t>,</w:t>
      </w:r>
    </w:p>
    <w:p>
      <w:r>
        <w:t>where</w:t>
      </w:r>
    </w:p>
    <w:p>
      <w:r>
        <w:t>the upper formula represents the in band emissions below the allocated frequency block and the lower one the in band emissions above the allocated frequency block.</w:t>
      </w:r>
    </w:p>
    <w:p>
      <w:r>
        <w:rPr>
          <w:position w:val="-12"/>
        </w:rPr>
        <w:object>
          <v:shape id="_x0000_i1150" o:spt="75" type="#_x0000_t75" style="height:19.1pt;width:13.1pt;" o:ole="t" filled="f" o:preferrelative="t" stroked="f" coordsize="21600,21600">
            <v:path/>
            <v:fill on="f" focussize="0,0"/>
            <v:stroke on="f" joinstyle="miter"/>
            <v:imagedata r:id="rId219" o:title=""/>
            <o:lock v:ext="edit" aspectratio="t"/>
            <w10:wrap type="none"/>
            <w10:anchorlock/>
          </v:shape>
          <o:OLEObject Type="Embed" ProgID="Equation.3" ShapeID="_x0000_i1150" DrawAspect="Content" ObjectID="_1468075850" r:id="rId218">
            <o:LockedField>false</o:LockedField>
          </o:OLEObject>
        </w:object>
      </w:r>
      <w:r>
        <w:rPr>
          <w:i/>
        </w:rPr>
        <w:t xml:space="preserve"> </w:t>
      </w:r>
      <w:r>
        <w:t xml:space="preserve">is a set of </w:t>
      </w:r>
      <w:r>
        <w:rPr>
          <w:position w:val="-14"/>
          <w:sz w:val="24"/>
          <w:szCs w:val="24"/>
        </w:rPr>
        <w:object>
          <v:shape id="_x0000_i1151" o:spt="75" type="#_x0000_t75" style="height:20.75pt;width:17.45pt;" o:ole="t" filled="f" o:preferrelative="t" stroked="f" coordsize="21600,21600">
            <v:path/>
            <v:fill on="f" focussize="0,0"/>
            <v:stroke on="f" joinstyle="miter"/>
            <v:imagedata r:id="rId221" o:title=""/>
            <o:lock v:ext="edit" aspectratio="t"/>
            <w10:wrap type="none"/>
            <w10:anchorlock/>
          </v:shape>
          <o:OLEObject Type="Embed" ProgID="Equation.3" ShapeID="_x0000_i1151" DrawAspect="Content" ObjectID="_1468075851" r:id="rId220">
            <o:LockedField>false</o:LockedField>
          </o:OLEObject>
        </w:object>
      </w:r>
      <w:r>
        <w:t>SC-FDMA symbols with the considered modulation scheme being active within the measurement period,</w:t>
      </w:r>
    </w:p>
    <w:p>
      <w:r>
        <w:rPr>
          <w:position w:val="-10"/>
        </w:rPr>
        <w:object>
          <v:shape id="_x0000_i1152" o:spt="75" type="#_x0000_t75" style="height:15.25pt;width:20.75pt;" o:ole="t" filled="f" o:preferrelative="t" stroked="f" coordsize="21600,21600">
            <v:path/>
            <v:fill on="f" focussize="0,0"/>
            <v:stroke on="f" joinstyle="miter"/>
            <v:imagedata r:id="rId52" o:title=""/>
            <o:lock v:ext="edit" aspectratio="t"/>
            <w10:wrap type="none"/>
            <w10:anchorlock/>
          </v:shape>
          <o:OLEObject Type="Embed" ProgID="Equation.3" ShapeID="_x0000_i1152" DrawAspect="Content" ObjectID="_1468075852" r:id="rId222">
            <o:LockedField>false</o:LockedField>
          </o:OLEObject>
        </w:object>
      </w:r>
      <w:r>
        <w:t xml:space="preserve"> is the starting frequency offset between the allocated RB and the measured non-allocated RB (e.g. </w:t>
      </w:r>
      <w:r>
        <w:rPr>
          <w:position w:val="-10"/>
        </w:rPr>
        <w:object>
          <v:shape id="_x0000_i1153" o:spt="75" type="#_x0000_t75" style="height:17.45pt;width:38.75pt;" o:ole="t" filled="f" o:preferrelative="t" stroked="f" coordsize="21600,21600">
            <v:path/>
            <v:fill on="f" focussize="0,0"/>
            <v:stroke on="f" joinstyle="miter"/>
            <v:imagedata r:id="rId54" o:title=""/>
            <o:lock v:ext="edit" aspectratio="t"/>
            <w10:wrap type="none"/>
            <w10:anchorlock/>
          </v:shape>
          <o:OLEObject Type="Embed" ProgID="Equation.3" ShapeID="_x0000_i1153" DrawAspect="Content" ObjectID="_1468075853" r:id="rId223">
            <o:LockedField>false</o:LockedField>
          </o:OLEObject>
        </w:object>
      </w:r>
      <w:r>
        <w:t xml:space="preserve"> for the first upper or </w:t>
      </w:r>
      <w:r>
        <w:rPr>
          <w:position w:val="-10"/>
        </w:rPr>
        <w:object>
          <v:shape id="_x0000_i1154" o:spt="75" type="#_x0000_t75" style="height:17.45pt;width:46.35pt;" o:ole="t" filled="f" o:preferrelative="t" stroked="f" coordsize="21600,21600">
            <v:path/>
            <v:fill on="f" focussize="0,0"/>
            <v:stroke on="f" joinstyle="miter"/>
            <v:imagedata r:id="rId56" o:title=""/>
            <o:lock v:ext="edit" aspectratio="t"/>
            <w10:wrap type="none"/>
            <w10:anchorlock/>
          </v:shape>
          <o:OLEObject Type="Embed" ProgID="Equation.3" ShapeID="_x0000_i1154" DrawAspect="Content" ObjectID="_1468075854" r:id="rId224">
            <o:LockedField>false</o:LockedField>
          </o:OLEObject>
        </w:object>
      </w:r>
      <w:r>
        <w:t xml:space="preserve"> for the first lower adjacent RB),</w:t>
      </w:r>
    </w:p>
    <w:p>
      <w:pPr>
        <w:rPr>
          <w:lang w:eastAsia="zh-CN"/>
        </w:rPr>
      </w:pPr>
      <w:r>
        <w:rPr>
          <w:position w:val="-10"/>
        </w:rPr>
        <w:object>
          <v:shape id="_x0000_i1155" o:spt="75" type="#_x0000_t75" style="height:15.25pt;width:20.75pt;" o:ole="t" filled="f" o:preferrelative="t" stroked="f" coordsize="21600,21600">
            <v:path/>
            <v:fill on="f" focussize="0,0"/>
            <v:stroke on="f" joinstyle="miter"/>
            <v:imagedata r:id="rId226" o:title=""/>
            <o:lock v:ext="edit" aspectratio="t"/>
            <w10:wrap type="none"/>
            <w10:anchorlock/>
          </v:shape>
          <o:OLEObject Type="Embed" ProgID="Equation.3" ShapeID="_x0000_i1155" DrawAspect="Content" ObjectID="_1468075855" r:id="rId225">
            <o:LockedField>false</o:LockedField>
          </o:OLEObject>
        </w:object>
      </w:r>
      <w:r>
        <w:rPr>
          <w:lang w:eastAsia="zh-CN"/>
        </w:rPr>
        <w:t xml:space="preserve">and </w:t>
      </w:r>
      <w:r>
        <w:rPr>
          <w:position w:val="-12"/>
        </w:rPr>
        <w:object>
          <v:shape id="_x0000_i1156" o:spt="75" type="#_x0000_t75" style="height:19.1pt;width:21.8pt;" o:ole="t" filled="f" o:preferrelative="t" stroked="f" coordsize="21600,21600">
            <v:path/>
            <v:fill on="f" focussize="0,0"/>
            <v:stroke on="f" joinstyle="miter"/>
            <v:imagedata r:id="rId228" o:title=""/>
            <o:lock v:ext="edit" aspectratio="t"/>
            <w10:wrap type="none"/>
            <w10:anchorlock/>
          </v:shape>
          <o:OLEObject Type="Embed" ProgID="Equation.3" ShapeID="_x0000_i1156" DrawAspect="Content" ObjectID="_1468075856" r:id="rId227">
            <o:LockedField>false</o:LockedField>
          </o:OLEObject>
        </w:object>
      </w:r>
      <w:r>
        <w:rPr>
          <w:lang w:eastAsia="zh-CN"/>
        </w:rPr>
        <w:t>are the lower and upper edge of the UL transmission BW configuration,</w:t>
      </w:r>
    </w:p>
    <w:p>
      <w:pPr>
        <w:rPr>
          <w:lang w:eastAsia="zh-CN"/>
        </w:rPr>
      </w:pPr>
      <w:r>
        <w:rPr>
          <w:position w:val="-12"/>
        </w:rPr>
        <w:object>
          <v:shape id="_x0000_i1157" o:spt="75" type="#_x0000_t75" style="height:19.1pt;width:11.45pt;" o:ole="t" filled="f" o:preferrelative="t" stroked="f" coordsize="21600,21600">
            <v:path/>
            <v:fill on="f" focussize="0,0"/>
            <v:stroke on="f" joinstyle="miter"/>
            <v:imagedata r:id="rId230" o:title=""/>
            <o:lock v:ext="edit" aspectratio="t"/>
            <w10:wrap type="none"/>
            <w10:anchorlock/>
          </v:shape>
          <o:OLEObject Type="Embed" ProgID="Equation.3" ShapeID="_x0000_i1157" DrawAspect="Content" ObjectID="_1468075857" r:id="rId229">
            <o:LockedField>false</o:LockedField>
          </o:OLEObject>
        </w:object>
      </w:r>
      <w:r>
        <w:rPr>
          <w:lang w:eastAsia="zh-CN"/>
        </w:rPr>
        <w:t xml:space="preserve"> and </w:t>
      </w:r>
      <w:r>
        <w:rPr>
          <w:position w:val="-12"/>
        </w:rPr>
        <w:object>
          <v:shape id="_x0000_i1158" o:spt="75" type="#_x0000_t75" style="height:19.1pt;width:15.25pt;" o:ole="t" filled="f" o:preferrelative="t" stroked="f" coordsize="21600,21600">
            <v:path/>
            <v:fill on="f" focussize="0,0"/>
            <v:stroke on="f" joinstyle="miter"/>
            <v:imagedata r:id="rId232" o:title=""/>
            <o:lock v:ext="edit" aspectratio="t"/>
            <w10:wrap type="none"/>
            <w10:anchorlock/>
          </v:shape>
          <o:OLEObject Type="Embed" ProgID="Equation.3" ShapeID="_x0000_i1158" DrawAspect="Content" ObjectID="_1468075858" r:id="rId231">
            <o:LockedField>false</o:LockedField>
          </o:OLEObject>
        </w:object>
      </w:r>
      <w:r>
        <w:rPr>
          <w:lang w:eastAsia="zh-CN"/>
        </w:rPr>
        <w:t xml:space="preserve"> are </w:t>
      </w:r>
      <w:r>
        <w:t xml:space="preserve">the lower </w:t>
      </w:r>
      <w:r>
        <w:rPr>
          <w:lang w:eastAsia="zh-CN"/>
        </w:rPr>
        <w:t xml:space="preserve">and upper </w:t>
      </w:r>
      <w:r>
        <w:t>edge of the allocated BW,</w:t>
      </w:r>
    </w:p>
    <w:p>
      <w:r>
        <w:rPr>
          <w:position w:val="-14"/>
        </w:rPr>
        <w:object>
          <v:shape id="_x0000_i1159" o:spt="75" type="#_x0000_t75" style="height:19.1pt;width:19.1pt;" o:ole="t" filled="f" o:preferrelative="t" stroked="f" coordsize="21600,21600">
            <v:path/>
            <v:fill on="f" focussize="0,0"/>
            <v:stroke on="f" joinstyle="miter"/>
            <v:imagedata r:id="rId234" o:title=""/>
            <o:lock v:ext="edit" aspectratio="t"/>
            <w10:wrap type="none"/>
            <w10:anchorlock/>
          </v:shape>
          <o:OLEObject Type="Embed" ProgID="Equation.3" ShapeID="_x0000_i1159" DrawAspect="Content" ObjectID="_1468075859" r:id="rId233">
            <o:LockedField>false</o:LockedField>
          </o:OLEObject>
        </w:object>
      </w:r>
      <w:r>
        <w:rPr>
          <w:lang w:eastAsia="zh-CN"/>
        </w:rPr>
        <w:t>is 15kHz,and</w:t>
      </w:r>
    </w:p>
    <w:p>
      <w:r>
        <w:rPr>
          <w:position w:val="-10"/>
        </w:rPr>
        <w:object>
          <v:shape id="_x0000_i1160" o:spt="75" type="#_x0000_t75" style="height:16.9pt;width:32.2pt;" o:ole="t" filled="f" o:preferrelative="t" stroked="f" coordsize="21600,21600">
            <v:path/>
            <v:fill on="f" focussize="0,0"/>
            <v:stroke on="f" joinstyle="miter"/>
            <v:imagedata r:id="rId236" o:title=""/>
            <o:lock v:ext="edit" aspectratio="t"/>
            <w10:wrap type="none"/>
            <w10:anchorlock/>
          </v:shape>
          <o:OLEObject Type="Embed" ProgID="Equation.3" ShapeID="_x0000_i1160" DrawAspect="Content" ObjectID="_1468075860" r:id="rId235">
            <o:LockedField>false</o:LockedField>
          </o:OLEObject>
        </w:object>
      </w:r>
      <w:r>
        <w:t xml:space="preserve"> is the frequency domain signal evaluated for in-band emissions as defined in the subsection E.3.3</w:t>
      </w:r>
    </w:p>
    <w:p>
      <w:r>
        <w:t>The allocated RB power per RB and the total allocated RB power are given by:</w:t>
      </w:r>
    </w:p>
    <w:p>
      <w:pPr>
        <w:pStyle w:val="95"/>
      </w:pPr>
      <w:r>
        <w:tab/>
      </w:r>
      <w:r>
        <w:rPr>
          <w:position w:val="-32"/>
        </w:rPr>
        <w:object>
          <v:shape id="_x0000_i1161" o:spt="75" type="#_x0000_t75" style="height:48pt;width:365.45pt;" o:ole="t" filled="f" o:preferrelative="t" stroked="f" coordsize="21600,21600">
            <v:path/>
            <v:fill on="f" focussize="0,0"/>
            <v:stroke on="f" joinstyle="miter"/>
            <v:imagedata r:id="rId238" o:title=""/>
            <o:lock v:ext="edit" aspectratio="t"/>
            <w10:wrap type="none"/>
            <w10:anchorlock/>
          </v:shape>
          <o:OLEObject Type="Embed" ProgID="Equation.3" ShapeID="_x0000_i1161" DrawAspect="Content" ObjectID="_1468075861" r:id="rId237">
            <o:LockedField>false</o:LockedField>
          </o:OLEObject>
        </w:object>
      </w:r>
    </w:p>
    <w:p>
      <w:pPr>
        <w:pStyle w:val="95"/>
      </w:pPr>
      <w:r>
        <w:tab/>
      </w:r>
      <w:r>
        <w:rPr>
          <w:position w:val="-30"/>
        </w:rPr>
        <w:object>
          <v:shape id="_x0000_i1162" o:spt="75" type="#_x0000_t75" style="height:44.2pt;width:262.9pt;" o:ole="t" filled="f" o:preferrelative="t" stroked="f" coordsize="21600,21600">
            <v:path/>
            <v:fill on="f" focussize="0,0"/>
            <v:stroke on="f" joinstyle="miter"/>
            <v:imagedata r:id="rId240" o:title=""/>
            <o:lock v:ext="edit" aspectratio="t"/>
            <w10:wrap type="none"/>
            <w10:anchorlock/>
          </v:shape>
          <o:OLEObject Type="Embed" ProgID="Equation.3" ShapeID="_x0000_i1162" DrawAspect="Content" ObjectID="_1468075862" r:id="rId239">
            <o:LockedField>false</o:LockedField>
          </o:OLEObject>
        </w:object>
      </w:r>
    </w:p>
    <w:p>
      <w:r>
        <w:t>The relative in-band emissions, applicable for General and IQ image, are given by:</w:t>
      </w:r>
    </w:p>
    <w:p>
      <w:pPr>
        <w:pStyle w:val="95"/>
      </w:pPr>
      <w:r>
        <w:tab/>
      </w:r>
      <w:r>
        <w:rPr>
          <w:position w:val="-64"/>
        </w:rPr>
        <w:object>
          <v:shape id="_x0000_i1163" o:spt="75" type="#_x0000_t75" style="height:85.1pt;width:477.25pt;" o:ole="t" filled="f" o:preferrelative="t" stroked="f" coordsize="21600,21600">
            <v:path/>
            <v:fill on="f" focussize="0,0"/>
            <v:stroke on="f" joinstyle="miter"/>
            <v:imagedata r:id="rId242" o:title=""/>
            <o:lock v:ext="edit" aspectratio="t"/>
            <w10:wrap type="none"/>
            <w10:anchorlock/>
          </v:shape>
          <o:OLEObject Type="Embed" ProgID="Equation.3" ShapeID="_x0000_i1163" DrawAspect="Content" ObjectID="_1468075863" r:id="rId241">
            <o:LockedField>false</o:LockedField>
          </o:OLEObject>
        </w:object>
      </w:r>
    </w:p>
    <w:p>
      <w:r>
        <w:t>where</w:t>
      </w:r>
    </w:p>
    <w:p>
      <w:r>
        <w:rPr>
          <w:position w:val="-10"/>
        </w:rPr>
        <w:object>
          <v:shape id="_x0000_i1164"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64" DrawAspect="Content" ObjectID="_1468075864" r:id="rId243">
            <o:LockedField>false</o:LockedField>
          </o:OLEObject>
        </w:object>
      </w:r>
      <w:r>
        <w:t xml:space="preserve"> is the number of allocated resource blocks,</w:t>
      </w:r>
    </w:p>
    <w:p>
      <w:pPr>
        <w:rPr>
          <w:lang w:eastAsia="zh-CN"/>
        </w:rPr>
      </w:pPr>
      <w:r>
        <w:rPr>
          <w:lang w:eastAsia="zh-CN"/>
        </w:rPr>
        <w:t>and</w:t>
      </w:r>
    </w:p>
    <w:p>
      <w:pPr>
        <w:rPr>
          <w:lang w:eastAsia="zh-CN"/>
        </w:rPr>
      </w:pPr>
      <w:r>
        <w:rPr>
          <w:position w:val="-10"/>
        </w:rPr>
        <w:object>
          <v:shape id="_x0000_i1165" o:spt="75" type="#_x0000_t75" style="height:16.9pt;width:41.45pt;" o:ole="t" filled="f" o:preferrelative="t" stroked="f" coordsize="21600,21600">
            <v:path/>
            <v:fill on="f" focussize="0,0"/>
            <v:stroke on="f" joinstyle="miter"/>
            <v:imagedata r:id="rId245" o:title=""/>
            <o:lock v:ext="edit" aspectratio="t"/>
            <w10:wrap type="none"/>
            <w10:anchorlock/>
          </v:shape>
          <o:OLEObject Type="Embed" ProgID="Equation.3" ShapeID="_x0000_i1165" DrawAspect="Content" ObjectID="_1468075865" r:id="rId244">
            <o:LockedField>false</o:LockedField>
          </o:OLEObject>
        </w:object>
      </w:r>
      <w:r>
        <w:rPr>
          <w:lang w:eastAsia="zh-CN"/>
        </w:rPr>
        <w:t xml:space="preserve"> is the frequency domain samples for the allocated bandwidth, as defined in the subsection E.3.3.</w:t>
      </w:r>
    </w:p>
    <w:p>
      <w:r>
        <w:t>The relative in-band emissions, applicable for carrier leakage, is given by:</w:t>
      </w:r>
    </w:p>
    <w:p>
      <w:pPr>
        <w:pStyle w:val="95"/>
      </w:pPr>
      <w:r>
        <w:tab/>
      </w:r>
      <w:r>
        <w:rPr>
          <w:position w:val="-54"/>
        </w:rPr>
        <w:object>
          <v:shape id="_x0000_i1166" o:spt="75" type="#_x0000_t75" style="height:69.25pt;width:350.75pt;" o:ole="t" filled="f" o:preferrelative="t" stroked="f" coordsize="21600,21600">
            <v:path/>
            <v:fill on="f" focussize="0,0"/>
            <v:stroke on="f" joinstyle="miter"/>
            <v:imagedata r:id="rId247" o:title=""/>
            <o:lock v:ext="edit" aspectratio="t"/>
            <w10:wrap type="none"/>
            <w10:anchorlock/>
          </v:shape>
          <o:OLEObject Type="Embed" ProgID="Equation.3" ShapeID="_x0000_i1166" DrawAspect="Content" ObjectID="_1468075866" r:id="rId246">
            <o:LockedField>false</o:LockedField>
          </o:OLEObject>
        </w:object>
      </w:r>
    </w:p>
    <w:p>
      <w:r>
        <w:t>where RBnextDC means: Resource Block next to the carrier.</w:t>
      </w:r>
    </w:p>
    <w:p>
      <w:r>
        <w:t>This is one RB, namely the central one in case of an odd number of RBs in the channel BW.</w:t>
      </w:r>
    </w:p>
    <w:p>
      <w:r>
        <w:t>This is one pair of RBs, namely the immediately adjacent RBs to the carrier in case of an even number of RBs in the channel BW.</w:t>
      </w:r>
    </w:p>
    <w:p>
      <w:pPr>
        <w:rPr>
          <w:rFonts w:eastAsia="MS Mincho"/>
        </w:rPr>
      </w:pPr>
      <w:r>
        <w:t>Although an exclusion period may be applicable in the time domain, when evaluating EVM (clause E.7), the inband emissions</w:t>
      </w:r>
      <w:r>
        <w:rPr>
          <w:rFonts w:eastAsia="MS Mincho"/>
        </w:rPr>
        <w:t xml:space="preserve"> measurement interval is </w:t>
      </w:r>
      <w:r>
        <w:t>defined over one complete slot in the time domain.</w:t>
      </w:r>
    </w:p>
    <w:p>
      <w:pPr>
        <w:rPr>
          <w:rFonts w:eastAsia="MS Mincho"/>
        </w:rPr>
      </w:pPr>
      <w:r>
        <w:rPr>
          <w:rFonts w:eastAsia="MS Mincho"/>
        </w:rPr>
        <w:t>From the acquired samples 20 functions for general in band emissions and IQ image inband emissions can be derived. 20 values or 20 pairs of carrier leakage inband emissions can be derived. They are compared against different limits.</w:t>
      </w:r>
    </w:p>
    <w:p>
      <w:pPr>
        <w:pStyle w:val="4"/>
      </w:pPr>
      <w:bookmarkStart w:id="1156" w:name="_Toc232582172"/>
      <w:bookmarkStart w:id="1157" w:name="_Toc13881"/>
      <w:r>
        <w:t>E.4.4</w:t>
      </w:r>
      <w:r>
        <w:tab/>
      </w:r>
      <w:r>
        <w:t>EVM equalizer spectrum flatness</w:t>
      </w:r>
      <w:bookmarkEnd w:id="1156"/>
      <w:bookmarkEnd w:id="1157"/>
    </w:p>
    <w:p>
      <w:r>
        <w:t>For EVM equalizer spectrum flatness use EC(f) as defined in E.3.3. Note, EC(f) represents</w:t>
      </w:r>
      <w:r>
        <w:rPr>
          <w:lang w:eastAsia="zh-CN"/>
        </w:rPr>
        <w:t xml:space="preserve"> </w:t>
      </w:r>
      <w:r>
        <w:t>equalizer coefficient</w:t>
      </w:r>
      <w:r>
        <w:rPr>
          <w:lang w:eastAsia="zh-CN"/>
        </w:rPr>
        <w:t xml:space="preserve"> </w:t>
      </w:r>
      <w:r>
        <w:rPr>
          <w:position w:val="-8"/>
        </w:rPr>
        <w:object>
          <v:shape id="_x0000_i1167" o:spt="75" type="#_x0000_t75" style="height:21.25pt;width:33.25pt;" o:ole="t" filled="f" o:preferrelative="t" stroked="f" coordsize="21600,21600">
            <v:path/>
            <v:fill on="f" focussize="0,0"/>
            <v:stroke on="f" joinstyle="miter"/>
            <v:imagedata r:id="rId249" o:title=""/>
            <o:lock v:ext="edit" aspectratio="t"/>
            <w10:wrap type="none"/>
            <w10:anchorlock/>
          </v:shape>
          <o:OLEObject Type="Embed" ProgID="Equation.3" ShapeID="_x0000_i1167" DrawAspect="Content" ObjectID="_1468075867" r:id="rId248">
            <o:LockedField>false</o:LockedField>
          </o:OLEObject>
        </w:object>
      </w:r>
      <w:r>
        <w:rPr>
          <w:lang w:eastAsia="zh-CN"/>
        </w:rPr>
        <w:t>，f is the allocated subcarriers within the transmission bandwidth (</w:t>
      </w:r>
      <w:r>
        <w:t>(</w:t>
      </w:r>
      <w:r>
        <w:rPr>
          <w:sz w:val="18"/>
        </w:rPr>
        <w:t>|</w:t>
      </w:r>
      <w:r>
        <w:rPr>
          <w:sz w:val="18"/>
          <w:lang w:eastAsia="zh-CN"/>
        </w:rPr>
        <w:t>F</w:t>
      </w:r>
      <w:r>
        <w:rPr>
          <w:sz w:val="18"/>
        </w:rPr>
        <w:t>|=</w:t>
      </w:r>
      <w:r>
        <w:t>12*</w:t>
      </w:r>
      <w:r>
        <w:rPr>
          <w:position w:val="-10"/>
        </w:rPr>
        <w:object>
          <v:shape id="_x0000_i1168"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68" DrawAspect="Content" ObjectID="_1468075868" r:id="rId250">
            <o:LockedField>false</o:LockedField>
          </o:OLEObject>
        </w:object>
      </w:r>
      <w:r>
        <w:rPr>
          <w:lang w:eastAsia="zh-CN"/>
        </w:rPr>
        <w:t>)</w:t>
      </w:r>
    </w:p>
    <w:p>
      <w:pPr>
        <w:rPr>
          <w:lang w:eastAsia="zh-CN"/>
        </w:rPr>
      </w:pPr>
      <w:r>
        <w:t xml:space="preserve">From the acquired samples 20 functions </w:t>
      </w:r>
      <w:r>
        <w:rPr>
          <w:lang w:eastAsia="zh-CN"/>
        </w:rPr>
        <w:t>EC</w:t>
      </w:r>
      <w:r>
        <w:t>(f) can be derived.</w:t>
      </w:r>
    </w:p>
    <w:p>
      <w:pPr>
        <w:rPr>
          <w:lang w:eastAsia="zh-CN"/>
        </w:rPr>
      </w:pPr>
      <w:r>
        <w:rPr>
          <w:lang w:eastAsia="zh-CN"/>
        </w:rPr>
        <w:t>EC(f) is broken down to 2 functions:</w:t>
      </w:r>
    </w:p>
    <w:p>
      <w:pPr>
        <w:pStyle w:val="95"/>
        <w:rPr>
          <w:lang w:eastAsia="zh-CN"/>
        </w:rPr>
      </w:pPr>
      <w:r>
        <w:rPr>
          <w:lang w:eastAsia="zh-CN"/>
        </w:rPr>
        <w:tab/>
      </w:r>
      <w:r>
        <w:rPr>
          <w:position w:val="-28"/>
          <w:lang w:eastAsia="zh-CN"/>
        </w:rPr>
        <w:object>
          <v:shape id="_x0000_i1169" o:spt="75" type="#_x0000_t75" style="height:46.35pt;width:138.55pt;" o:ole="t" filled="f" o:preferrelative="t" stroked="f" coordsize="21600,21600">
            <v:path/>
            <v:fill on="f" focussize="0,0"/>
            <v:stroke on="f" joinstyle="miter"/>
            <v:imagedata r:id="rId252" o:title=""/>
            <o:lock v:ext="edit" aspectratio="t"/>
            <w10:wrap type="none"/>
            <w10:anchorlock/>
          </v:shape>
          <o:OLEObject Type="Embed" ProgID="Equation.3" ShapeID="_x0000_i1169" DrawAspect="Content" ObjectID="_1468075869" r:id="rId251">
            <o:LockedField>false</o:LockedField>
          </o:OLEObject>
        </w:object>
      </w:r>
    </w:p>
    <w:p>
      <w:pPr>
        <w:pStyle w:val="95"/>
        <w:rPr>
          <w:lang w:eastAsia="zh-CN"/>
        </w:rPr>
      </w:pPr>
      <w:r>
        <w:rPr>
          <w:lang w:eastAsia="zh-CN"/>
        </w:rPr>
        <w:tab/>
      </w:r>
      <w:r>
        <w:rPr>
          <w:position w:val="-28"/>
          <w:lang w:eastAsia="zh-CN"/>
        </w:rPr>
        <w:object>
          <v:shape id="_x0000_i1170" o:spt="75" type="#_x0000_t75" style="height:46.35pt;width:142.9pt;" o:ole="t" filled="f" o:preferrelative="t" stroked="f" coordsize="21600,21600">
            <v:path/>
            <v:fill on="f" focussize="0,0"/>
            <v:stroke on="f" joinstyle="miter"/>
            <v:imagedata r:id="rId254" o:title=""/>
            <o:lock v:ext="edit" aspectratio="t"/>
            <w10:wrap type="none"/>
            <w10:anchorlock/>
          </v:shape>
          <o:OLEObject Type="Embed" ProgID="Equation.3" ShapeID="_x0000_i1170" DrawAspect="Content" ObjectID="_1468075870" r:id="rId253">
            <o:LockedField>false</o:LockedField>
          </o:OLEObject>
        </w:object>
      </w:r>
    </w:p>
    <w:p>
      <w:pPr>
        <w:rPr>
          <w:lang w:eastAsia="zh-CN"/>
        </w:rPr>
      </w:pPr>
      <w:r>
        <w:rPr>
          <w:lang w:eastAsia="zh-CN"/>
        </w:rPr>
        <w:t xml:space="preserve">Where Range 1 and Range 2 are as defined in </w:t>
      </w:r>
      <w:r>
        <w:rPr>
          <w:rFonts w:eastAsia="Osaka"/>
        </w:rPr>
        <w:t>Table 6.5.2.4.</w:t>
      </w:r>
      <w:r>
        <w:rPr>
          <w:lang w:eastAsia="zh-CN"/>
        </w:rPr>
        <w:t>5</w:t>
      </w:r>
      <w:r>
        <w:rPr>
          <w:rFonts w:eastAsia="Osaka"/>
        </w:rPr>
        <w:t>-1</w:t>
      </w:r>
      <w:r>
        <w:rPr>
          <w:lang w:eastAsia="zh-CN"/>
        </w:rPr>
        <w:t xml:space="preserve"> for normal condition and </w:t>
      </w:r>
      <w:r>
        <w:rPr>
          <w:rFonts w:eastAsia="Osaka"/>
        </w:rPr>
        <w:t>Table 6.5.2.4.</w:t>
      </w:r>
      <w:r>
        <w:rPr>
          <w:lang w:eastAsia="zh-CN"/>
        </w:rPr>
        <w:t>5</w:t>
      </w:r>
      <w:r>
        <w:rPr>
          <w:rFonts w:eastAsia="Osaka"/>
        </w:rPr>
        <w:t>-</w:t>
      </w:r>
      <w:r>
        <w:rPr>
          <w:lang w:eastAsia="zh-CN"/>
        </w:rPr>
        <w:t>2 for extreme condition</w:t>
      </w:r>
    </w:p>
    <w:p>
      <w:pPr>
        <w:rPr>
          <w:lang w:eastAsia="zh-CN"/>
        </w:rPr>
      </w:pPr>
      <w:r>
        <w:rPr>
          <w:lang w:eastAsia="zh-CN"/>
        </w:rPr>
        <w:t>The following peak to peak ripple is calculated:</w:t>
      </w:r>
    </w:p>
    <w:p>
      <w:pPr>
        <w:pStyle w:val="95"/>
        <w:rPr>
          <w:lang w:eastAsia="zh-CN"/>
        </w:rPr>
      </w:pPr>
      <w:r>
        <w:rPr>
          <w:position w:val="-10"/>
        </w:rPr>
        <w:object>
          <v:shape id="_x0000_i1171" o:spt="75" type="#_x0000_t75" style="height:17.45pt;width:234pt;" o:ole="t" filled="f" o:preferrelative="t" stroked="f" coordsize="21600,21600">
            <v:path/>
            <v:fill on="f" focussize="0,0"/>
            <v:stroke on="f" joinstyle="miter"/>
            <v:imagedata r:id="rId256" o:title=""/>
            <o:lock v:ext="edit" aspectratio="t"/>
            <w10:wrap type="none"/>
            <w10:anchorlock/>
          </v:shape>
          <o:OLEObject Type="Embed" ProgID="Equation.3" ShapeID="_x0000_i1171" DrawAspect="Content" ObjectID="_1468075871" r:id="rId255">
            <o:LockedField>false</o:LockedField>
          </o:OLEObject>
        </w:object>
      </w:r>
      <w:r>
        <w:rPr>
          <w:lang w:eastAsia="zh-CN"/>
        </w:rPr>
        <w:t xml:space="preserve"> ,which denote the maximum ripple in Range 1</w:t>
      </w:r>
    </w:p>
    <w:p>
      <w:pPr>
        <w:pStyle w:val="95"/>
        <w:rPr>
          <w:lang w:eastAsia="zh-CN"/>
        </w:rPr>
      </w:pPr>
      <w:r>
        <w:rPr>
          <w:position w:val="-10"/>
        </w:rPr>
        <w:object>
          <v:shape id="_x0000_i1172" o:spt="75" type="#_x0000_t75" style="height:17.45pt;width:237.8pt;" o:ole="t" filled="f" o:preferrelative="t" stroked="f" coordsize="21600,21600">
            <v:path/>
            <v:fill on="f" focussize="0,0"/>
            <v:stroke on="f" joinstyle="miter"/>
            <v:imagedata r:id="rId258" o:title=""/>
            <o:lock v:ext="edit" aspectratio="t"/>
            <w10:wrap type="none"/>
            <w10:anchorlock/>
          </v:shape>
          <o:OLEObject Type="Embed" ProgID="Equation.3" ShapeID="_x0000_i1172" DrawAspect="Content" ObjectID="_1468075872" r:id="rId257">
            <o:LockedField>false</o:LockedField>
          </o:OLEObject>
        </w:object>
      </w:r>
      <w:r>
        <w:rPr>
          <w:lang w:eastAsia="zh-CN"/>
        </w:rPr>
        <w:t>,which denote the maximum ripple in Range 2</w:t>
      </w:r>
    </w:p>
    <w:p>
      <w:pPr>
        <w:pStyle w:val="95"/>
        <w:rPr>
          <w:lang w:eastAsia="zh-CN"/>
        </w:rPr>
      </w:pPr>
      <w:r>
        <w:rPr>
          <w:position w:val="-10"/>
        </w:rPr>
        <w:object>
          <v:shape id="_x0000_i1173" o:spt="75" type="#_x0000_t75" style="height:17.45pt;width:238.9pt;" o:ole="t" filled="f" o:preferrelative="t" stroked="f" coordsize="21600,21600">
            <v:path/>
            <v:fill on="f" focussize="0,0"/>
            <v:stroke on="f" joinstyle="miter"/>
            <v:imagedata r:id="rId260" o:title=""/>
            <o:lock v:ext="edit" aspectratio="t"/>
            <w10:wrap type="none"/>
            <w10:anchorlock/>
          </v:shape>
          <o:OLEObject Type="Embed" ProgID="Equation.3" ShapeID="_x0000_i1173" DrawAspect="Content" ObjectID="_1468075873" r:id="rId259">
            <o:LockedField>false</o:LockedField>
          </o:OLEObject>
        </w:object>
      </w:r>
      <w:r>
        <w:rPr>
          <w:lang w:eastAsia="zh-CN"/>
        </w:rPr>
        <w:t>,which denote the maximum ripple between the upper side of Range 1 and lower side of Range 2</w:t>
      </w:r>
    </w:p>
    <w:p>
      <w:pPr>
        <w:pStyle w:val="95"/>
        <w:rPr>
          <w:lang w:eastAsia="zh-CN"/>
        </w:rPr>
      </w:pPr>
      <w:r>
        <w:rPr>
          <w:position w:val="-10"/>
        </w:rPr>
        <w:object>
          <v:shape id="_x0000_i1174" o:spt="75" type="#_x0000_t75" style="height:17.45pt;width:238.9pt;" o:ole="t" filled="f" o:preferrelative="t" stroked="f" coordsize="21600,21600">
            <v:path/>
            <v:fill on="f" focussize="0,0"/>
            <v:stroke on="f" joinstyle="miter"/>
            <v:imagedata r:id="rId262" o:title=""/>
            <o:lock v:ext="edit" aspectratio="t"/>
            <w10:wrap type="none"/>
            <w10:anchorlock/>
          </v:shape>
          <o:OLEObject Type="Embed" ProgID="Equation.3" ShapeID="_x0000_i1174" DrawAspect="Content" ObjectID="_1468075874" r:id="rId261">
            <o:LockedField>false</o:LockedField>
          </o:OLEObject>
        </w:object>
      </w:r>
      <w:r>
        <w:rPr>
          <w:lang w:eastAsia="zh-CN"/>
        </w:rPr>
        <w:t xml:space="preserve"> ,which denote the maximum ripple between the upper side of Range 2 and lower side of Range 1</w:t>
      </w:r>
    </w:p>
    <w:p>
      <w:pPr>
        <w:pStyle w:val="4"/>
      </w:pPr>
      <w:bookmarkStart w:id="1158" w:name="_Toc232582173"/>
      <w:bookmarkStart w:id="1159" w:name="_Toc1032"/>
      <w:r>
        <w:t>E.4.5</w:t>
      </w:r>
      <w:r>
        <w:tab/>
      </w:r>
      <w:r>
        <w:t xml:space="preserve">Frequency error and </w:t>
      </w:r>
      <w:bookmarkEnd w:id="1158"/>
      <w:r>
        <w:t>Carrier leakage</w:t>
      </w:r>
      <w:bookmarkEnd w:id="1159"/>
    </w:p>
    <w:p>
      <w:r>
        <w:t>See E.3.1.</w:t>
      </w:r>
    </w:p>
    <w:p>
      <w:pPr>
        <w:pStyle w:val="4"/>
      </w:pPr>
      <w:bookmarkStart w:id="1160" w:name="_Toc31577"/>
      <w:r>
        <w:t>E.4.6</w:t>
      </w:r>
      <w:r>
        <w:tab/>
      </w:r>
      <w:r>
        <w:t>EVM of Demodulation reference symbols (EVM</w:t>
      </w:r>
      <w:r>
        <w:rPr>
          <w:szCs w:val="28"/>
          <w:vertAlign w:val="subscript"/>
        </w:rPr>
        <w:t>DMRS</w:t>
      </w:r>
      <w:r>
        <w:t>)</w:t>
      </w:r>
      <w:bookmarkEnd w:id="1160"/>
    </w:p>
    <w:p>
      <w:r>
        <w:t xml:space="preserve">For the purpose of EVM </w:t>
      </w:r>
      <w:r>
        <w:rPr>
          <w:vertAlign w:val="subscript"/>
        </w:rPr>
        <w:t>DMRS</w:t>
      </w:r>
      <w:r>
        <w:t xml:space="preserve">, the steps E.2.2 to E.4.2 are repeated 6 times, constituting 6 EVM </w:t>
      </w:r>
      <w:r>
        <w:rPr>
          <w:vertAlign w:val="subscript"/>
        </w:rPr>
        <w:t>DMRS</w:t>
      </w:r>
      <w:r>
        <w:t xml:space="preserve"> sub-periods. The only purpose of the repetition is to cover the longer gross measurement period of EVM </w:t>
      </w:r>
      <w:r>
        <w:rPr>
          <w:vertAlign w:val="subscript"/>
        </w:rPr>
        <w:t>DMRS</w:t>
      </w:r>
      <w:r>
        <w:t xml:space="preserve"> (120 time slots) and to derive the FFT window timing per sub-period.</w:t>
      </w:r>
    </w:p>
    <w:p>
      <w:r>
        <w:t xml:space="preserve">The bigger of the EVM results in one 20 TS period corresponding to the </w:t>
      </w:r>
      <w:r>
        <w:rPr>
          <w:color w:val="000000"/>
          <w:lang w:eastAsia="zh-CN"/>
        </w:rPr>
        <w:t>timing¦</w:t>
      </w:r>
      <w:r>
        <w:t xml:space="preserve"> </w:t>
      </w:r>
      <w:r>
        <w:rPr>
          <w:position w:val="-6"/>
        </w:rPr>
        <w:object>
          <v:shape id="_x0000_i1175"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75" DrawAspect="Content" ObjectID="_1468075875" r:id="rId263">
            <o:LockedField>false</o:LockedField>
          </o:OLEObject>
        </w:object>
      </w:r>
      <w:r>
        <w:t xml:space="preserve"> –W/2 or </w:t>
      </w:r>
      <w:r>
        <w:rPr>
          <w:position w:val="-6"/>
        </w:rPr>
        <w:object>
          <v:shape id="_x0000_i117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76" DrawAspect="Content" ObjectID="_1468075876" r:id="rId264">
            <o:LockedField>false</o:LockedField>
          </o:OLEObject>
        </w:object>
      </w:r>
      <w:r>
        <w:t xml:space="preserve"> +W/2 is compared against the limit. (Clause E.4.2) This timing is re-used for EVM </w:t>
      </w:r>
      <w:r>
        <w:rPr>
          <w:vertAlign w:val="subscript"/>
        </w:rPr>
        <w:t>DMRS</w:t>
      </w:r>
      <w:r>
        <w:t xml:space="preserve"> in the equivalent EVM </w:t>
      </w:r>
      <w:r>
        <w:rPr>
          <w:vertAlign w:val="subscript"/>
        </w:rPr>
        <w:t>DMRS</w:t>
      </w:r>
      <w:r>
        <w:t xml:space="preserve"> sub-period.</w:t>
      </w:r>
    </w:p>
    <w:p>
      <w:r>
        <w:t>For EVM the demodulation reference symbols are excluded, while the data symbols are used. For EVM</w:t>
      </w:r>
      <w:r>
        <w:rPr>
          <w:vertAlign w:val="subscript"/>
        </w:rPr>
        <w:t>DMRS</w:t>
      </w:r>
      <w:r>
        <w:t xml:space="preserve"> the data symbols are excluded, while the demodulation references symbols are used. This is illustrated in figure E.4.6-1</w:t>
      </w:r>
    </w:p>
    <w:p>
      <w:pPr>
        <w:pStyle w:val="113"/>
      </w:pPr>
      <w:r>
        <w:object>
          <v:shape id="_x0000_i1177" o:spt="75" type="#_x0000_t75" style="height:111.8pt;width:482.75pt;" o:ole="t" filled="f" o:preferrelative="t" stroked="f" coordsize="21600,21600">
            <v:path/>
            <v:fill on="f" focussize="0,0"/>
            <v:stroke on="f" joinstyle="miter"/>
            <v:imagedata r:id="rId266" o:title=""/>
            <o:lock v:ext="edit" aspectratio="t"/>
            <w10:wrap type="none"/>
            <w10:anchorlock/>
          </v:shape>
          <o:OLEObject Type="Embed" ProgID="Word.Document.8" ShapeID="_x0000_i1177" DrawAspect="Content" ObjectID="_1468075877" r:id="rId265">
            <o:LockedField>false</o:LockedField>
          </o:OLEObject>
        </w:object>
      </w:r>
    </w:p>
    <w:p>
      <w:pPr>
        <w:pStyle w:val="120"/>
      </w:pPr>
      <w:r>
        <w:t>Figure E.4.6-1: EVM</w:t>
      </w:r>
      <w:r>
        <w:rPr>
          <w:vertAlign w:val="subscript"/>
        </w:rPr>
        <w:t>DMRS</w:t>
      </w:r>
      <w:r>
        <w:t xml:space="preserve"> measurement points</w:t>
      </w:r>
    </w:p>
    <w:p/>
    <w:p>
      <w:r>
        <w:t>Re-use the following formula from E.3.3:</w:t>
      </w:r>
    </w:p>
    <w:p>
      <w:pPr>
        <w:pStyle w:val="95"/>
        <w:jc w:val="center"/>
      </w:pPr>
      <w:r>
        <w:t xml:space="preserve">Z’(f,t) = MS(f,t) </w:t>
      </w:r>
      <w:r>
        <w:rPr>
          <w:b/>
          <w:vertAlign w:val="superscript"/>
        </w:rPr>
        <w:t>.</w:t>
      </w:r>
      <w:r>
        <w:t xml:space="preserve"> EC(f)</w:t>
      </w:r>
    </w:p>
    <w:p>
      <w:r>
        <w:t>To calculate EVM</w:t>
      </w:r>
      <w:r>
        <w:rPr>
          <w:vertAlign w:val="subscript"/>
        </w:rPr>
        <w:t>DMRS</w:t>
      </w:r>
      <w:r>
        <w:t xml:space="preserve"> , the data symbol ( t=0,1,2,4,5,6) in Z’(f,t) are excluded and only the reference symbol (t=3) is used.</w:t>
      </w:r>
    </w:p>
    <w:p>
      <w:r>
        <w:t xml:space="preserve">The EVM </w:t>
      </w:r>
      <w:r>
        <w:rPr>
          <w:vertAlign w:val="subscript"/>
        </w:rPr>
        <w:t>DMRS</w:t>
      </w:r>
      <w:r>
        <w:t xml:space="preserve"> is the difference between the ideal waveform and the measured and equalized waveform for the allocated RB(s)</w:t>
      </w:r>
    </w:p>
    <w:p>
      <w:pPr>
        <w:ind w:firstLine="284"/>
        <w:jc w:val="center"/>
      </w:pPr>
      <w:r>
        <w:rPr>
          <w:position w:val="-38"/>
          <w:sz w:val="18"/>
        </w:rPr>
        <w:object>
          <v:shape id="_x0000_i1178" o:spt="75" type="#_x0000_t75" style="height:55.1pt;width:218.2pt;" o:ole="t" filled="f" o:preferrelative="t" stroked="f" coordsize="21600,21600">
            <v:path/>
            <v:fill on="f" focussize="0,0"/>
            <v:stroke on="f" joinstyle="miter"/>
            <v:imagedata r:id="rId268" o:title=""/>
            <o:lock v:ext="edit" aspectratio="t"/>
            <w10:wrap type="none"/>
            <w10:anchorlock/>
          </v:shape>
          <o:OLEObject Type="Embed" ProgID="Equation.3" ShapeID="_x0000_i1178" DrawAspect="Content" ObjectID="_1468075878" r:id="rId267">
            <o:LockedField>false</o:LockedField>
          </o:OLEObject>
        </w:object>
      </w:r>
      <w:r>
        <w:t>,</w:t>
      </w:r>
    </w:p>
    <w:p>
      <w:r>
        <w:t>where</w:t>
      </w:r>
    </w:p>
    <w:p>
      <w:r>
        <w:rPr>
          <w:sz w:val="24"/>
          <w:szCs w:val="24"/>
        </w:rPr>
        <w:t xml:space="preserve">t </w:t>
      </w:r>
      <w:r>
        <w:t>covers the count of demodulation reference symbols (i.e. only symbol 3 in each slot, so count =1)</w:t>
      </w:r>
    </w:p>
    <w:p>
      <w:pPr>
        <w:rPr>
          <w:sz w:val="18"/>
        </w:rPr>
      </w:pPr>
      <w:r>
        <w:rPr>
          <w:rFonts w:eastAsia="Osaka"/>
        </w:rPr>
        <w:t>f covers the count of demodulation reference symbols</w:t>
      </w:r>
      <w:r>
        <w:t xml:space="preserve"> within the allocated bandwidth. (</w:t>
      </w:r>
      <w:r>
        <w:rPr>
          <w:sz w:val="18"/>
        </w:rPr>
        <w:t>|F|=</w:t>
      </w:r>
      <w:r>
        <w:t>12*</w:t>
      </w:r>
      <w:r>
        <w:rPr>
          <w:position w:val="-10"/>
        </w:rPr>
        <w:object>
          <v:shape id="_x0000_i1179"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79" DrawAspect="Content" ObjectID="_1468075879" r:id="rId269">
            <o:LockedField>false</o:LockedField>
          </o:OLEObject>
        </w:object>
      </w:r>
      <w:r>
        <w:t xml:space="preserve"> (with</w:t>
      </w:r>
      <w:r>
        <w:rPr>
          <w:position w:val="-10"/>
        </w:rPr>
        <w:object>
          <v:shape id="_x0000_i1180"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180" DrawAspect="Content" ObjectID="_1468075880" r:id="rId270">
            <o:LockedField>false</o:LockedField>
          </o:OLEObject>
        </w:object>
      </w:r>
      <w:r>
        <w:t xml:space="preserve">: number of allocated resource blocks)). </w:t>
      </w:r>
    </w:p>
    <w:p>
      <w:r>
        <w:rPr>
          <w:position w:val="-14"/>
        </w:rPr>
        <w:object>
          <v:shape id="_x0000_i1181" o:spt="75" type="#_x0000_t75" style="height:20.75pt;width:44.75pt;" o:ole="t" filled="f" o:preferrelative="t" stroked="f" coordsize="21600,21600">
            <v:path/>
            <v:fill on="f" focussize="0,0"/>
            <v:stroke on="f" joinstyle="miter"/>
            <v:imagedata r:id="rId272" o:title=""/>
            <o:lock v:ext="edit" aspectratio="t"/>
            <w10:wrap type="none"/>
            <w10:anchorlock/>
          </v:shape>
          <o:OLEObject Type="Embed" ProgID="Equation.3" ShapeID="_x0000_i1181" DrawAspect="Content" ObjectID="_1468075881" r:id="rId271">
            <o:LockedField>false</o:LockedField>
          </o:OLEObject>
        </w:object>
      </w:r>
      <w:r>
        <w:t xml:space="preserve"> are the samples of the signal evaluated for the EVM </w:t>
      </w:r>
      <w:r>
        <w:rPr>
          <w:vertAlign w:val="subscript"/>
        </w:rPr>
        <w:t>DMRS</w:t>
      </w:r>
    </w:p>
    <w:p>
      <w:r>
        <w:rPr>
          <w:position w:val="-10"/>
        </w:rPr>
        <w:object>
          <v:shape id="_x0000_i1182" o:spt="75" type="#_x0000_t75" style="height:19.1pt;width:34.9pt;" o:ole="t" filled="f" o:preferrelative="t" stroked="f" coordsize="21600,21600">
            <v:path/>
            <v:fill on="f" focussize="0,0"/>
            <v:stroke on="f" joinstyle="miter"/>
            <v:imagedata r:id="rId274" o:title=""/>
            <o:lock v:ext="edit" aspectratio="t"/>
            <w10:wrap type="none"/>
            <w10:anchorlock/>
          </v:shape>
          <o:OLEObject Type="Embed" ProgID="Equation.3" ShapeID="_x0000_i1182" DrawAspect="Content" ObjectID="_1468075882" r:id="rId273">
            <o:LockedField>false</o:LockedField>
          </o:OLEObject>
        </w:object>
      </w:r>
      <w:r>
        <w:t>is the ideal signal reconstructed by the measurement equipment, and</w:t>
      </w:r>
    </w:p>
    <w:p>
      <w:r>
        <w:rPr>
          <w:rFonts w:ascii="Arial" w:hAnsi="Arial" w:cs="Arial"/>
          <w:position w:val="-12"/>
        </w:rPr>
        <w:object>
          <v:shape id="_x0000_i1183"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83" DrawAspect="Content" ObjectID="_1468075883" r:id="rId275">
            <o:LockedField>false</o:LockedField>
          </o:OLEObject>
        </w:object>
      </w:r>
      <w:r>
        <w:t xml:space="preserve"> is the average power of the ideal signal. For normalized modulation symbols </w:t>
      </w:r>
      <w:r>
        <w:rPr>
          <w:position w:val="-12"/>
        </w:rPr>
        <w:object>
          <v:shape id="_x0000_i1184"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84" DrawAspect="Content" ObjectID="_1468075884" r:id="rId276">
            <o:LockedField>false</o:LockedField>
          </o:OLEObject>
        </w:object>
      </w:r>
      <w:r>
        <w:t xml:space="preserve"> is equal to 1.</w:t>
      </w:r>
    </w:p>
    <w:p>
      <w:r>
        <w:t>20 such results are generated per measurement sub-period.</w:t>
      </w:r>
    </w:p>
    <w:p>
      <w:pPr>
        <w:pStyle w:val="5"/>
      </w:pPr>
      <w:bookmarkStart w:id="1161" w:name="_Toc27477"/>
      <w:r>
        <w:t>E.4.6.1</w:t>
      </w:r>
      <w:r>
        <w:tab/>
      </w:r>
      <w:r>
        <w:t>1</w:t>
      </w:r>
      <w:r>
        <w:rPr>
          <w:vertAlign w:val="superscript"/>
        </w:rPr>
        <w:t>st</w:t>
      </w:r>
      <w:r>
        <w:t xml:space="preserve"> average for EVM </w:t>
      </w:r>
      <w:r>
        <w:rPr>
          <w:vertAlign w:val="subscript"/>
        </w:rPr>
        <w:t>DMRS</w:t>
      </w:r>
      <w:bookmarkEnd w:id="1161"/>
    </w:p>
    <w:p>
      <w:pPr>
        <w:rPr>
          <w:color w:val="000000"/>
          <w:lang w:eastAsia="zh-CN"/>
        </w:rPr>
      </w:pPr>
      <w:r>
        <w:t xml:space="preserve">EVM </w:t>
      </w:r>
      <w:r>
        <w:rPr>
          <w:vertAlign w:val="subscript"/>
        </w:rPr>
        <w:t>DMRS</w:t>
      </w:r>
      <w:r>
        <w:t xml:space="preserve"> is averaged over all </w:t>
      </w:r>
      <w:r>
        <w:rPr>
          <w:lang w:eastAsia="zh-CN"/>
        </w:rPr>
        <w:t xml:space="preserve">basic </w:t>
      </w:r>
      <w:r>
        <w:t xml:space="preserve">EVM </w:t>
      </w:r>
      <w:r>
        <w:rPr>
          <w:vertAlign w:val="subscript"/>
        </w:rPr>
        <w:t>DMRS</w:t>
      </w:r>
      <w:r>
        <w:t xml:space="preserve"> </w:t>
      </w:r>
      <w:r>
        <w:rPr>
          <w:lang w:eastAsia="zh-CN"/>
        </w:rPr>
        <w:t>measurements in one sub-period</w:t>
      </w:r>
    </w:p>
    <w:p>
      <w:pPr>
        <w:rPr>
          <w:rFonts w:eastAsia="宋体"/>
          <w:lang w:eastAsia="zh-CN"/>
        </w:rPr>
      </w:pPr>
      <w:r>
        <w:rPr>
          <w:lang w:eastAsia="zh-CN"/>
        </w:rPr>
        <w:t>For subslot TTI, The averaging comprises 60 UL subslots (for frame structure 2: excluding special fields(UpPTS)) for PUCCH, PUSCH, PDSCH.</w:t>
      </w:r>
    </w:p>
    <w:p>
      <w:pPr>
        <w:rPr>
          <w:color w:val="000000"/>
          <w:lang w:eastAsia="zh-CN"/>
        </w:rPr>
      </w:pPr>
      <w:r>
        <w:rPr>
          <w:lang w:eastAsia="zh-CN"/>
        </w:rPr>
        <w:t xml:space="preserve">For subframe/slot TTI, the </w:t>
      </w:r>
      <w:r>
        <w:rPr>
          <w:color w:val="000000"/>
          <w:lang w:eastAsia="zh-CN"/>
        </w:rPr>
        <w:t>averaging comprises 20 UL slots (for frame structure 2: excluding special fields(UpPTS))</w:t>
      </w:r>
    </w:p>
    <w:p>
      <w:pPr>
        <w:pStyle w:val="95"/>
        <w:rPr>
          <w:rFonts w:ascii="宋体" w:cs="宋体"/>
          <w:color w:val="000000"/>
          <w:lang w:eastAsia="zh-CN"/>
        </w:rPr>
      </w:pPr>
      <w:r>
        <w:tab/>
      </w:r>
      <w:r>
        <w:rPr>
          <w:position w:val="-30"/>
        </w:rPr>
        <w:object>
          <v:shape id="_x0000_i1185" o:spt="75" type="#_x0000_t75" style="height:39.8pt;width:204pt;" o:ole="t" filled="f" o:preferrelative="t" stroked="f" coordsize="21600,21600">
            <v:path/>
            <v:fill on="f" focussize="0,0"/>
            <v:stroke on="f" joinstyle="miter"/>
            <v:imagedata r:id="rId278" o:title=""/>
            <o:lock v:ext="edit" aspectratio="t"/>
            <w10:wrap type="none"/>
            <w10:anchorlock/>
          </v:shape>
          <o:OLEObject Type="Embed" ProgID="Equation.3" ShapeID="_x0000_i1185" DrawAspect="Content" ObjectID="_1468075885" r:id="rId277">
            <o:LockedField>false</o:LockedField>
          </o:OLEObject>
        </w:object>
      </w:r>
    </w:p>
    <w:p>
      <w:r>
        <w:t>The timing is taken from the EVM for the data. 6 of those results are achieved from the samples. In general the timing is not the same for each result.</w:t>
      </w:r>
    </w:p>
    <w:p>
      <w:pPr>
        <w:pStyle w:val="5"/>
      </w:pPr>
      <w:bookmarkStart w:id="1162" w:name="_Toc28932"/>
      <w:r>
        <w:t>E.4.6.2</w:t>
      </w:r>
      <w:r>
        <w:tab/>
      </w:r>
      <w:r>
        <w:t xml:space="preserve">Final average for EVM </w:t>
      </w:r>
      <w:r>
        <w:rPr>
          <w:vertAlign w:val="subscript"/>
        </w:rPr>
        <w:t>DMRS</w:t>
      </w:r>
      <w:bookmarkEnd w:id="1162"/>
    </w:p>
    <w:p>
      <w:pPr>
        <w:pStyle w:val="95"/>
      </w:pPr>
      <w:r>
        <w:tab/>
      </w:r>
      <w:r>
        <w:rPr>
          <w:position w:val="-30"/>
        </w:rPr>
        <w:object>
          <v:shape id="_x0000_i1186" o:spt="75" type="#_x0000_t75" style="height:36.55pt;width:192pt;" o:ole="t" filled="f" o:preferrelative="t" stroked="f" coordsize="21600,21600">
            <v:path/>
            <v:fill on="f" focussize="0,0"/>
            <v:stroke on="f" joinstyle="miter"/>
            <v:imagedata r:id="rId280" o:title=""/>
            <o:lock v:ext="edit" aspectratio="t"/>
            <w10:wrap type="none"/>
            <w10:anchorlock/>
          </v:shape>
          <o:OLEObject Type="Embed" ProgID="Equation.3" ShapeID="_x0000_i1186" DrawAspect="Content" ObjectID="_1468075886" r:id="rId279">
            <o:LockedField>false</o:LockedField>
          </o:OLEObject>
        </w:object>
      </w:r>
    </w:p>
    <w:p>
      <w:pPr>
        <w:pStyle w:val="3"/>
      </w:pPr>
      <w:bookmarkStart w:id="1163" w:name="_Toc6335"/>
      <w:r>
        <w:t>E.5</w:t>
      </w:r>
      <w:r>
        <w:tab/>
      </w:r>
      <w:r>
        <w:t>EVM and inband emissions for PUCCH</w:t>
      </w:r>
      <w:bookmarkEnd w:id="1163"/>
    </w:p>
    <w:p>
      <w:r>
        <w:t>For the purpose of worst case testing, the PUCCH shall be located on the edges of the Transmission Bandwidth Configuration (6,15,25,50,75,100 RBs).</w:t>
      </w:r>
    </w:p>
    <w:p>
      <w:r>
        <w:t>The EVM for PUCCH (EVM</w:t>
      </w:r>
      <w:r>
        <w:rPr>
          <w:vertAlign w:val="subscript"/>
        </w:rPr>
        <w:t>PUCCH</w:t>
      </w:r>
      <w:r>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r>
        <w:t>The description below is generic in the sense that all 6 PUCCH formats are covered. Although the number of OFDM symbols in one slot is 6 or 7 (depending on the cyclic prefix length), the text below uses 7 without excluding 6.</w:t>
      </w:r>
    </w:p>
    <w:p>
      <w:pPr>
        <w:pStyle w:val="4"/>
      </w:pPr>
      <w:bookmarkStart w:id="1164" w:name="_Toc2600"/>
      <w:r>
        <w:t>E.5.1</w:t>
      </w:r>
      <w:r>
        <w:tab/>
      </w:r>
      <w:r>
        <w:t>Basic principle</w:t>
      </w:r>
      <w:bookmarkEnd w:id="1164"/>
    </w:p>
    <w:p>
      <w:r>
        <w:t>The basis principle is the same as described in E.2.1</w:t>
      </w:r>
    </w:p>
    <w:p>
      <w:pPr>
        <w:pStyle w:val="4"/>
      </w:pPr>
      <w:bookmarkStart w:id="1165" w:name="_Toc852"/>
      <w:r>
        <w:t>E.5.2</w:t>
      </w:r>
      <w:r>
        <w:tab/>
      </w:r>
      <w:r>
        <w:t>Output signal of the TX under test</w:t>
      </w:r>
      <w:bookmarkEnd w:id="1165"/>
    </w:p>
    <w:p>
      <w:r>
        <w:t>The output signal of the TX under test is processed same as described in E.2.2</w:t>
      </w:r>
    </w:p>
    <w:p>
      <w:pPr>
        <w:pStyle w:val="4"/>
      </w:pPr>
      <w:bookmarkStart w:id="1166" w:name="_Toc23047"/>
      <w:r>
        <w:t>E.5.3</w:t>
      </w:r>
      <w:r>
        <w:tab/>
      </w:r>
      <w:r>
        <w:t>Reference signal</w:t>
      </w:r>
      <w:bookmarkEnd w:id="1166"/>
    </w:p>
    <w:p>
      <w:r>
        <w:t>The reference signal is defined same as in E.2.3. Same as in E.2.3, i</w:t>
      </w:r>
      <w:r>
        <w:rPr>
          <w:vertAlign w:val="subscript"/>
        </w:rPr>
        <w:t>1</w:t>
      </w:r>
      <w:r>
        <w:t>(ν) is the ideal reference for EVM</w:t>
      </w:r>
      <w:r>
        <w:rPr>
          <w:vertAlign w:val="subscript"/>
        </w:rPr>
        <w:t>PUCCH</w:t>
      </w:r>
      <w:r>
        <w:t xml:space="preserve"> and i</w:t>
      </w:r>
      <w:r>
        <w:rPr>
          <w:vertAlign w:val="subscript"/>
        </w:rPr>
        <w:t>2</w:t>
      </w:r>
      <w:r>
        <w:t>(ν) is used to estimate the FFT window timing.</w:t>
      </w:r>
    </w:p>
    <w:p>
      <w:r>
        <w:t>Note PUSCH is off during the PUCCH measurement period.</w:t>
      </w:r>
    </w:p>
    <w:p>
      <w:pPr>
        <w:pStyle w:val="4"/>
      </w:pPr>
      <w:bookmarkStart w:id="1167" w:name="_Toc20469"/>
      <w:r>
        <w:t>E.5.4</w:t>
      </w:r>
      <w:r>
        <w:tab/>
      </w:r>
      <w:r>
        <w:t>Measurement results</w:t>
      </w:r>
      <w:bookmarkEnd w:id="1167"/>
    </w:p>
    <w:p>
      <w:r>
        <w:t>The measurement results are:</w:t>
      </w:r>
    </w:p>
    <w:p>
      <w:pPr>
        <w:pStyle w:val="111"/>
      </w:pPr>
      <w:r>
        <w:t>-</w:t>
      </w:r>
      <w:r>
        <w:tab/>
      </w:r>
      <w:r>
        <w:t>EVM</w:t>
      </w:r>
      <w:r>
        <w:rPr>
          <w:vertAlign w:val="subscript"/>
        </w:rPr>
        <w:t>PUCCH</w:t>
      </w:r>
    </w:p>
    <w:p>
      <w:pPr>
        <w:pStyle w:val="111"/>
      </w:pPr>
      <w:r>
        <w:t>-</w:t>
      </w:r>
      <w:r>
        <w:tab/>
      </w:r>
      <w:r>
        <w:t>Inband emissions with the sub-results: General in-band emission, IQ image (according to: 36.101. Annex F.4, Clause starting with: “At this stage the ….”)</w:t>
      </w:r>
    </w:p>
    <w:p>
      <w:pPr>
        <w:pStyle w:val="4"/>
      </w:pPr>
      <w:bookmarkStart w:id="1168" w:name="_Toc32263"/>
      <w:r>
        <w:t>E.5.5</w:t>
      </w:r>
      <w:r>
        <w:tab/>
      </w:r>
      <w:r>
        <w:t>Measurement points</w:t>
      </w:r>
      <w:bookmarkEnd w:id="1168"/>
    </w:p>
    <w:p>
      <w:r>
        <w:t>The measurement points are illustrated in the figure below:</w:t>
      </w:r>
    </w:p>
    <w:p>
      <w:pPr>
        <w:pStyle w:val="113"/>
      </w:pPr>
      <w:r>
        <w:drawing>
          <wp:inline distT="0" distB="0" distL="114300" distR="114300">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1"/>
                    <a:stretch>
                      <a:fillRect/>
                    </a:stretch>
                  </pic:blipFill>
                  <pic:spPr>
                    <a:xfrm>
                      <a:off x="0" y="0"/>
                      <a:ext cx="6127750" cy="1422400"/>
                    </a:xfrm>
                    <a:prstGeom prst="rect">
                      <a:avLst/>
                    </a:prstGeom>
                    <a:noFill/>
                    <a:ln>
                      <a:noFill/>
                    </a:ln>
                  </pic:spPr>
                </pic:pic>
              </a:graphicData>
            </a:graphic>
          </wp:inline>
        </w:drawing>
      </w:r>
    </w:p>
    <w:p>
      <w:pPr>
        <w:pStyle w:val="120"/>
      </w:pPr>
      <w:r>
        <w:t>Figure E.5.5-1</w:t>
      </w:r>
    </w:p>
    <w:p/>
    <w:p>
      <w:pPr>
        <w:pStyle w:val="4"/>
      </w:pPr>
      <w:bookmarkStart w:id="1169" w:name="_Toc2669"/>
      <w:r>
        <w:t>E.5.6</w:t>
      </w:r>
      <w:r>
        <w:tab/>
      </w:r>
      <w:r>
        <w:t>Pre FFT minimization process</w:t>
      </w:r>
      <w:bookmarkEnd w:id="1169"/>
    </w:p>
    <w:p>
      <w:r>
        <w:t>The pre FFT minimisation process is the same as describes in clause E.3.1.</w:t>
      </w:r>
    </w:p>
    <w:p>
      <w:pPr>
        <w:pStyle w:val="100"/>
      </w:pPr>
      <w:r>
        <w:t>NOTE:</w:t>
      </w:r>
      <w:r>
        <w:tab/>
      </w:r>
      <w:r>
        <w:t>although an exclusion period for EVM</w:t>
      </w:r>
      <w:r>
        <w:rPr>
          <w:vertAlign w:val="subscript"/>
        </w:rPr>
        <w:t>PUCCH</w:t>
      </w:r>
      <w:r>
        <w:t xml:space="preserve"> is applicable in E.5.9.1, the pre FFT minimisation process is done over the complete slot.</w:t>
      </w:r>
    </w:p>
    <w:p>
      <w:r>
        <w:t>RF error, and carrier leakage are necessary for best fit of the measured signal towards the ideal signal in the pre FFT domain. However they are not used to compare them against the limits.</w:t>
      </w:r>
    </w:p>
    <w:p>
      <w:pPr>
        <w:pStyle w:val="4"/>
      </w:pPr>
      <w:bookmarkStart w:id="1170" w:name="_Toc3799"/>
      <w:r>
        <w:t>E.5.7</w:t>
      </w:r>
      <w:r>
        <w:tab/>
      </w:r>
      <w:r>
        <w:t>Timing of the FFT window</w:t>
      </w:r>
      <w:bookmarkEnd w:id="1170"/>
    </w:p>
    <w:p>
      <w:r>
        <w:t>Timing of the FFT window is estimated with the same method as described in E.3.2.</w:t>
      </w:r>
    </w:p>
    <w:p>
      <w:pPr>
        <w:pStyle w:val="4"/>
      </w:pPr>
      <w:bookmarkStart w:id="1171" w:name="_Toc31866"/>
      <w:r>
        <w:t>E.5.8</w:t>
      </w:r>
      <w:r>
        <w:tab/>
      </w:r>
      <w:r>
        <w:t>Post FFT equalisation</w:t>
      </w:r>
      <w:bookmarkEnd w:id="1171"/>
    </w:p>
    <w:p>
      <w:r>
        <w:t>The post FFT equalisation is described separately without reference to E.3.3:</w:t>
      </w:r>
    </w:p>
    <w:p>
      <w:r>
        <w:t xml:space="preserve">Perform 7 FFTs on z’(ν), one for each OFDM symbol in a slot using the timing </w:t>
      </w:r>
      <w:r>
        <w:rPr>
          <w:position w:val="-6"/>
        </w:rPr>
        <w:object>
          <v:shape id="_x0000_i1187"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87" DrawAspect="Content" ObjectID="_1468075887" r:id="rId282">
            <o:LockedField>false</o:LockedField>
          </o:OLEObject>
        </w:object>
      </w:r>
      <w:r>
        <w:t xml:space="preserve">, including the demodulation reference symbol. The result is an array of samples, 7 in the time axis t times 2048 in the frequency axis f. The samples represent the OFDM symbols (data and reference symbols) in the allocated RBs and inband emissions in the non allocated RBs within the transmission BW. </w:t>
      </w:r>
    </w:p>
    <w:p>
      <w:r>
        <w:t>Only the allocated resource blocks in the frequency domain are used for equalisation.</w:t>
      </w:r>
    </w:p>
    <w:p>
      <w:r>
        <w:t xml:space="preserve">The nominal reference symbols and </w:t>
      </w:r>
      <w:r>
        <w:rPr>
          <w:b/>
        </w:rPr>
        <w:t>nominal</w:t>
      </w:r>
      <w:r>
        <w:t xml:space="preserve"> OFDM data symbols are used to equalize the measured data symbols.</w:t>
      </w:r>
    </w:p>
    <w:p>
      <w:pPr>
        <w:rPr>
          <w:sz w:val="16"/>
          <w:szCs w:val="16"/>
        </w:rPr>
      </w:pPr>
      <w:r>
        <w:rPr>
          <w:sz w:val="16"/>
          <w:szCs w:val="16"/>
        </w:rPr>
        <w:t>Note: (The nomenclature inside this note is local and not valid outside)</w:t>
      </w:r>
    </w:p>
    <w:p>
      <w:pPr>
        <w:rPr>
          <w:sz w:val="16"/>
          <w:szCs w:val="16"/>
        </w:rPr>
      </w:pPr>
      <w:r>
        <w:rPr>
          <w:sz w:val="16"/>
          <w:szCs w:val="16"/>
        </w:rPr>
        <w:t>The nominal OFDM data symbols are created by a demodulation process. A demodulation process as follows is recommended:</w:t>
      </w:r>
    </w:p>
    <w:p>
      <w:pPr>
        <w:pStyle w:val="111"/>
      </w:pPr>
      <w:r>
        <w:t>1. Equalize the measured OFDM data symbols using the reference symbols for equalisation. Result: Equalized OFDM data symbols</w:t>
      </w:r>
    </w:p>
    <w:p>
      <w:pPr>
        <w:pStyle w:val="111"/>
      </w:pPr>
      <w:r>
        <w:t>2. Decide for the nearest constellation point, however not independent for each subcarrier in the RB. 12 constellation points are decided dependent, using the applicable CAZAC sequence. Result: Nominal OFDM data symbols</w:t>
      </w:r>
    </w:p>
    <w:p>
      <w:r>
        <w:t xml:space="preserve">At this stage we have an array of </w:t>
      </w:r>
      <w:r>
        <w:rPr>
          <w:u w:val="single"/>
        </w:rPr>
        <w:t>M</w:t>
      </w:r>
      <w:r>
        <w:t>easured data-</w:t>
      </w:r>
      <w:r>
        <w:rPr>
          <w:u w:val="single"/>
        </w:rPr>
        <w:t>S</w:t>
      </w:r>
      <w:r>
        <w:t>ymbols and reference-</w:t>
      </w:r>
      <w:r>
        <w:rPr>
          <w:u w:val="single"/>
        </w:rPr>
        <w:t>S</w:t>
      </w:r>
      <w:r>
        <w:t>ymbols (MS(f,t))</w:t>
      </w:r>
    </w:p>
    <w:p>
      <w:r>
        <w:t xml:space="preserve">versus an array of </w:t>
      </w:r>
      <w:r>
        <w:rPr>
          <w:u w:val="single"/>
        </w:rPr>
        <w:t>N</w:t>
      </w:r>
      <w:r>
        <w:t>ominal data-</w:t>
      </w:r>
      <w:r>
        <w:rPr>
          <w:u w:val="single"/>
        </w:rPr>
        <w:t>S</w:t>
      </w:r>
      <w:r>
        <w:t xml:space="preserve">ymbols and reference </w:t>
      </w:r>
      <w:r>
        <w:rPr>
          <w:u w:val="single"/>
        </w:rPr>
        <w:t>S</w:t>
      </w:r>
      <w:r>
        <w:t>ymbols (NS(f,t))</w:t>
      </w:r>
    </w:p>
    <w:p>
      <w:r>
        <w:t>The arrays comprise in sum 7 data and reference symbols, depending on the PUCCH format, in the time axis and the number of allocated sub-carriers in the frequency axis.</w:t>
      </w:r>
    </w:p>
    <w:p>
      <w:r>
        <w:t>MS(f,t) and NS(f,t) are processed with a least square (LS) estimator, to derive one equalizer coefficient per time slot and per allocated subcarrier. EC(f)</w:t>
      </w:r>
    </w:p>
    <w:p>
      <w:pPr>
        <w:pStyle w:val="95"/>
      </w:pPr>
      <w:r>
        <w:tab/>
      </w:r>
      <w:r>
        <w:object>
          <v:shape id="_x0000_i1188" o:spt="75" type="#_x0000_t75" style="height:65.45pt;width:155.45pt;" o:ole="t" filled="f" o:preferrelative="t" stroked="f" coordsize="21600,21600">
            <v:path/>
            <v:fill on="f" focussize="0,0"/>
            <v:stroke on="f" joinstyle="miter"/>
            <v:imagedata r:id="rId284" o:title=""/>
            <o:lock v:ext="edit" aspectratio="t"/>
            <w10:wrap type="none"/>
            <w10:anchorlock/>
          </v:shape>
          <o:OLEObject Type="Embed" ProgID="Equation.3" ShapeID="_x0000_i1188" DrawAspect="Content" ObjectID="_1468075888" r:id="rId283">
            <o:LockedField>false</o:LockedField>
          </o:OLEObject>
        </w:object>
      </w:r>
    </w:p>
    <w:p>
      <w:r>
        <w:t>With * denoting complex conjugation.</w:t>
      </w:r>
    </w:p>
    <w:p>
      <w:r>
        <w:t>EC(f) are used to equalize the OFDM data together with the demodulation reference symbols by:</w:t>
      </w:r>
    </w:p>
    <w:p>
      <w:pPr>
        <w:pStyle w:val="95"/>
      </w:pPr>
      <w:r>
        <w:tab/>
      </w:r>
      <w:r>
        <w:t xml:space="preserve">Z’(f,t) = MS(f,t) </w:t>
      </w:r>
      <w:r>
        <w:rPr>
          <w:b/>
          <w:vertAlign w:val="superscript"/>
        </w:rPr>
        <w:t>.</w:t>
      </w:r>
      <w:r>
        <w:t xml:space="preserve"> EC(f)</w:t>
      </w:r>
    </w:p>
    <w:p>
      <w:r>
        <w:t xml:space="preserve">With </w:t>
      </w:r>
      <w:r>
        <w:rPr>
          <w:b/>
          <w:vertAlign w:val="superscript"/>
        </w:rPr>
        <w:t>.</w:t>
      </w:r>
      <w:r>
        <w:t xml:space="preserve"> denoting multiplication.</w:t>
      </w:r>
    </w:p>
    <w:p>
      <w:r>
        <w:t>Z’(f,t) is used to calculate EVM</w:t>
      </w:r>
      <w:r>
        <w:rPr>
          <w:vertAlign w:val="subscript"/>
        </w:rPr>
        <w:t>PUCCH</w:t>
      </w:r>
      <w:r>
        <w:t>, as described in E.5.9 1</w:t>
      </w:r>
    </w:p>
    <w:p>
      <w:pPr>
        <w:pStyle w:val="100"/>
      </w:pPr>
      <w:r>
        <w:t>NOTE:</w:t>
      </w:r>
      <w:r>
        <w:tab/>
      </w:r>
      <w:r>
        <w:t>although an exclusion period for EVM</w:t>
      </w:r>
      <w:r>
        <w:rPr>
          <w:vertAlign w:val="subscript"/>
        </w:rPr>
        <w:t>PUCCH</w:t>
      </w:r>
      <w:r>
        <w:t xml:space="preserve"> is applicable in E.5.9.1, the post FFT minimisation process is done over 7 OFDM symbols.</w:t>
      </w:r>
    </w:p>
    <w:p>
      <w:r>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pPr>
        <w:pStyle w:val="4"/>
        <w:rPr>
          <w:snapToGrid w:val="0"/>
        </w:rPr>
      </w:pPr>
      <w:bookmarkStart w:id="1172" w:name="_Toc7131"/>
      <w:r>
        <w:rPr>
          <w:snapToGrid w:val="0"/>
        </w:rPr>
        <w:t>E.5.9</w:t>
      </w:r>
      <w:r>
        <w:rPr>
          <w:snapToGrid w:val="0"/>
        </w:rPr>
        <w:tab/>
      </w:r>
      <w:r>
        <w:rPr>
          <w:snapToGrid w:val="0"/>
        </w:rPr>
        <w:t>Derivation of the results</w:t>
      </w:r>
      <w:bookmarkEnd w:id="1172"/>
    </w:p>
    <w:p>
      <w:pPr>
        <w:pStyle w:val="5"/>
      </w:pPr>
      <w:bookmarkStart w:id="1173" w:name="_Toc14855"/>
      <w:r>
        <w:t>E.5.9.1</w:t>
      </w:r>
      <w:r>
        <w:tab/>
      </w:r>
      <w:r>
        <w:t>EVM</w:t>
      </w:r>
      <w:r>
        <w:rPr>
          <w:szCs w:val="24"/>
          <w:vertAlign w:val="subscript"/>
        </w:rPr>
        <w:t>PUCCH</w:t>
      </w:r>
      <w:bookmarkEnd w:id="1173"/>
    </w:p>
    <w:p>
      <w:r>
        <w:rPr>
          <w:rFonts w:eastAsia="Osaka"/>
        </w:rPr>
        <w:t>For EVM</w:t>
      </w:r>
      <w:r>
        <w:rPr>
          <w:rFonts w:eastAsia="Osaka"/>
          <w:vertAlign w:val="subscript"/>
        </w:rPr>
        <w:t>PUCCH</w:t>
      </w:r>
      <w:r>
        <w:rPr>
          <w:rFonts w:eastAsia="Osaka"/>
        </w:rPr>
        <w:t xml:space="preserve"> create two sets of </w:t>
      </w:r>
      <w:r>
        <w:t>Z’(f,t).</w:t>
      </w:r>
      <w:r>
        <w:rPr>
          <w:rFonts w:eastAsia="Osaka"/>
        </w:rPr>
        <w:t xml:space="preserve">, according to the timing </w:t>
      </w:r>
      <w:r>
        <w:t xml:space="preserve">” </w:t>
      </w:r>
      <w:r>
        <w:rPr>
          <w:position w:val="-6"/>
        </w:rPr>
        <w:object>
          <v:shape id="_x0000_i1189"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89" DrawAspect="Content" ObjectID="_1468075889" r:id="rId285">
            <o:LockedField>false</o:LockedField>
          </o:OLEObject>
        </w:object>
      </w:r>
      <w:r>
        <w:t xml:space="preserve"> –W/2 and </w:t>
      </w:r>
      <w:r>
        <w:rPr>
          <w:position w:val="-6"/>
        </w:rPr>
        <w:object>
          <v:shape id="_x0000_i1190"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90" DrawAspect="Content" ObjectID="_1468075890" r:id="rId286">
            <o:LockedField>false</o:LockedField>
          </o:OLEObject>
        </w:object>
      </w:r>
      <w:r>
        <w:t xml:space="preserve"> +W/2” using the equalizer coefficients from E.5.8</w:t>
      </w:r>
    </w:p>
    <w:p>
      <w:r>
        <w:t xml:space="preserve">The </w:t>
      </w:r>
      <w:r>
        <w:rPr>
          <w:rFonts w:eastAsia="Osaka"/>
        </w:rPr>
        <w:t>EVM</w:t>
      </w:r>
      <w:r>
        <w:rPr>
          <w:rFonts w:eastAsia="Osaka"/>
          <w:vertAlign w:val="subscript"/>
        </w:rPr>
        <w:t>PUCCH</w:t>
      </w:r>
      <w:r>
        <w:t xml:space="preserve"> is the difference between the ideal waveform and the measured and equalized waveform for the allocated RB(s)</w:t>
      </w:r>
    </w:p>
    <w:p>
      <w:pPr>
        <w:pStyle w:val="95"/>
      </w:pPr>
      <w:r>
        <w:tab/>
      </w:r>
      <w:r>
        <w:rPr>
          <w:position w:val="-38"/>
        </w:rPr>
        <w:object>
          <v:shape id="_x0000_i1191" o:spt="75" type="#_x0000_t75" style="height:55.1pt;width:224.75pt;" o:ole="t" filled="f" o:preferrelative="t" stroked="f" coordsize="21600,21600">
            <v:path/>
            <v:fill on="f" focussize="0,0"/>
            <v:stroke on="f" joinstyle="miter"/>
            <v:imagedata r:id="rId288" o:title=""/>
            <o:lock v:ext="edit" aspectratio="t"/>
            <w10:wrap type="none"/>
            <w10:anchorlock/>
          </v:shape>
          <o:OLEObject Type="Embed" ProgID="Equation.3" ShapeID="_x0000_i1191" DrawAspect="Content" ObjectID="_1468075891" r:id="rId287">
            <o:LockedField>false</o:LockedField>
          </o:OLEObject>
        </w:object>
      </w:r>
      <w:r>
        <w:t>,</w:t>
      </w:r>
    </w:p>
    <w:p>
      <w:r>
        <w:t>where</w:t>
      </w:r>
    </w:p>
    <w:p>
      <w:r>
        <w:t>the OFDM symbols next to slot boarders (instant of band edge alternation) are excluded:</w:t>
      </w:r>
    </w:p>
    <w:p>
      <w:r>
        <w:rPr>
          <w:sz w:val="24"/>
          <w:szCs w:val="24"/>
        </w:rPr>
        <w:t xml:space="preserve">t </w:t>
      </w:r>
      <w:r>
        <w:t>covers less than the count of demodulated symbols in the slot (|T|= 5)</w:t>
      </w:r>
    </w:p>
    <w:p>
      <w:pPr>
        <w:rPr>
          <w:sz w:val="18"/>
        </w:rPr>
      </w:pPr>
      <w:r>
        <w:rPr>
          <w:rFonts w:eastAsia="Osaka"/>
        </w:rPr>
        <w:t xml:space="preserve">f covers the count of subcarriers </w:t>
      </w:r>
      <w:r>
        <w:t>within the allocated bandwidth. (</w:t>
      </w:r>
      <w:r>
        <w:rPr>
          <w:sz w:val="18"/>
        </w:rPr>
        <w:t>|F|=</w:t>
      </w:r>
      <w:r>
        <w:t>12)</w:t>
      </w:r>
    </w:p>
    <w:p>
      <w:pPr>
        <w:pStyle w:val="95"/>
      </w:pPr>
      <w:r>
        <w:rPr>
          <w:position w:val="-14"/>
        </w:rPr>
        <w:object>
          <v:shape id="_x0000_i1192" o:spt="75" type="#_x0000_t75" style="height:20.75pt;width:44.75pt;" o:ole="t" filled="f" o:preferrelative="t" stroked="f" coordsize="21600,21600">
            <v:path/>
            <v:fill on="f" focussize="0,0"/>
            <v:stroke on="f" joinstyle="miter"/>
            <v:imagedata r:id="rId290" o:title=""/>
            <o:lock v:ext="edit" aspectratio="t"/>
            <w10:wrap type="none"/>
            <w10:anchorlock/>
          </v:shape>
          <o:OLEObject Type="Embed" ProgID="Equation.3" ShapeID="_x0000_i1192" DrawAspect="Content" ObjectID="_1468075892" r:id="rId289">
            <o:LockedField>false</o:LockedField>
          </o:OLEObject>
        </w:object>
      </w:r>
      <w:r>
        <w:t xml:space="preserve"> are the samples of the signal evaluated for the </w:t>
      </w:r>
      <w:r>
        <w:rPr>
          <w:rFonts w:eastAsia="Osaka"/>
        </w:rPr>
        <w:t>EVM</w:t>
      </w:r>
      <w:r>
        <w:rPr>
          <w:rFonts w:eastAsia="Osaka"/>
          <w:vertAlign w:val="subscript"/>
        </w:rPr>
        <w:t>PUCCH</w:t>
      </w:r>
    </w:p>
    <w:p>
      <w:pPr>
        <w:pStyle w:val="95"/>
      </w:pPr>
      <w:r>
        <w:rPr>
          <w:position w:val="-10"/>
        </w:rPr>
        <w:object>
          <v:shape id="_x0000_i1193" o:spt="75" type="#_x0000_t75" style="height:19.1pt;width:34.9pt;" o:ole="t" filled="f" o:preferrelative="t" stroked="f" coordsize="21600,21600">
            <v:path/>
            <v:fill on="f" focussize="0,0"/>
            <v:stroke on="f" joinstyle="miter"/>
            <v:imagedata r:id="rId292" o:title=""/>
            <o:lock v:ext="edit" aspectratio="t"/>
            <w10:wrap type="none"/>
            <w10:anchorlock/>
          </v:shape>
          <o:OLEObject Type="Embed" ProgID="Equation.3" ShapeID="_x0000_i1193" DrawAspect="Content" ObjectID="_1468075893" r:id="rId291">
            <o:LockedField>false</o:LockedField>
          </o:OLEObject>
        </w:object>
      </w:r>
      <w:r>
        <w:t>is the ideal signal reconstructed by the measurement equipment, and</w:t>
      </w:r>
    </w:p>
    <w:p>
      <w:r>
        <w:rPr>
          <w:rFonts w:ascii="Arial" w:hAnsi="Arial" w:cs="Arial"/>
          <w:position w:val="-12"/>
        </w:rPr>
        <w:object>
          <v:shape id="_x0000_i1194"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94" DrawAspect="Content" ObjectID="_1468075894" r:id="rId293">
            <o:LockedField>false</o:LockedField>
          </o:OLEObject>
        </w:object>
      </w:r>
      <w:r>
        <w:t xml:space="preserve"> is the average power of the ideal signal. For normalized modulation symbols </w:t>
      </w:r>
      <w:r>
        <w:rPr>
          <w:position w:val="-12"/>
        </w:rPr>
        <w:object>
          <v:shape id="_x0000_i1195" o:spt="75" type="#_x0000_t75" style="height:19.1pt;width:13.1pt;" o:ole="t" filled="f" o:preferrelative="t" stroked="f" coordsize="21600,21600">
            <v:path/>
            <v:fill on="f" focussize="0,0"/>
            <v:stroke on="f" joinstyle="miter"/>
            <v:imagedata r:id="rId206" o:title=""/>
            <o:lock v:ext="edit" aspectratio="t"/>
            <w10:wrap type="none"/>
            <w10:anchorlock/>
          </v:shape>
          <o:OLEObject Type="Embed" ProgID="Equation.3" ShapeID="_x0000_i1195" DrawAspect="Content" ObjectID="_1468075895" r:id="rId294">
            <o:LockedField>false</o:LockedField>
          </o:OLEObject>
        </w:object>
      </w:r>
      <w:r>
        <w:t xml:space="preserve"> is equal to 1.</w:t>
      </w:r>
    </w:p>
    <w:p>
      <w:pPr>
        <w:jc w:val="both"/>
        <w:rPr>
          <w:rFonts w:eastAsia="MS Mincho"/>
        </w:rPr>
      </w:pPr>
      <w:r>
        <w:rPr>
          <w:rFonts w:eastAsia="MS Mincho"/>
        </w:rPr>
        <w:t xml:space="preserve">From the acquired samples 40 </w:t>
      </w:r>
      <w:r>
        <w:rPr>
          <w:rFonts w:eastAsia="Osaka"/>
        </w:rPr>
        <w:t>EVM</w:t>
      </w:r>
      <w:r>
        <w:rPr>
          <w:rFonts w:eastAsia="Osaka"/>
          <w:vertAlign w:val="subscript"/>
        </w:rPr>
        <w:t>PUCCH</w:t>
      </w:r>
      <w:r>
        <w:rPr>
          <w:rFonts w:eastAsia="MS Mincho"/>
        </w:rPr>
        <w:t xml:space="preserve"> value can be derived, 20 values for the timing </w:t>
      </w:r>
      <w:r>
        <w:rPr>
          <w:position w:val="-6"/>
        </w:rPr>
        <w:object>
          <v:shape id="_x0000_i1196"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96" DrawAspect="Content" ObjectID="_1468075896" r:id="rId295">
            <o:LockedField>false</o:LockedField>
          </o:OLEObject>
        </w:object>
      </w:r>
      <w:r>
        <w:t xml:space="preserve"> –W/2 and 20 values for the timing </w:t>
      </w:r>
      <w:r>
        <w:rPr>
          <w:position w:val="-6"/>
        </w:rPr>
        <w:object>
          <v:shape id="_x0000_i1197"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97" DrawAspect="Content" ObjectID="_1468075897" r:id="rId296">
            <o:LockedField>false</o:LockedField>
          </o:OLEObject>
        </w:object>
      </w:r>
      <w:r>
        <w:t xml:space="preserve"> +W/2</w:t>
      </w:r>
    </w:p>
    <w:p>
      <w:pPr>
        <w:pStyle w:val="5"/>
      </w:pPr>
      <w:bookmarkStart w:id="1174" w:name="_Toc2828"/>
      <w:r>
        <w:t>E.5.9.2</w:t>
      </w:r>
      <w:r>
        <w:tab/>
      </w:r>
      <w:r>
        <w:t>Averaged EVM</w:t>
      </w:r>
      <w:r>
        <w:rPr>
          <w:vertAlign w:val="subscript"/>
        </w:rPr>
        <w:t>PUCCH</w:t>
      </w:r>
      <w:bookmarkEnd w:id="1174"/>
    </w:p>
    <w:p>
      <w:pPr>
        <w:rPr>
          <w:color w:val="000000"/>
          <w:lang w:eastAsia="zh-CN"/>
        </w:rPr>
      </w:pPr>
      <w:r>
        <w:t>EVM</w:t>
      </w:r>
      <w:r>
        <w:rPr>
          <w:vertAlign w:val="subscript"/>
        </w:rPr>
        <w:t>PUCCH</w:t>
      </w:r>
      <w:r>
        <w:t xml:space="preserve"> is averaged over all </w:t>
      </w:r>
      <w:r>
        <w:rPr>
          <w:lang w:eastAsia="zh-CN"/>
        </w:rPr>
        <w:t xml:space="preserve">basic </w:t>
      </w:r>
      <w:r>
        <w:rPr>
          <w:rFonts w:eastAsia="Osaka"/>
        </w:rPr>
        <w:t>EVM</w:t>
      </w:r>
      <w:r>
        <w:rPr>
          <w:rFonts w:eastAsia="Osaka"/>
          <w:vertAlign w:val="subscript"/>
        </w:rPr>
        <w:t>PUCCH</w:t>
      </w:r>
      <w:r>
        <w:rPr>
          <w:lang w:eastAsia="zh-CN"/>
        </w:rPr>
        <w:t xml:space="preserve"> measurements</w:t>
      </w:r>
    </w:p>
    <w:p>
      <w:pPr>
        <w:rPr>
          <w:lang w:eastAsia="zh-CN"/>
        </w:rPr>
      </w:pPr>
      <w:r>
        <w:rPr>
          <w:lang w:eastAsia="zh-CN"/>
        </w:rPr>
        <w:t>For subslot TTI, The averaging comprises 60 UL subslots (for frame structure 2: excluding special fields(UpPTS)) for PUCCH, PUSCH, PDSCH.</w:t>
      </w:r>
    </w:p>
    <w:p>
      <w:pPr>
        <w:rPr>
          <w:color w:val="000000"/>
          <w:lang w:eastAsia="zh-CN"/>
        </w:rPr>
      </w:pPr>
      <w:r>
        <w:rPr>
          <w:lang w:eastAsia="zh-CN"/>
        </w:rPr>
        <w:t xml:space="preserve">For subframe/slot TTI, </w:t>
      </w:r>
      <w:r>
        <w:rPr>
          <w:color w:val="000000"/>
          <w:lang w:eastAsia="zh-CN"/>
        </w:rPr>
        <w:t>the averaging comprises 20 UL slots (for frame structure 2: excluding special fields(UpPTS))</w:t>
      </w:r>
    </w:p>
    <w:p>
      <w:pPr>
        <w:pStyle w:val="95"/>
        <w:rPr>
          <w:rFonts w:ascii="宋体" w:cs="宋体"/>
          <w:color w:val="000000"/>
          <w:lang w:eastAsia="zh-CN"/>
        </w:rPr>
      </w:pPr>
      <w:r>
        <w:tab/>
      </w:r>
      <w:r>
        <w:rPr>
          <w:position w:val="-30"/>
        </w:rPr>
        <w:object>
          <v:shape id="_x0000_i1198" o:spt="75" type="#_x0000_t75" style="height:36.55pt;width:174pt;" o:ole="t" filled="f" o:preferrelative="t" stroked="f" coordsize="21600,21600">
            <v:path/>
            <v:fill on="f" focussize="0,0"/>
            <v:stroke on="f" joinstyle="miter"/>
            <v:imagedata r:id="rId298" o:title=""/>
            <o:lock v:ext="edit" aspectratio="t"/>
            <w10:wrap type="none"/>
            <w10:anchorlock/>
          </v:shape>
          <o:OLEObject Type="Embed" ProgID="Equation.3" ShapeID="_x0000_i1198" DrawAspect="Content" ObjectID="_1468075898" r:id="rId297">
            <o:LockedField>false</o:LockedField>
          </o:OLEObject>
        </w:object>
      </w:r>
    </w:p>
    <w:p>
      <w:pPr>
        <w:pStyle w:val="95"/>
        <w:rPr>
          <w:color w:val="000000"/>
          <w:lang w:eastAsia="zh-CN"/>
        </w:rPr>
      </w:pPr>
      <w:r>
        <w:rPr>
          <w:color w:val="000000"/>
          <w:lang w:eastAsia="zh-CN"/>
        </w:rPr>
        <w:t>The averaging is done separately for timing¦</w:t>
      </w:r>
      <w:r>
        <w:t xml:space="preserve"> </w:t>
      </w:r>
      <w:r>
        <w:rPr>
          <w:position w:val="-6"/>
        </w:rPr>
        <w:object>
          <v:shape id="_x0000_i1199"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199" DrawAspect="Content" ObjectID="_1468075899" r:id="rId299">
            <o:LockedField>false</o:LockedField>
          </o:OLEObject>
        </w:object>
      </w:r>
      <w:r>
        <w:t xml:space="preserve"> –W/2 and </w:t>
      </w:r>
      <w:r>
        <w:rPr>
          <w:position w:val="-6"/>
        </w:rPr>
        <w:object>
          <v:shape id="_x0000_i1200"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200" DrawAspect="Content" ObjectID="_1468075900" r:id="rId300">
            <o:LockedField>false</o:LockedField>
          </o:OLEObject>
        </w:object>
      </w:r>
      <w:r>
        <w:t xml:space="preserve"> +W/2</w:t>
      </w:r>
      <w:r>
        <w:rPr>
          <w:color w:val="000000"/>
          <w:lang w:eastAsia="zh-CN"/>
        </w:rPr>
        <w:t xml:space="preserve"> leading to</w:t>
      </w:r>
      <w:r>
        <w:rPr>
          <w:position w:val="-8"/>
        </w:rPr>
        <w:object>
          <v:shape id="_x0000_i1201" o:spt="75" type="#_x0000_t75" style="height:17.45pt;width:73.65pt;" o:ole="t" filled="f" o:preferrelative="t" stroked="f" coordsize="21600,21600">
            <v:path/>
            <v:fill on="f" focussize="0,0"/>
            <v:stroke on="f" joinstyle="miter"/>
            <v:imagedata r:id="rId302" o:title=""/>
            <o:lock v:ext="edit" aspectratio="t"/>
            <w10:wrap type="none"/>
            <w10:anchorlock/>
          </v:shape>
          <o:OLEObject Type="Embed" ProgID="Equation.3" ShapeID="_x0000_i1201" DrawAspect="Content" ObjectID="_1468075901" r:id="rId301">
            <o:LockedField>false</o:LockedField>
          </o:OLEObject>
        </w:object>
      </w:r>
      <w:r>
        <w:rPr>
          <w:color w:val="000000"/>
          <w:lang w:eastAsia="zh-CN"/>
        </w:rPr>
        <w:t xml:space="preserve"> and </w:t>
      </w:r>
      <w:r>
        <w:rPr>
          <w:position w:val="-10"/>
        </w:rPr>
        <w:object>
          <v:shape id="_x0000_i1202" o:spt="75" type="#_x0000_t75" style="height:19.1pt;width:75.8pt;" o:ole="t" filled="f" o:preferrelative="t" stroked="f" coordsize="21600,21600">
            <v:path/>
            <v:fill on="f" focussize="0,0"/>
            <v:stroke on="f" joinstyle="miter"/>
            <v:imagedata r:id="rId304" o:title=""/>
            <o:lock v:ext="edit" aspectratio="t"/>
            <w10:wrap type="none"/>
            <w10:anchorlock/>
          </v:shape>
          <o:OLEObject Type="Embed" ProgID="Equation.3" ShapeID="_x0000_i1202" DrawAspect="Content" ObjectID="_1468075902" r:id="rId303">
            <o:LockedField>false</o:LockedField>
          </o:OLEObject>
        </w:object>
      </w:r>
    </w:p>
    <w:p>
      <w:pPr>
        <w:pStyle w:val="95"/>
        <w:rPr>
          <w:rFonts w:eastAsia="MS Mincho"/>
        </w:rPr>
      </w:pPr>
      <w:r>
        <w:rPr>
          <w:position w:val="-14"/>
        </w:rPr>
        <w:object>
          <v:shape id="_x0000_i1203" o:spt="75" type="#_x0000_t75" style="height:20.2pt;width:265.65pt;" o:ole="t" filled="f" o:preferrelative="t" stroked="f" coordsize="21600,21600">
            <v:path/>
            <v:fill on="f" focussize="0,0"/>
            <v:stroke on="f" joinstyle="miter"/>
            <v:imagedata r:id="rId306" o:title=""/>
            <o:lock v:ext="edit" aspectratio="t"/>
            <w10:wrap type="none"/>
            <w10:anchorlock/>
          </v:shape>
          <o:OLEObject Type="Embed" ProgID="Equation.3" ShapeID="_x0000_i1203" DrawAspect="Content" ObjectID="_1468075903" r:id="rId305">
            <o:LockedField>false</o:LockedField>
          </o:OLEObject>
        </w:object>
      </w:r>
      <w:r>
        <w:rPr>
          <w:color w:val="000000"/>
          <w:lang w:eastAsia="zh-CN"/>
        </w:rPr>
        <w:t>is compared against the test requirements.</w:t>
      </w:r>
    </w:p>
    <w:p>
      <w:pPr>
        <w:pStyle w:val="5"/>
      </w:pPr>
      <w:bookmarkStart w:id="1175" w:name="_Toc29716"/>
      <w:r>
        <w:t>E.5.9.3</w:t>
      </w:r>
      <w:r>
        <w:tab/>
      </w:r>
      <w:r>
        <w:t>In-band emissions measurement</w:t>
      </w:r>
      <w:bookmarkEnd w:id="1175"/>
    </w:p>
    <w:p>
      <w:r>
        <w:t>The in-band emissions are a measure of the interference falling into the non-allocated resources blocks</w:t>
      </w:r>
    </w:p>
    <w:p>
      <w:r>
        <w:t>Create one set of Y(t,f) per slot according to the timing “</w:t>
      </w:r>
      <w:r>
        <w:rPr>
          <w:position w:val="-6"/>
        </w:rPr>
        <w:object>
          <v:shape id="_x0000_i1204" o:spt="75" type="#_x0000_t75" style="height:14.2pt;width:19.1pt;" o:ole="t" filled="f" o:preferrelative="t" stroked="f" coordsize="21600,21600">
            <v:path/>
            <v:fill on="f" focussize="0,0"/>
            <v:stroke on="f" joinstyle="miter"/>
            <v:imagedata r:id="rId182" o:title=""/>
            <o:lock v:ext="edit" aspectratio="t"/>
            <w10:wrap type="none"/>
            <w10:anchorlock/>
          </v:shape>
          <o:OLEObject Type="Embed" ProgID="Equation.3" ShapeID="_x0000_i1204" DrawAspect="Content" ObjectID="_1468075904" r:id="rId307">
            <o:LockedField>false</o:LockedField>
          </o:OLEObject>
        </w:object>
      </w:r>
      <w:r>
        <w:t>”</w:t>
      </w:r>
    </w:p>
    <w:p>
      <w:r>
        <w:t>For the non-allocated RBs the in-band emissions are calculated as follows</w:t>
      </w:r>
    </w:p>
    <w:p>
      <w:pPr>
        <w:pStyle w:val="95"/>
      </w:pPr>
      <w:r>
        <w:tab/>
      </w:r>
      <w:r>
        <w:rPr>
          <w:position w:val="-66"/>
        </w:rPr>
        <w:object>
          <v:shape id="_x0000_i1205" o:spt="75" type="#_x0000_t75" style="height:72pt;width:324.55pt;" o:ole="t" filled="f" o:preferrelative="t" stroked="f" coordsize="21600,21600">
            <v:path/>
            <v:fill on="f" focussize="0,0"/>
            <v:stroke on="f" joinstyle="miter"/>
            <v:imagedata r:id="rId309" o:title=""/>
            <o:lock v:ext="edit" aspectratio="t"/>
            <w10:wrap type="none"/>
            <w10:anchorlock/>
          </v:shape>
          <o:OLEObject Type="Embed" ProgID="Equation.3" ShapeID="_x0000_i1205" DrawAspect="Content" ObjectID="_1468075905" r:id="rId308">
            <o:LockedField>false</o:LockedField>
          </o:OLEObject>
        </w:object>
      </w:r>
      <w:r>
        <w:t>,</w:t>
      </w:r>
    </w:p>
    <w:p>
      <w:r>
        <w:t>where</w:t>
      </w:r>
    </w:p>
    <w:p>
      <w:r>
        <w:t>the upper formula represents the inband emissions below the allocated frequency block and the lower one the inband emissions above the allocated frequency block.</w:t>
      </w:r>
    </w:p>
    <w:p>
      <w:r>
        <w:rPr>
          <w:position w:val="-12"/>
        </w:rPr>
        <w:object>
          <v:shape id="_x0000_i1206" o:spt="75" type="#_x0000_t75" style="height:19.1pt;width:13.1pt;" o:ole="t" filled="f" o:preferrelative="t" stroked="f" coordsize="21600,21600">
            <v:path/>
            <v:fill on="f" focussize="0,0"/>
            <v:stroke on="f" joinstyle="miter"/>
            <v:imagedata r:id="rId219" o:title=""/>
            <o:lock v:ext="edit" aspectratio="t"/>
            <w10:wrap type="none"/>
            <w10:anchorlock/>
          </v:shape>
          <o:OLEObject Type="Embed" ProgID="Equation.3" ShapeID="_x0000_i1206" DrawAspect="Content" ObjectID="_1468075906" r:id="rId310">
            <o:LockedField>false</o:LockedField>
          </o:OLEObject>
        </w:object>
      </w:r>
      <w:r>
        <w:rPr>
          <w:i/>
        </w:rPr>
        <w:t xml:space="preserve"> </w:t>
      </w:r>
      <w:r>
        <w:t xml:space="preserve">is a set of </w:t>
      </w:r>
      <w:r>
        <w:rPr>
          <w:position w:val="-14"/>
          <w:sz w:val="24"/>
          <w:szCs w:val="24"/>
        </w:rPr>
        <w:object>
          <v:shape id="_x0000_i1207" o:spt="75" type="#_x0000_t75" style="height:20.75pt;width:17.45pt;" o:ole="t" filled="f" o:preferrelative="t" stroked="f" coordsize="21600,21600">
            <v:path/>
            <v:fill on="f" focussize="0,0"/>
            <v:stroke on="f" joinstyle="miter"/>
            <v:imagedata r:id="rId221" o:title=""/>
            <o:lock v:ext="edit" aspectratio="t"/>
            <w10:wrap type="none"/>
            <w10:anchorlock/>
          </v:shape>
          <o:OLEObject Type="Embed" ProgID="Equation.3" ShapeID="_x0000_i1207" DrawAspect="Content" ObjectID="_1468075907" r:id="rId311">
            <o:LockedField>false</o:LockedField>
          </o:OLEObject>
        </w:object>
      </w:r>
      <w:r>
        <w:t>OFDM symbols in the measurement period,</w:t>
      </w:r>
    </w:p>
    <w:p>
      <w:r>
        <w:rPr>
          <w:position w:val="-10"/>
        </w:rPr>
        <w:object>
          <v:shape id="_x0000_i1208" o:spt="75" type="#_x0000_t75" style="height:15.25pt;width:20.75pt;" o:ole="t" filled="f" o:preferrelative="t" stroked="f" coordsize="21600,21600">
            <v:path/>
            <v:fill on="f" focussize="0,0"/>
            <v:stroke on="f" joinstyle="miter"/>
            <v:imagedata r:id="rId52" o:title=""/>
            <o:lock v:ext="edit" aspectratio="t"/>
            <w10:wrap type="none"/>
            <w10:anchorlock/>
          </v:shape>
          <o:OLEObject Type="Embed" ProgID="Equation.3" ShapeID="_x0000_i1208" DrawAspect="Content" ObjectID="_1468075908" r:id="rId312">
            <o:LockedField>false</o:LockedField>
          </o:OLEObject>
        </w:object>
      </w:r>
      <w:r>
        <w:t xml:space="preserve"> is the starting frequency offset between the allocated RB and the measured non-allocated RB (e.g. </w:t>
      </w:r>
      <w:r>
        <w:rPr>
          <w:position w:val="-10"/>
        </w:rPr>
        <w:object>
          <v:shape id="_x0000_i1209" o:spt="75" type="#_x0000_t75" style="height:17.45pt;width:38.75pt;" o:ole="t" filled="f" o:preferrelative="t" stroked="f" coordsize="21600,21600">
            <v:path/>
            <v:fill on="f" focussize="0,0"/>
            <v:stroke on="f" joinstyle="miter"/>
            <v:imagedata r:id="rId54" o:title=""/>
            <o:lock v:ext="edit" aspectratio="t"/>
            <w10:wrap type="none"/>
            <w10:anchorlock/>
          </v:shape>
          <o:OLEObject Type="Embed" ProgID="Equation.3" ShapeID="_x0000_i1209" DrawAspect="Content" ObjectID="_1468075909" r:id="rId313">
            <o:LockedField>false</o:LockedField>
          </o:OLEObject>
        </w:object>
      </w:r>
      <w:r>
        <w:t xml:space="preserve"> for the first upper or </w:t>
      </w:r>
      <w:r>
        <w:rPr>
          <w:position w:val="-10"/>
        </w:rPr>
        <w:object>
          <v:shape id="_x0000_i1210" o:spt="75" type="#_x0000_t75" style="height:17.45pt;width:46.35pt;" o:ole="t" filled="f" o:preferrelative="t" stroked="f" coordsize="21600,21600">
            <v:path/>
            <v:fill on="f" focussize="0,0"/>
            <v:stroke on="f" joinstyle="miter"/>
            <v:imagedata r:id="rId56" o:title=""/>
            <o:lock v:ext="edit" aspectratio="t"/>
            <w10:wrap type="none"/>
            <w10:anchorlock/>
          </v:shape>
          <o:OLEObject Type="Embed" ProgID="Equation.3" ShapeID="_x0000_i1210" DrawAspect="Content" ObjectID="_1468075910" r:id="rId314">
            <o:LockedField>false</o:LockedField>
          </o:OLEObject>
        </w:object>
      </w:r>
      <w:r>
        <w:t xml:space="preserve"> for the first lower adjacent RB),</w:t>
      </w:r>
    </w:p>
    <w:p>
      <w:pPr>
        <w:rPr>
          <w:lang w:eastAsia="zh-CN"/>
        </w:rPr>
      </w:pPr>
      <w:r>
        <w:rPr>
          <w:position w:val="-10"/>
        </w:rPr>
        <w:object>
          <v:shape id="_x0000_i1211" o:spt="75" type="#_x0000_t75" style="height:15.25pt;width:20.75pt;" o:ole="t" filled="f" o:preferrelative="t" stroked="f" coordsize="21600,21600">
            <v:path/>
            <v:fill on="f" focussize="0,0"/>
            <v:stroke on="f" joinstyle="miter"/>
            <v:imagedata r:id="rId226" o:title=""/>
            <o:lock v:ext="edit" aspectratio="t"/>
            <w10:wrap type="none"/>
            <w10:anchorlock/>
          </v:shape>
          <o:OLEObject Type="Embed" ProgID="Equation.3" ShapeID="_x0000_i1211" DrawAspect="Content" ObjectID="_1468075911" r:id="rId315">
            <o:LockedField>false</o:LockedField>
          </o:OLEObject>
        </w:object>
      </w:r>
      <w:r>
        <w:rPr>
          <w:lang w:eastAsia="zh-CN"/>
        </w:rPr>
        <w:t xml:space="preserve">and </w:t>
      </w:r>
      <w:r>
        <w:rPr>
          <w:position w:val="-12"/>
        </w:rPr>
        <w:object>
          <v:shape id="_x0000_i1212" o:spt="75" type="#_x0000_t75" style="height:19.1pt;width:21.8pt;" o:ole="t" filled="f" o:preferrelative="t" stroked="f" coordsize="21600,21600">
            <v:path/>
            <v:fill on="f" focussize="0,0"/>
            <v:stroke on="f" joinstyle="miter"/>
            <v:imagedata r:id="rId228" o:title=""/>
            <o:lock v:ext="edit" aspectratio="t"/>
            <w10:wrap type="none"/>
            <w10:anchorlock/>
          </v:shape>
          <o:OLEObject Type="Embed" ProgID="Equation.3" ShapeID="_x0000_i1212" DrawAspect="Content" ObjectID="_1468075912" r:id="rId316">
            <o:LockedField>false</o:LockedField>
          </o:OLEObject>
        </w:object>
      </w:r>
      <w:r>
        <w:rPr>
          <w:lang w:eastAsia="zh-CN"/>
        </w:rPr>
        <w:t>are the lower and upper edge of the UL system BW,</w:t>
      </w:r>
    </w:p>
    <w:p>
      <w:pPr>
        <w:rPr>
          <w:lang w:eastAsia="zh-CN"/>
        </w:rPr>
      </w:pPr>
      <w:r>
        <w:rPr>
          <w:position w:val="-12"/>
        </w:rPr>
        <w:object>
          <v:shape id="_x0000_i1213" o:spt="75" type="#_x0000_t75" style="height:19.1pt;width:11.45pt;" o:ole="t" filled="f" o:preferrelative="t" stroked="f" coordsize="21600,21600">
            <v:path/>
            <v:fill on="f" focussize="0,0"/>
            <v:stroke on="f" joinstyle="miter"/>
            <v:imagedata r:id="rId230" o:title=""/>
            <o:lock v:ext="edit" aspectratio="t"/>
            <w10:wrap type="none"/>
            <w10:anchorlock/>
          </v:shape>
          <o:OLEObject Type="Embed" ProgID="Equation.3" ShapeID="_x0000_i1213" DrawAspect="Content" ObjectID="_1468075913" r:id="rId317">
            <o:LockedField>false</o:LockedField>
          </o:OLEObject>
        </w:object>
      </w:r>
      <w:r>
        <w:rPr>
          <w:lang w:eastAsia="zh-CN"/>
        </w:rPr>
        <w:t xml:space="preserve"> and </w:t>
      </w:r>
      <w:r>
        <w:rPr>
          <w:position w:val="-12"/>
        </w:rPr>
        <w:object>
          <v:shape id="_x0000_i1214" o:spt="75" type="#_x0000_t75" style="height:19.1pt;width:15.25pt;" o:ole="t" filled="f" o:preferrelative="t" stroked="f" coordsize="21600,21600">
            <v:path/>
            <v:fill on="f" focussize="0,0"/>
            <v:stroke on="f" joinstyle="miter"/>
            <v:imagedata r:id="rId232" o:title=""/>
            <o:lock v:ext="edit" aspectratio="t"/>
            <w10:wrap type="none"/>
            <w10:anchorlock/>
          </v:shape>
          <o:OLEObject Type="Embed" ProgID="Equation.3" ShapeID="_x0000_i1214" DrawAspect="Content" ObjectID="_1468075914" r:id="rId318">
            <o:LockedField>false</o:LockedField>
          </o:OLEObject>
        </w:object>
      </w:r>
      <w:r>
        <w:rPr>
          <w:lang w:eastAsia="zh-CN"/>
        </w:rPr>
        <w:t xml:space="preserve"> are </w:t>
      </w:r>
      <w:r>
        <w:t xml:space="preserve">the lower </w:t>
      </w:r>
      <w:r>
        <w:rPr>
          <w:lang w:eastAsia="zh-CN"/>
        </w:rPr>
        <w:t xml:space="preserve">and upper </w:t>
      </w:r>
      <w:r>
        <w:t>edge of the allocated BW,</w:t>
      </w:r>
    </w:p>
    <w:p>
      <w:r>
        <w:rPr>
          <w:position w:val="-14"/>
        </w:rPr>
        <w:object>
          <v:shape id="_x0000_i1215" o:spt="75" type="#_x0000_t75" style="height:19.1pt;width:19.1pt;" o:ole="t" filled="f" o:preferrelative="t" stroked="f" coordsize="21600,21600">
            <v:path/>
            <v:fill on="f" focussize="0,0"/>
            <v:stroke on="f" joinstyle="miter"/>
            <v:imagedata r:id="rId234" o:title=""/>
            <o:lock v:ext="edit" aspectratio="t"/>
            <w10:wrap type="none"/>
            <w10:anchorlock/>
          </v:shape>
          <o:OLEObject Type="Embed" ProgID="Equation.3" ShapeID="_x0000_i1215" DrawAspect="Content" ObjectID="_1468075915" r:id="rId319">
            <o:LockedField>false</o:LockedField>
          </o:OLEObject>
        </w:object>
      </w:r>
      <w:r>
        <w:rPr>
          <w:lang w:eastAsia="zh-CN"/>
        </w:rPr>
        <w:t>is 15kHz,and</w:t>
      </w:r>
    </w:p>
    <w:p>
      <w:r>
        <w:rPr>
          <w:position w:val="-10"/>
        </w:rPr>
        <w:object>
          <v:shape id="_x0000_i1216" o:spt="75" type="#_x0000_t75" style="height:16.9pt;width:32.2pt;" o:ole="t" filled="f" o:preferrelative="t" stroked="f" coordsize="21600,21600">
            <v:path/>
            <v:fill on="f" focussize="0,0"/>
            <v:stroke on="f" joinstyle="miter"/>
            <v:imagedata r:id="rId236" o:title=""/>
            <o:lock v:ext="edit" aspectratio="t"/>
            <w10:wrap type="none"/>
            <w10:anchorlock/>
          </v:shape>
          <o:OLEObject Type="Embed" ProgID="Equation.3" ShapeID="_x0000_i1216" DrawAspect="Content" ObjectID="_1468075916" r:id="rId320">
            <o:LockedField>false</o:LockedField>
          </o:OLEObject>
        </w:object>
      </w:r>
      <w:r>
        <w:t xml:space="preserve"> is the frequency domain signal evaluated for in-band emissions as defined in the subsection E.5.8</w:t>
      </w:r>
    </w:p>
    <w:p>
      <w:r>
        <w:t>The relative in-band emissions are, given by</w:t>
      </w:r>
    </w:p>
    <w:p>
      <w:pPr>
        <w:pStyle w:val="95"/>
      </w:pPr>
      <w:r>
        <w:tab/>
      </w:r>
      <w:r>
        <w:rPr>
          <w:position w:val="-66"/>
        </w:rPr>
        <w:object>
          <v:shape id="_x0000_i1217" o:spt="75" type="#_x0000_t75" style="height:53.45pt;width:361.65pt;" o:ole="t" filled="f" o:preferrelative="t" stroked="f" coordsize="21600,21600">
            <v:path/>
            <v:fill on="f" focussize="0,0"/>
            <v:stroke on="f" joinstyle="miter"/>
            <v:imagedata r:id="rId322" o:title=""/>
            <o:lock v:ext="edit" aspectratio="t"/>
            <w10:wrap type="none"/>
            <w10:anchorlock/>
          </v:shape>
          <o:OLEObject Type="Embed" ProgID="Equation.3" ShapeID="_x0000_i1217" DrawAspect="Content" ObjectID="_1468075917" r:id="rId321">
            <o:LockedField>false</o:LockedField>
          </o:OLEObject>
        </w:object>
      </w:r>
    </w:p>
    <w:p>
      <w:r>
        <w:t>where</w:t>
      </w:r>
    </w:p>
    <w:p>
      <w:r>
        <w:rPr>
          <w:position w:val="-10"/>
        </w:rPr>
        <w:object>
          <v:shape id="_x0000_i1218" o:spt="75" type="#_x0000_t75" style="height:20.75pt;width:31.65pt;" o:ole="t" filled="f" o:preferrelative="t" stroked="f" coordsize="21600,21600">
            <v:path/>
            <v:fill on="f" focussize="0,0"/>
            <v:stroke on="f" joinstyle="miter"/>
            <v:imagedata r:id="rId199" o:title=""/>
            <o:lock v:ext="edit" aspectratio="t"/>
            <w10:wrap type="none"/>
            <w10:anchorlock/>
          </v:shape>
          <o:OLEObject Type="Embed" ProgID="Equation.3" ShapeID="_x0000_i1218" DrawAspect="Content" ObjectID="_1468075918" r:id="rId323">
            <o:LockedField>false</o:LockedField>
          </o:OLEObject>
        </w:object>
      </w:r>
      <w:r>
        <w:t>is the number of allocated RBs, which is always 1 in case of PUCCH</w:t>
      </w:r>
    </w:p>
    <w:p>
      <w:pPr>
        <w:rPr>
          <w:rFonts w:ascii="Arial" w:hAnsi="Arial" w:cs="Arial"/>
          <w:lang w:eastAsia="zh-CN"/>
        </w:rPr>
      </w:pPr>
      <w:r>
        <w:t xml:space="preserve"> </w:t>
      </w:r>
      <w:r>
        <w:rPr>
          <w:rFonts w:ascii="Arial" w:hAnsi="Arial" w:cs="Arial"/>
          <w:lang w:eastAsia="zh-CN"/>
        </w:rPr>
        <w:t xml:space="preserve">and </w:t>
      </w:r>
      <w:r>
        <w:rPr>
          <w:position w:val="-10"/>
        </w:rPr>
        <w:object>
          <v:shape id="_x0000_i1219" o:spt="75" type="#_x0000_t75" style="height:16.9pt;width:41.45pt;" o:ole="t" filled="f" o:preferrelative="t" stroked="f" coordsize="21600,21600">
            <v:path/>
            <v:fill on="f" focussize="0,0"/>
            <v:stroke on="f" joinstyle="miter"/>
            <v:imagedata r:id="rId245" o:title=""/>
            <o:lock v:ext="edit" aspectratio="t"/>
            <w10:wrap type="none"/>
            <w10:anchorlock/>
          </v:shape>
          <o:OLEObject Type="Embed" ProgID="Equation.3" ShapeID="_x0000_i1219" DrawAspect="Content" ObjectID="_1468075919" r:id="rId324">
            <o:LockedField>false</o:LockedField>
          </o:OLEObject>
        </w:object>
      </w:r>
      <w:r>
        <w:rPr>
          <w:lang w:eastAsia="zh-CN"/>
        </w:rPr>
        <w:t xml:space="preserve"> is the frequency domain samples for the allocated bandwidth, as defined in the subsection E.5.8</w:t>
      </w:r>
    </w:p>
    <w:p>
      <w:r>
        <w:t>Although an exclusion period for EVM is applicable in E.5.9.1, the inband emissions</w:t>
      </w:r>
      <w:r>
        <w:rPr>
          <w:rFonts w:eastAsia="MS Mincho"/>
        </w:rPr>
        <w:t xml:space="preserve"> measurement interval is </w:t>
      </w:r>
      <w:r>
        <w:t>defined over one complete slot in the time domain.</w:t>
      </w:r>
    </w:p>
    <w:p>
      <w:pPr>
        <w:rPr>
          <w:rFonts w:eastAsia="MS Mincho"/>
        </w:rPr>
      </w:pPr>
      <w:r>
        <w:rPr>
          <w:rFonts w:eastAsia="MS Mincho"/>
        </w:rPr>
        <w:t>From the acquired samples 20 functions for inband emissions can be derived.</w:t>
      </w:r>
    </w:p>
    <w:p>
      <w:pPr>
        <w:rPr>
          <w:rFonts w:eastAsia="MS Mincho"/>
        </w:rPr>
      </w:pPr>
      <w:r>
        <w:rPr>
          <w:rFonts w:eastAsia="MS Mincho"/>
        </w:rPr>
        <w:t>Since the PUCCH allocation is always on the upper or lower band-edge, the opposite of the allocated one represents the IQ image, and the remaining inner RBs represent the general inband emissions. They are compared against different limits.</w:t>
      </w:r>
    </w:p>
    <w:p>
      <w:pPr>
        <w:pStyle w:val="3"/>
      </w:pPr>
      <w:bookmarkStart w:id="1176" w:name="_Toc18595"/>
      <w:r>
        <w:t>E.6</w:t>
      </w:r>
      <w:r>
        <w:tab/>
      </w:r>
      <w:r>
        <w:t>EVM for PRACH</w:t>
      </w:r>
      <w:bookmarkEnd w:id="1176"/>
    </w:p>
    <w:p>
      <w:r>
        <w:t xml:space="preserve">The description below is generic in the sense that all 5 PRACH formats are covered. The numbers, used in the text below are taken from PRACH format#0 without excluding the other formats. The sampling rate for the PUSCH, 30.72 Msps in the time domain, is re-used for the PRACH. The carrier spacing of the PUSCH is 12 </w:t>
      </w:r>
      <w:r>
        <w:rPr>
          <w:rFonts w:eastAsia="Osaka"/>
        </w:rPr>
        <w:t>(format 0 to 3) and 2 (format 4)</w:t>
      </w:r>
      <w:r>
        <w:t xml:space="preserve"> times of the PRACH. This results in an oversampling factor of 12 </w:t>
      </w:r>
      <w:r>
        <w:rPr>
          <w:rFonts w:eastAsia="Osaka"/>
        </w:rPr>
        <w:t>(format 0 to 3) and 2 (format 4)</w:t>
      </w:r>
      <w:r>
        <w:t xml:space="preserve">, when acquiring the time samples for the PRACH. The pre-FFT algorithms (clauses E.6.6 and E.6.7) use all time samples, although oversampled. For the FFT the time samples are decimated by the factor of 12 </w:t>
      </w:r>
      <w:r>
        <w:rPr>
          <w:rFonts w:eastAsia="Osaka"/>
        </w:rPr>
        <w:t>(format 0 to 3) and 2 (format 4)</w:t>
      </w:r>
      <w:r>
        <w:t>, resulting in the same FFT size as for the other transmit modulation tests (2048). Decimation requires a decision, which samples are used and which ones are rejected. The algorithm in E.6.6, Timing of the FFT window, can also be used to decide about the used samples.</w:t>
      </w:r>
    </w:p>
    <w:p>
      <w:pPr>
        <w:pStyle w:val="4"/>
      </w:pPr>
      <w:bookmarkStart w:id="1177" w:name="_Toc19783"/>
      <w:r>
        <w:t>E.6.1</w:t>
      </w:r>
      <w:r>
        <w:tab/>
      </w:r>
      <w:r>
        <w:t>Basic principle</w:t>
      </w:r>
      <w:bookmarkEnd w:id="1177"/>
    </w:p>
    <w:p>
      <w:r>
        <w:t>The basis principle is the same as described in E.2.1</w:t>
      </w:r>
    </w:p>
    <w:p>
      <w:pPr>
        <w:pStyle w:val="4"/>
      </w:pPr>
      <w:bookmarkStart w:id="1178" w:name="_Toc12402"/>
      <w:r>
        <w:t>E.6.2</w:t>
      </w:r>
      <w:r>
        <w:tab/>
      </w:r>
      <w:r>
        <w:t>Output signal of the TX under test</w:t>
      </w:r>
      <w:bookmarkEnd w:id="1178"/>
    </w:p>
    <w:p>
      <w:r>
        <w:t>The output signal of the TX under test is processed same as described in E.2.2</w:t>
      </w:r>
    </w:p>
    <w:p>
      <w:r>
        <w:t>The measurement period is different:</w:t>
      </w:r>
    </w:p>
    <w:p>
      <w:pPr>
        <w:pStyle w:val="111"/>
      </w:pPr>
      <w:r>
        <w:t>-</w:t>
      </w:r>
      <w:r>
        <w:tab/>
      </w:r>
      <w:r>
        <w:t>2 PRACH preambles are recorded for format 0and 1,</w:t>
      </w:r>
    </w:p>
    <w:p>
      <w:pPr>
        <w:pStyle w:val="111"/>
      </w:pPr>
      <w:r>
        <w:t>-</w:t>
      </w:r>
      <w:r>
        <w:tab/>
      </w:r>
      <w:r>
        <w:t>1 PRACH preamble is recorded for format 2 and 3, each containing 1 CP and 2 preamble sequences</w:t>
      </w:r>
    </w:p>
    <w:p>
      <w:pPr>
        <w:pStyle w:val="111"/>
      </w:pPr>
      <w:r>
        <w:t>-</w:t>
      </w:r>
      <w:r>
        <w:tab/>
      </w:r>
      <w:r>
        <w:t>10 RPRACH preambles are recorded for format 4.</w:t>
      </w:r>
    </w:p>
    <w:p>
      <w:pPr>
        <w:pStyle w:val="4"/>
      </w:pPr>
      <w:bookmarkStart w:id="1179" w:name="_Toc30367"/>
      <w:r>
        <w:t>E.6.3</w:t>
      </w:r>
      <w:r>
        <w:tab/>
      </w:r>
      <w:r>
        <w:t>Reference signal</w:t>
      </w:r>
      <w:bookmarkEnd w:id="1179"/>
    </w:p>
    <w:p>
      <w:r>
        <w:t>The test description in 6.5.2.1.4.1A is based on non contention based access:</w:t>
      </w:r>
    </w:p>
    <w:p>
      <w:pPr>
        <w:pStyle w:val="111"/>
      </w:pPr>
      <w:r>
        <w:t>-</w:t>
      </w:r>
      <w:r>
        <w:tab/>
      </w:r>
      <w:r>
        <w:t>PRACH configuration index (responsible for Preamble format, System frame number and subframe number)</w:t>
      </w:r>
    </w:p>
    <w:p>
      <w:pPr>
        <w:pStyle w:val="111"/>
      </w:pPr>
      <w:r>
        <w:t>-</w:t>
      </w:r>
      <w:r>
        <w:tab/>
      </w:r>
      <w:r>
        <w:t>Preamble ID</w:t>
      </w:r>
    </w:p>
    <w:p>
      <w:pPr>
        <w:pStyle w:val="111"/>
      </w:pPr>
      <w:r>
        <w:t>-</w:t>
      </w:r>
      <w:r>
        <w:tab/>
      </w:r>
      <w:r>
        <w:t>Preamble power</w:t>
      </w:r>
    </w:p>
    <w:p>
      <w:r>
        <w:t>signalled to the UE, defines the reference signal unambiguously, such that no demodulation process is necessary to gain the reference signal.</w:t>
      </w:r>
    </w:p>
    <w:p>
      <w:r>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30.72 Msps in the time domain.</w:t>
      </w:r>
    </w:p>
    <w:p>
      <w:pPr>
        <w:pStyle w:val="4"/>
      </w:pPr>
      <w:bookmarkStart w:id="1180" w:name="_Toc30778"/>
      <w:r>
        <w:t>E.6.4</w:t>
      </w:r>
      <w:r>
        <w:tab/>
      </w:r>
      <w:r>
        <w:t>Measurement results</w:t>
      </w:r>
      <w:bookmarkEnd w:id="1180"/>
    </w:p>
    <w:p>
      <w:r>
        <w:t>The measurement result is:</w:t>
      </w:r>
    </w:p>
    <w:p>
      <w:pPr>
        <w:pStyle w:val="111"/>
      </w:pPr>
      <w:r>
        <w:t>-</w:t>
      </w:r>
      <w:r>
        <w:tab/>
      </w:r>
      <w:r>
        <w:t>EVMPRACH</w:t>
      </w:r>
    </w:p>
    <w:p>
      <w:pPr>
        <w:pStyle w:val="4"/>
      </w:pPr>
      <w:bookmarkStart w:id="1181" w:name="_Toc19827"/>
      <w:r>
        <w:t>E.6.5</w:t>
      </w:r>
      <w:r>
        <w:tab/>
      </w:r>
      <w:r>
        <w:t>Measurement points</w:t>
      </w:r>
      <w:bookmarkEnd w:id="1181"/>
    </w:p>
    <w:p>
      <w:r>
        <w:t>The measurement points are illustrated in the figure below:</w:t>
      </w:r>
    </w:p>
    <w:p>
      <w:pPr>
        <w:pStyle w:val="113"/>
      </w:pPr>
      <w:r>
        <w:drawing>
          <wp:inline distT="0" distB="0" distL="114300" distR="114300">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25"/>
                    <a:stretch>
                      <a:fillRect/>
                    </a:stretch>
                  </pic:blipFill>
                  <pic:spPr>
                    <a:xfrm>
                      <a:off x="0" y="0"/>
                      <a:ext cx="5772150" cy="1784350"/>
                    </a:xfrm>
                    <a:prstGeom prst="rect">
                      <a:avLst/>
                    </a:prstGeom>
                    <a:noFill/>
                    <a:ln>
                      <a:noFill/>
                    </a:ln>
                  </pic:spPr>
                </pic:pic>
              </a:graphicData>
            </a:graphic>
          </wp:inline>
        </w:drawing>
      </w:r>
    </w:p>
    <w:p>
      <w:pPr>
        <w:pStyle w:val="120"/>
      </w:pPr>
      <w:r>
        <w:t>Figure E.6.5-1</w:t>
      </w:r>
    </w:p>
    <w:p/>
    <w:p>
      <w:pPr>
        <w:pStyle w:val="4"/>
      </w:pPr>
      <w:bookmarkStart w:id="1182" w:name="_Toc31841"/>
      <w:r>
        <w:t>E.6.6</w:t>
      </w:r>
      <w:r>
        <w:tab/>
      </w:r>
      <w:r>
        <w:t>Pre FFT minimization process</w:t>
      </w:r>
      <w:bookmarkEnd w:id="1182"/>
    </w:p>
    <w:p>
      <w:r>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Pr>
          <w:b/>
        </w:rPr>
        <w:t xml:space="preserve"> </w:t>
      </w:r>
      <w:r>
        <w:t>z(ν) are jointly varied in order to minimise the difference between z(ν) and i(ν). Best fit (minimum difference) is achieved when the RMS difference value between z(ν) and i(ν) is an absolute minimum.</w:t>
      </w:r>
    </w:p>
    <w:p>
      <w:r>
        <w:t>After this process the samples z(ν) are called z</w:t>
      </w:r>
      <w:r>
        <w:rPr>
          <w:vertAlign w:val="superscript"/>
        </w:rPr>
        <w:t>0</w:t>
      </w:r>
      <w:r>
        <w:t>(ν).</w:t>
      </w:r>
    </w:p>
    <w:p>
      <w:r>
        <w:t>RF error, and carrier leakage are necessary for best fit of the measured signal towards the ideal signal in the pre FFT domain. However they are not used to compare them against the limits.</w:t>
      </w:r>
    </w:p>
    <w:p>
      <w:pPr>
        <w:pStyle w:val="4"/>
      </w:pPr>
      <w:bookmarkStart w:id="1183" w:name="_Toc28088"/>
      <w:r>
        <w:t>E.6.7</w:t>
      </w:r>
      <w:r>
        <w:tab/>
      </w:r>
      <w:r>
        <w:t>Timing of the FFT window</w:t>
      </w:r>
      <w:bookmarkEnd w:id="1183"/>
    </w:p>
    <w:p>
      <w:pPr>
        <w:rPr>
          <w:rFonts w:eastAsia="Osaka"/>
        </w:rPr>
      </w:pPr>
      <w:r>
        <w:rPr>
          <w:rFonts w:eastAsia="Osaka"/>
        </w:rPr>
        <w:t>The FFT window length is 24576 samples for preamble format 0, however in the measurement period is at least 27744 samples are taken. The position in time for FFT must be determined.</w:t>
      </w:r>
    </w:p>
    <w:p>
      <w:pPr>
        <w:rPr>
          <w:rFonts w:eastAsia="Osaka"/>
        </w:rPr>
      </w:pPr>
      <w:r>
        <w:rPr>
          <w:rFonts w:eastAsia="Osaka"/>
        </w:rPr>
        <w:t>In an ideal signal, the FFT may start at any instant within the cyclic prefix without causing an error. The TX filter, however, reduces the window. The EVM requirements shall be met within a window W&lt;CP.</w:t>
      </w:r>
    </w:p>
    <w:p>
      <w:r>
        <w:rPr>
          <w:rFonts w:eastAsia="Osaka"/>
        </w:rPr>
        <w:t xml:space="preserve">The reference instant for the FFT start is the centre of the reduced window, called </w:t>
      </w:r>
      <w:r>
        <w:rPr>
          <w:position w:val="-3"/>
        </w:rPr>
        <w:object>
          <v:shape id="_x0000_i1220"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0" DrawAspect="Content" ObjectID="_1468075920" r:id="rId326">
            <o:LockedField>false</o:LockedField>
          </o:OLEObject>
        </w:object>
      </w:r>
      <w:r>
        <w:t xml:space="preserve">, </w:t>
      </w:r>
    </w:p>
    <w:p>
      <w:pPr>
        <w:rPr>
          <w:rFonts w:eastAsia="Osaka"/>
        </w:rPr>
      </w:pPr>
      <w:r>
        <w:t xml:space="preserve">EVM is measured at the following two instants: </w:t>
      </w:r>
      <w:r>
        <w:rPr>
          <w:position w:val="-3"/>
        </w:rPr>
        <w:object>
          <v:shape id="_x0000_i1221"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1" DrawAspect="Content" ObjectID="_1468075921" r:id="rId327">
            <o:LockedField>false</o:LockedField>
          </o:OLEObject>
        </w:object>
      </w:r>
      <w:r>
        <w:t xml:space="preserve"> –W/2 and </w:t>
      </w:r>
      <w:r>
        <w:rPr>
          <w:position w:val="-3"/>
        </w:rPr>
        <w:object>
          <v:shape id="_x0000_i1222"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2" DrawAspect="Content" ObjectID="_1468075922" r:id="rId328">
            <o:LockedField>false</o:LockedField>
          </o:OLEObject>
        </w:object>
      </w:r>
      <w:r>
        <w:t xml:space="preserve"> +W/2. </w:t>
      </w:r>
    </w:p>
    <w:p>
      <w:r>
        <w:t>The timing of the measured signal z</w:t>
      </w:r>
      <w:r>
        <w:rPr>
          <w:vertAlign w:val="superscript"/>
        </w:rPr>
        <w:t>0</w:t>
      </w:r>
      <w:r>
        <w:t>(ν) with respect to the ideal signal i(ν) is determined in the pre FFT domain as follows:</w:t>
      </w:r>
    </w:p>
    <w:p>
      <w:r>
        <w:t>Correlation between z</w:t>
      </w:r>
      <w:r>
        <w:rPr>
          <w:vertAlign w:val="superscript"/>
        </w:rPr>
        <w:t>0</w:t>
      </w:r>
      <w:r>
        <w:t>(ν) and i(ν)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pPr>
        <w:rPr>
          <w:shd w:val="clear" w:color="auto" w:fill="00FFFF"/>
        </w:rPr>
      </w:pPr>
      <w:r>
        <w:t>W is different for different preamble formats and shown in TableE.6.7-1.</w:t>
      </w:r>
    </w:p>
    <w:p>
      <w:pPr>
        <w:pStyle w:val="113"/>
      </w:pPr>
      <w:r>
        <w:t>Table E.6.7-1EVM window length for PRACH</w:t>
      </w:r>
    </w:p>
    <w:tbl>
      <w:tblPr>
        <w:tblStyle w:val="89"/>
        <w:tblW w:w="61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6"/>
        <w:gridCol w:w="1260"/>
        <w:gridCol w:w="1174"/>
        <w:gridCol w:w="1346"/>
        <w:gridCol w:w="12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4" w:hRule="atLeast"/>
          <w:jc w:val="center"/>
        </w:trPr>
        <w:tc>
          <w:tcPr>
            <w:tcW w:w="1076" w:type="dxa"/>
            <w:shd w:val="clear" w:color="auto" w:fill="auto"/>
            <w:vAlign w:val="center"/>
          </w:tcPr>
          <w:p>
            <w:pPr>
              <w:pStyle w:val="104"/>
              <w:rPr>
                <w:lang w:eastAsia="zh-CN"/>
              </w:rPr>
            </w:pPr>
            <w:r>
              <w:rPr>
                <w:lang w:eastAsia="zh-CN"/>
              </w:rPr>
              <w:t>Preamble format</w:t>
            </w:r>
          </w:p>
        </w:tc>
        <w:tc>
          <w:tcPr>
            <w:tcW w:w="1260" w:type="dxa"/>
            <w:shd w:val="clear" w:color="auto" w:fill="auto"/>
            <w:vAlign w:val="center"/>
          </w:tcPr>
          <w:p>
            <w:pPr>
              <w:pStyle w:val="104"/>
              <w:rPr>
                <w:lang w:eastAsia="zh-CN"/>
              </w:rPr>
            </w:pPr>
            <w:r>
              <w:rPr>
                <w:lang w:eastAsia="zh-CN"/>
              </w:rPr>
              <w:t>Cyclic prefix length</w:t>
            </w:r>
            <w:r>
              <w:rPr>
                <w:vertAlign w:val="superscript"/>
                <w:lang w:eastAsia="zh-CN"/>
              </w:rPr>
              <w:t>1</w:t>
            </w:r>
            <w:r>
              <w:rPr>
                <w:lang w:eastAsia="zh-CN"/>
              </w:rPr>
              <w:t xml:space="preserve"> </w:t>
            </w:r>
            <w:r>
              <w:rPr>
                <w:position w:val="-14"/>
                <w:lang w:eastAsia="zh-CN"/>
              </w:rPr>
              <w:object>
                <v:shape id="_x0000_i1223" o:spt="75" type="#_x0000_t75" style="height:17.45pt;width:19.1pt;" o:ole="t" filled="f" o:preferrelative="t" stroked="f" coordsize="21600,21600">
                  <v:path/>
                  <v:fill on="f" focussize="0,0"/>
                  <v:stroke on="f" joinstyle="miter"/>
                  <v:imagedata r:id="rId330" o:title=""/>
                  <o:lock v:ext="edit" aspectratio="t"/>
                  <w10:wrap type="none"/>
                  <w10:anchorlock/>
                </v:shape>
                <o:OLEObject Type="Embed" ProgID="Equation.3" ShapeID="_x0000_i1223" DrawAspect="Content" ObjectID="_1468075923" r:id="rId329">
                  <o:LockedField>false</o:LockedField>
                </o:OLEObject>
              </w:object>
            </w:r>
          </w:p>
        </w:tc>
        <w:tc>
          <w:tcPr>
            <w:tcW w:w="1174" w:type="dxa"/>
            <w:shd w:val="clear" w:color="auto" w:fill="auto"/>
            <w:vAlign w:val="center"/>
          </w:tcPr>
          <w:p>
            <w:pPr>
              <w:pStyle w:val="104"/>
              <w:rPr>
                <w:lang w:eastAsia="zh-CN"/>
              </w:rPr>
            </w:pPr>
            <w:r>
              <w:rPr>
                <w:lang w:eastAsia="zh-CN"/>
              </w:rPr>
              <w:t>Nominal FFT size</w:t>
            </w:r>
            <w:r>
              <w:rPr>
                <w:vertAlign w:val="superscript"/>
                <w:lang w:eastAsia="zh-CN"/>
              </w:rPr>
              <w:t>2</w:t>
            </w:r>
          </w:p>
        </w:tc>
        <w:tc>
          <w:tcPr>
            <w:tcW w:w="1346" w:type="dxa"/>
            <w:shd w:val="clear" w:color="auto" w:fill="auto"/>
            <w:vAlign w:val="center"/>
          </w:tcPr>
          <w:p>
            <w:pPr>
              <w:pStyle w:val="104"/>
              <w:rPr>
                <w:lang w:eastAsia="zh-CN"/>
              </w:rPr>
            </w:pPr>
            <w:r>
              <w:rPr>
                <w:lang w:eastAsia="zh-CN"/>
              </w:rPr>
              <w:t xml:space="preserve">EVM window length </w:t>
            </w:r>
            <w:r>
              <w:rPr>
                <w:i/>
                <w:lang w:eastAsia="zh-CN"/>
              </w:rPr>
              <w:t>W</w:t>
            </w:r>
            <w:r>
              <w:rPr>
                <w:lang w:eastAsia="zh-CN"/>
              </w:rPr>
              <w:t xml:space="preserve"> in FFT samples</w:t>
            </w:r>
          </w:p>
        </w:tc>
        <w:tc>
          <w:tcPr>
            <w:tcW w:w="1279" w:type="dxa"/>
            <w:shd w:val="clear" w:color="auto" w:fill="auto"/>
            <w:vAlign w:val="center"/>
          </w:tcPr>
          <w:p>
            <w:pPr>
              <w:pStyle w:val="104"/>
              <w:rPr>
                <w:lang w:eastAsia="zh-CN"/>
              </w:rPr>
            </w:pPr>
            <w:r>
              <w:rPr>
                <w:lang w:eastAsia="zh-CN"/>
              </w:rPr>
              <w:t xml:space="preserve">Ratio of </w:t>
            </w:r>
            <w:r>
              <w:rPr>
                <w:i/>
                <w:lang w:eastAsia="zh-CN"/>
              </w:rPr>
              <w:t>W</w:t>
            </w:r>
            <w:r>
              <w:rPr>
                <w:lang w:eastAsia="zh-CN"/>
              </w:rPr>
              <w:t xml:space="preserve"> to CP</w:t>
            </w:r>
            <w:r>
              <w:rPr>
                <w:vertAlign w:val="superscript"/>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0</w:t>
            </w:r>
          </w:p>
        </w:tc>
        <w:tc>
          <w:tcPr>
            <w:tcW w:w="1260" w:type="dxa"/>
            <w:shd w:val="clear" w:color="auto" w:fill="auto"/>
            <w:vAlign w:val="center"/>
          </w:tcPr>
          <w:p>
            <w:pPr>
              <w:pStyle w:val="105"/>
            </w:pPr>
            <w:r>
              <w:t>3168</w:t>
            </w:r>
          </w:p>
        </w:tc>
        <w:tc>
          <w:tcPr>
            <w:tcW w:w="1174" w:type="dxa"/>
            <w:vAlign w:val="center"/>
          </w:tcPr>
          <w:p>
            <w:pPr>
              <w:pStyle w:val="105"/>
            </w:pPr>
            <w:r>
              <w:t>24576</w:t>
            </w:r>
          </w:p>
        </w:tc>
        <w:tc>
          <w:tcPr>
            <w:tcW w:w="1346" w:type="dxa"/>
            <w:vAlign w:val="center"/>
          </w:tcPr>
          <w:p>
            <w:pPr>
              <w:pStyle w:val="105"/>
            </w:pPr>
            <w:r>
              <w:t xml:space="preserve">3072 </w:t>
            </w:r>
          </w:p>
        </w:tc>
        <w:tc>
          <w:tcPr>
            <w:tcW w:w="1279" w:type="dxa"/>
          </w:tcPr>
          <w:p>
            <w:pPr>
              <w:pStyle w:val="105"/>
            </w:pPr>
            <w:r>
              <w:t xml:space="preserve">96.7%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1</w:t>
            </w:r>
          </w:p>
        </w:tc>
        <w:tc>
          <w:tcPr>
            <w:tcW w:w="1260" w:type="dxa"/>
            <w:shd w:val="clear" w:color="auto" w:fill="auto"/>
            <w:vAlign w:val="center"/>
          </w:tcPr>
          <w:p>
            <w:pPr>
              <w:pStyle w:val="105"/>
            </w:pPr>
            <w:r>
              <w:t>21024</w:t>
            </w:r>
          </w:p>
        </w:tc>
        <w:tc>
          <w:tcPr>
            <w:tcW w:w="1174" w:type="dxa"/>
            <w:vAlign w:val="center"/>
          </w:tcPr>
          <w:p>
            <w:pPr>
              <w:pStyle w:val="105"/>
            </w:pPr>
            <w:r>
              <w:t>24576</w:t>
            </w:r>
          </w:p>
        </w:tc>
        <w:tc>
          <w:tcPr>
            <w:tcW w:w="1346" w:type="dxa"/>
            <w:vAlign w:val="center"/>
          </w:tcPr>
          <w:p>
            <w:pPr>
              <w:pStyle w:val="105"/>
            </w:pPr>
            <w:r>
              <w:t xml:space="preserve">20928 </w:t>
            </w:r>
          </w:p>
        </w:tc>
        <w:tc>
          <w:tcPr>
            <w:tcW w:w="1279" w:type="dxa"/>
          </w:tcPr>
          <w:p>
            <w:pPr>
              <w:pStyle w:val="105"/>
            </w:pPr>
            <w:r>
              <w:t xml:space="preserve">99.5%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2</w:t>
            </w:r>
          </w:p>
        </w:tc>
        <w:tc>
          <w:tcPr>
            <w:tcW w:w="1260" w:type="dxa"/>
            <w:shd w:val="clear" w:color="auto" w:fill="auto"/>
            <w:vAlign w:val="center"/>
          </w:tcPr>
          <w:p>
            <w:pPr>
              <w:pStyle w:val="105"/>
            </w:pPr>
            <w:r>
              <w:t>6240</w:t>
            </w:r>
          </w:p>
        </w:tc>
        <w:tc>
          <w:tcPr>
            <w:tcW w:w="1174" w:type="dxa"/>
            <w:vAlign w:val="center"/>
          </w:tcPr>
          <w:p>
            <w:pPr>
              <w:pStyle w:val="105"/>
            </w:pPr>
            <w:r>
              <w:t>49152</w:t>
            </w:r>
          </w:p>
        </w:tc>
        <w:tc>
          <w:tcPr>
            <w:tcW w:w="1346" w:type="dxa"/>
            <w:vAlign w:val="center"/>
          </w:tcPr>
          <w:p>
            <w:pPr>
              <w:pStyle w:val="105"/>
            </w:pPr>
            <w:r>
              <w:t xml:space="preserve">6144 </w:t>
            </w:r>
          </w:p>
        </w:tc>
        <w:tc>
          <w:tcPr>
            <w:tcW w:w="1279" w:type="dxa"/>
          </w:tcPr>
          <w:p>
            <w:pPr>
              <w:pStyle w:val="105"/>
            </w:pPr>
            <w:r>
              <w:t xml:space="preserve">98.5%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3</w:t>
            </w:r>
          </w:p>
        </w:tc>
        <w:tc>
          <w:tcPr>
            <w:tcW w:w="1260" w:type="dxa"/>
            <w:shd w:val="clear" w:color="auto" w:fill="auto"/>
            <w:vAlign w:val="center"/>
          </w:tcPr>
          <w:p>
            <w:pPr>
              <w:pStyle w:val="105"/>
            </w:pPr>
            <w:r>
              <w:t>21024</w:t>
            </w:r>
          </w:p>
        </w:tc>
        <w:tc>
          <w:tcPr>
            <w:tcW w:w="1174" w:type="dxa"/>
            <w:vAlign w:val="center"/>
          </w:tcPr>
          <w:p>
            <w:pPr>
              <w:pStyle w:val="105"/>
            </w:pPr>
            <w:r>
              <w:t>49152</w:t>
            </w:r>
          </w:p>
        </w:tc>
        <w:tc>
          <w:tcPr>
            <w:tcW w:w="1346" w:type="dxa"/>
            <w:vAlign w:val="center"/>
          </w:tcPr>
          <w:p>
            <w:pPr>
              <w:pStyle w:val="105"/>
            </w:pPr>
            <w:r>
              <w:t xml:space="preserve">20928 </w:t>
            </w:r>
          </w:p>
        </w:tc>
        <w:tc>
          <w:tcPr>
            <w:tcW w:w="1279" w:type="dxa"/>
          </w:tcPr>
          <w:p>
            <w:pPr>
              <w:pStyle w:val="105"/>
            </w:pPr>
            <w:r>
              <w:t xml:space="preserve">99.5%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76" w:type="dxa"/>
            <w:vAlign w:val="center"/>
          </w:tcPr>
          <w:p>
            <w:pPr>
              <w:pStyle w:val="105"/>
            </w:pPr>
            <w:r>
              <w:t>4</w:t>
            </w:r>
          </w:p>
        </w:tc>
        <w:tc>
          <w:tcPr>
            <w:tcW w:w="1260" w:type="dxa"/>
            <w:shd w:val="clear" w:color="auto" w:fill="auto"/>
            <w:vAlign w:val="center"/>
          </w:tcPr>
          <w:p>
            <w:pPr>
              <w:pStyle w:val="105"/>
            </w:pPr>
            <w:r>
              <w:t>448</w:t>
            </w:r>
          </w:p>
        </w:tc>
        <w:tc>
          <w:tcPr>
            <w:tcW w:w="1174" w:type="dxa"/>
            <w:vAlign w:val="center"/>
          </w:tcPr>
          <w:p>
            <w:pPr>
              <w:pStyle w:val="105"/>
            </w:pPr>
            <w:r>
              <w:t>4096</w:t>
            </w:r>
          </w:p>
        </w:tc>
        <w:tc>
          <w:tcPr>
            <w:tcW w:w="1346" w:type="dxa"/>
            <w:vAlign w:val="center"/>
          </w:tcPr>
          <w:p>
            <w:pPr>
              <w:pStyle w:val="105"/>
            </w:pPr>
            <w:r>
              <w:t xml:space="preserve">432 </w:t>
            </w:r>
          </w:p>
        </w:tc>
        <w:tc>
          <w:tcPr>
            <w:tcW w:w="1279" w:type="dxa"/>
          </w:tcPr>
          <w:p>
            <w:pPr>
              <w:pStyle w:val="105"/>
            </w:pPr>
            <w:r>
              <w:t xml:space="preserve">96.4%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135" w:type="dxa"/>
            <w:gridSpan w:val="5"/>
            <w:vAlign w:val="center"/>
          </w:tcPr>
          <w:p>
            <w:pPr>
              <w:pStyle w:val="118"/>
            </w:pPr>
            <w:r>
              <w:t>Note 1:</w:t>
            </w:r>
            <w:r>
              <w:tab/>
            </w:r>
            <w:r>
              <w:tab/>
            </w:r>
            <w:r>
              <w:t>The unit is number of samples, sampling rate of 30.72MHz is assumed</w:t>
            </w:r>
          </w:p>
          <w:p>
            <w:pPr>
              <w:pStyle w:val="118"/>
            </w:pPr>
            <w:r>
              <w:t>Note 2:</w:t>
            </w:r>
            <w:r>
              <w:tab/>
            </w:r>
            <w:r>
              <w:tab/>
            </w:r>
            <w:r>
              <w:t>Decimation of time samples by 12</w:t>
            </w:r>
            <w:r>
              <w:rPr>
                <w:rFonts w:eastAsia="Osaka"/>
              </w:rPr>
              <w:t>(format 0 to 3) and factor 2 (format 4)</w:t>
            </w:r>
            <w:r>
              <w:t xml:space="preserve"> is assumed, leading to a uniform FFT size of 2048 for all formats.</w:t>
            </w:r>
          </w:p>
          <w:p>
            <w:pPr>
              <w:pStyle w:val="118"/>
            </w:pPr>
            <w:r>
              <w:t>Note 3:</w:t>
            </w:r>
            <w:r>
              <w:tab/>
            </w:r>
            <w:r>
              <w:tab/>
            </w:r>
            <w:r>
              <w:t>These percentages are informative</w:t>
            </w:r>
          </w:p>
        </w:tc>
      </w:tr>
    </w:tbl>
    <w:p>
      <w:pPr>
        <w:pStyle w:val="108"/>
      </w:pPr>
    </w:p>
    <w:p>
      <w:r>
        <w:t>The number of samples, used for FFT is reduced compared to z</w:t>
      </w:r>
      <w:r>
        <w:rPr>
          <w:vertAlign w:val="superscript"/>
        </w:rPr>
        <w:t>0</w:t>
      </w:r>
      <w:r>
        <w:t>(ν). This subset of samples is called z’’(ν).</w:t>
      </w:r>
    </w:p>
    <w:p>
      <w:r>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t>The final number of samples per PRACH preamble, used for FFT is reduced compared to z</w:t>
      </w:r>
      <w:r>
        <w:rPr>
          <w:vertAlign w:val="superscript"/>
        </w:rPr>
        <w:t>’’</w:t>
      </w:r>
      <w:r>
        <w:t xml:space="preserve">(ν) by the factor of 12 </w:t>
      </w:r>
      <w:r>
        <w:rPr>
          <w:rFonts w:eastAsia="Osaka"/>
        </w:rPr>
        <w:t>(format 0 to 3) and factor 2 (format 4)</w:t>
      </w:r>
      <w:r>
        <w:t>. This subset of samples is called z’(ν).</w:t>
      </w:r>
    </w:p>
    <w:p>
      <w:pPr>
        <w:pStyle w:val="4"/>
      </w:pPr>
      <w:bookmarkStart w:id="1184" w:name="_Toc16763"/>
      <w:r>
        <w:t>E.6.8</w:t>
      </w:r>
      <w:r>
        <w:tab/>
      </w:r>
      <w:r>
        <w:t>Post FFT equalisation</w:t>
      </w:r>
      <w:bookmarkEnd w:id="1184"/>
    </w:p>
    <w:p>
      <w:r>
        <w:t>Equalisation is not applicable for the PRACH.</w:t>
      </w:r>
    </w:p>
    <w:p>
      <w:pPr>
        <w:pStyle w:val="4"/>
      </w:pPr>
      <w:bookmarkStart w:id="1185" w:name="_Toc10314"/>
      <w:r>
        <w:t>E.6.9</w:t>
      </w:r>
      <w:r>
        <w:tab/>
      </w:r>
      <w:r>
        <w:t>Derivation of the results</w:t>
      </w:r>
      <w:bookmarkEnd w:id="1185"/>
    </w:p>
    <w:p>
      <w:pPr>
        <w:pStyle w:val="5"/>
        <w:rPr>
          <w:szCs w:val="24"/>
          <w:vertAlign w:val="subscript"/>
        </w:rPr>
      </w:pPr>
      <w:bookmarkStart w:id="1186" w:name="_Toc323"/>
      <w:r>
        <w:t>E.6.9.1</w:t>
      </w:r>
      <w:r>
        <w:tab/>
      </w:r>
      <w:r>
        <w:t>EVM</w:t>
      </w:r>
      <w:r>
        <w:rPr>
          <w:szCs w:val="24"/>
          <w:vertAlign w:val="subscript"/>
        </w:rPr>
        <w:t>PRACH</w:t>
      </w:r>
      <w:bookmarkEnd w:id="1186"/>
    </w:p>
    <w:p>
      <w:r>
        <w:t xml:space="preserve">Perform FFT on z’(ν) and i(ν) using the FFT timing </w:t>
      </w:r>
      <w:r>
        <w:rPr>
          <w:position w:val="-3"/>
        </w:rPr>
        <w:object>
          <v:shape id="_x0000_i1224"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4" DrawAspect="Content" ObjectID="_1468075924" r:id="rId331">
            <o:LockedField>false</o:LockedField>
          </o:OLEObject>
        </w:object>
      </w:r>
      <w:r>
        <w:t xml:space="preserve"> –W/2 and </w:t>
      </w:r>
      <w:r>
        <w:rPr>
          <w:position w:val="-3"/>
        </w:rPr>
        <w:object>
          <v:shape id="_x0000_i1225"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25" DrawAspect="Content" ObjectID="_1468075925" r:id="rId332">
            <o:LockedField>false</o:LockedField>
          </o:OLEObject>
        </w:object>
      </w:r>
      <w:r>
        <w:t xml:space="preserve"> +W/2.</w:t>
      </w:r>
    </w:p>
    <w:p>
      <w:r>
        <w:t>For format 2 and 3 the first and the repeated preamble sequence are FFT-converted separately. using the standard FFT length 0f 2048</w:t>
      </w:r>
    </w:p>
    <w:p>
      <w:r>
        <w:t xml:space="preserve">The </w:t>
      </w:r>
      <w:r>
        <w:rPr>
          <w:rFonts w:eastAsia="Osaka"/>
        </w:rPr>
        <w:t>EVM</w:t>
      </w:r>
      <w:r>
        <w:rPr>
          <w:rFonts w:eastAsia="Osaka"/>
          <w:vertAlign w:val="subscript"/>
        </w:rPr>
        <w:t>PRACH</w:t>
      </w:r>
      <w:r>
        <w:t xml:space="preserve"> is the difference between the ideal waveform and the measured and equalized waveform for the allocated RB(s).</w:t>
      </w:r>
    </w:p>
    <w:p>
      <w:pPr>
        <w:pStyle w:val="95"/>
      </w:pPr>
      <w:r>
        <w:rPr>
          <w:position w:val="-32"/>
        </w:rPr>
        <w:object>
          <v:shape id="_x0000_i1226" o:spt="75" type="#_x0000_t75" style="height:54.55pt;width:183.25pt;" o:ole="t" filled="t" o:preferrelative="t" stroked="f" coordsize="21600,21600">
            <v:path/>
            <v:fill on="t" color2="#000000" focussize="0,0"/>
            <v:stroke on="f" joinstyle="miter"/>
            <v:imagedata r:id="rId334" o:title=""/>
            <o:lock v:ext="edit" aspectratio="t"/>
            <w10:wrap type="none"/>
            <w10:anchorlock/>
          </v:shape>
          <o:OLEObject Type="Embed" ProgID="Equation.3" ShapeID="_x0000_i1226" DrawAspect="Content" ObjectID="_1468075926" r:id="rId333">
            <o:LockedField>false</o:LockedField>
          </o:OLEObject>
        </w:object>
      </w:r>
      <w:r>
        <w:t>,</w:t>
      </w:r>
    </w:p>
    <w:p>
      <w:r>
        <w:t>where</w:t>
      </w:r>
    </w:p>
    <w:p>
      <w:pPr>
        <w:pStyle w:val="111"/>
      </w:pPr>
      <w:r>
        <w:rPr>
          <w:rFonts w:eastAsia="Osaka"/>
        </w:rPr>
        <w:tab/>
      </w:r>
      <w:r>
        <w:rPr>
          <w:rFonts w:eastAsia="Osaka"/>
        </w:rPr>
        <w:t xml:space="preserve">f covers the count of demodulated symbols </w:t>
      </w:r>
      <w:r>
        <w:t>within the allocated bandwidth.</w:t>
      </w:r>
    </w:p>
    <w:p>
      <w:pPr>
        <w:pStyle w:val="111"/>
      </w:pPr>
      <w:r>
        <w:tab/>
      </w:r>
      <w:r>
        <w:rPr>
          <w:position w:val="-10"/>
        </w:rPr>
        <w:object>
          <v:shape id="_x0000_i1227" o:spt="75" type="#_x0000_t75" style="height:20.75pt;width:37.65pt;" o:ole="t" filled="t" o:preferrelative="t" stroked="f" coordsize="21600,21600">
            <v:path/>
            <v:fill on="t" color2="#000000" focussize="0,0"/>
            <v:stroke on="f" joinstyle="miter"/>
            <v:imagedata r:id="rId336" o:title=""/>
            <o:lock v:ext="edit" aspectratio="t"/>
            <w10:wrap type="none"/>
            <w10:anchorlock/>
          </v:shape>
          <o:OLEObject Type="Embed" ProgID="Equation.3" ShapeID="_x0000_i1227" DrawAspect="Content" ObjectID="_1468075927" r:id="rId335">
            <o:LockedField>false</o:LockedField>
          </o:OLEObject>
        </w:object>
      </w:r>
      <w:r>
        <w:t xml:space="preserve"> are the samples of the signal evaluated for the </w:t>
      </w:r>
      <w:r>
        <w:rPr>
          <w:rFonts w:eastAsia="Osaka"/>
        </w:rPr>
        <w:t>EVM</w:t>
      </w:r>
      <w:r>
        <w:rPr>
          <w:rFonts w:eastAsia="Osaka"/>
          <w:vertAlign w:val="subscript"/>
        </w:rPr>
        <w:t>PRACH</w:t>
      </w:r>
    </w:p>
    <w:p>
      <w:pPr>
        <w:pStyle w:val="111"/>
      </w:pPr>
      <w:r>
        <w:tab/>
      </w:r>
      <w:r>
        <w:rPr>
          <w:position w:val="-8"/>
        </w:rPr>
        <w:object>
          <v:shape id="_x0000_i1228" o:spt="75" type="#_x0000_t75" style="height:19.1pt;width:25.65pt;" o:ole="t" filled="t" o:preferrelative="t" stroked="f" coordsize="21600,21600">
            <v:path/>
            <v:fill on="t" color2="#000000" focussize="0,0"/>
            <v:stroke on="f" joinstyle="miter"/>
            <v:imagedata r:id="rId338" o:title=""/>
            <o:lock v:ext="edit" aspectratio="t"/>
            <w10:wrap type="none"/>
            <w10:anchorlock/>
          </v:shape>
          <o:OLEObject Type="Embed" ProgID="Equation.3" ShapeID="_x0000_i1228" DrawAspect="Content" ObjectID="_1468075928" r:id="rId337">
            <o:LockedField>false</o:LockedField>
          </o:OLEObject>
        </w:object>
      </w:r>
      <w:r>
        <w:t>is the ideal signal reconstructed by the measurement equipment, and</w:t>
      </w:r>
    </w:p>
    <w:p>
      <w:pPr>
        <w:pStyle w:val="111"/>
      </w:pPr>
      <w:r>
        <w:tab/>
      </w:r>
      <w:r>
        <w:rPr>
          <w:position w:val="-8"/>
        </w:rPr>
        <w:object>
          <v:shape id="_x0000_i1229" o:spt="75" type="#_x0000_t75" style="height:19.1pt;width:13.1pt;" o:ole="t" filled="t" o:preferrelative="t" stroked="f" coordsize="21600,21600">
            <v:path/>
            <v:fill on="t" color2="#000000" focussize="0,0"/>
            <v:stroke on="f" joinstyle="miter"/>
            <v:imagedata r:id="rId206" o:title=""/>
            <o:lock v:ext="edit" aspectratio="t"/>
            <w10:wrap type="none"/>
            <w10:anchorlock/>
          </v:shape>
          <o:OLEObject Type="Embed" ProgID="Equation.3" ShapeID="_x0000_i1229" DrawAspect="Content" ObjectID="_1468075929" r:id="rId339">
            <o:LockedField>false</o:LockedField>
          </o:OLEObject>
        </w:object>
      </w:r>
      <w:r>
        <w:t xml:space="preserve"> is the average power of the ideal signal. For normalized modulation symbols </w:t>
      </w:r>
      <w:r>
        <w:rPr>
          <w:position w:val="-8"/>
        </w:rPr>
        <w:object>
          <v:shape id="_x0000_i1230" o:spt="75" type="#_x0000_t75" style="height:19.1pt;width:13.1pt;" o:ole="t" filled="t" o:preferrelative="t" stroked="f" coordsize="21600,21600">
            <v:path/>
            <v:fill on="t" color2="#000000" focussize="0,0"/>
            <v:stroke on="f" joinstyle="miter"/>
            <v:imagedata r:id="rId206" o:title=""/>
            <o:lock v:ext="edit" aspectratio="t"/>
            <w10:wrap type="none"/>
            <w10:anchorlock/>
          </v:shape>
          <o:OLEObject Type="Embed" ProgID="Equation.3" ShapeID="_x0000_i1230" DrawAspect="Content" ObjectID="_1468075930" r:id="rId340">
            <o:LockedField>false</o:LockedField>
          </o:OLEObject>
        </w:object>
      </w:r>
      <w:r>
        <w:t xml:space="preserve"> is equal to 1.</w:t>
      </w:r>
    </w:p>
    <w:p>
      <w:pPr>
        <w:pStyle w:val="111"/>
        <w:rPr>
          <w:lang w:eastAsia="zh-CN"/>
        </w:rPr>
      </w:pPr>
      <w:r>
        <w:tab/>
      </w:r>
      <w:r>
        <w:rPr>
          <w:position w:val="-12"/>
        </w:rPr>
        <w:object>
          <v:shape id="_x0000_i1231" o:spt="75" type="#_x0000_t75" style="height:19.1pt;width:21.8pt;" o:ole="t" filled="f" o:preferrelative="t" stroked="f" coordsize="21600,21600">
            <v:path/>
            <v:fill on="f" focussize="0,0"/>
            <v:stroke on="f" joinstyle="miter"/>
            <v:imagedata r:id="rId342" o:title=""/>
            <o:lock v:ext="edit" aspectratio="t"/>
            <w10:wrap type="none"/>
            <w10:anchorlock/>
          </v:shape>
          <o:OLEObject Type="Embed" ProgID="Equation.DSMT4" ShapeID="_x0000_i1231" DrawAspect="Content" ObjectID="_1468075931" r:id="rId341">
            <o:LockedField>false</o:LockedField>
          </o:OLEObject>
        </w:object>
      </w:r>
      <w:r>
        <w:rPr>
          <w:lang w:eastAsia="zh-CN"/>
        </w:rPr>
        <w:t xml:space="preserve"> is random access preamble sequence length.</w:t>
      </w:r>
    </w:p>
    <w:p>
      <w:r>
        <w:rPr>
          <w:rFonts w:eastAsia="MS Mincho"/>
        </w:rPr>
        <w:t xml:space="preserve">From the acquired samples 4 </w:t>
      </w:r>
      <w:r>
        <w:rPr>
          <w:rFonts w:eastAsia="Osaka"/>
        </w:rPr>
        <w:t>EVM</w:t>
      </w:r>
      <w:r>
        <w:rPr>
          <w:rFonts w:eastAsia="Osaka"/>
          <w:vertAlign w:val="subscript"/>
        </w:rPr>
        <w:t>PRACH</w:t>
      </w:r>
      <w:r>
        <w:rPr>
          <w:rFonts w:eastAsia="MS Mincho"/>
        </w:rPr>
        <w:t xml:space="preserve"> value can be derived, 2 values for the timing </w:t>
      </w:r>
      <w:r>
        <w:rPr>
          <w:position w:val="-3"/>
        </w:rPr>
        <w:object>
          <v:shape id="_x0000_i1232"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32" DrawAspect="Content" ObjectID="_1468075932" r:id="rId343">
            <o:LockedField>false</o:LockedField>
          </o:OLEObject>
        </w:object>
      </w:r>
      <w:r>
        <w:t xml:space="preserve"> –W/2 and 2 values for the timing </w:t>
      </w:r>
      <w:r>
        <w:rPr>
          <w:position w:val="-3"/>
        </w:rPr>
        <w:object>
          <v:shape id="_x0000_i1233"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33" DrawAspect="Content" ObjectID="_1468075933" r:id="rId344">
            <o:LockedField>false</o:LockedField>
          </o:OLEObject>
        </w:object>
      </w:r>
      <w:r>
        <w:t xml:space="preserve"> +W/2 (4 and 2 applies for format 0,1,2,3. 20 and 10 applies for format 4).</w:t>
      </w:r>
    </w:p>
    <w:p>
      <w:pPr>
        <w:pStyle w:val="5"/>
        <w:rPr>
          <w:szCs w:val="28"/>
          <w:vertAlign w:val="subscript"/>
        </w:rPr>
      </w:pPr>
      <w:bookmarkStart w:id="1187" w:name="_Toc29468"/>
      <w:r>
        <w:t>E.6.9.2</w:t>
      </w:r>
      <w:r>
        <w:tab/>
      </w:r>
      <w:r>
        <w:t>Averaged EVM</w:t>
      </w:r>
      <w:r>
        <w:rPr>
          <w:szCs w:val="28"/>
          <w:vertAlign w:val="subscript"/>
        </w:rPr>
        <w:t>PRACH</w:t>
      </w:r>
      <w:bookmarkEnd w:id="1187"/>
    </w:p>
    <w:p>
      <w:pPr>
        <w:rPr>
          <w:rFonts w:eastAsia="×–¾’©‘Ì"/>
        </w:rPr>
      </w:pPr>
      <w:r>
        <w:rPr>
          <w:rFonts w:eastAsia="×–¾’©‘Ì"/>
        </w:rPr>
        <w:t xml:space="preserve">The PRACH EVM, </w:t>
      </w:r>
      <w:r>
        <w:rPr>
          <w:rFonts w:eastAsia="×–¾’©‘Ì"/>
          <w:position w:val="-12"/>
        </w:rPr>
        <w:object>
          <v:shape id="_x0000_i1234" o:spt="75" type="#_x0000_t75" style="height:19.1pt;width:54.55pt;" o:ole="t" filled="f" o:preferrelative="t" stroked="f" coordsize="21600,21600">
            <v:path/>
            <v:fill on="f" focussize="0,0"/>
            <v:stroke on="f" joinstyle="miter"/>
            <v:imagedata r:id="rId346" o:title=""/>
            <o:lock v:ext="edit" aspectratio="t"/>
            <w10:wrap type="none"/>
            <w10:anchorlock/>
          </v:shape>
          <o:OLEObject Type="Embed" ProgID="Equation.3" ShapeID="_x0000_i1234" DrawAspect="Content" ObjectID="_1468075934" r:id="rId345">
            <o:LockedField>false</o:LockedField>
          </o:OLEObject>
        </w:object>
      </w:r>
      <w:r>
        <w:rPr>
          <w:rFonts w:eastAsia="×–¾’©‘Ì"/>
        </w:rPr>
        <w:t>, is averaged over two preamble sequence measurements for preamble formats 0, 1, 2, 3, and it is averaged over 10 preamble sequence measurements for preamble format 4.</w:t>
      </w:r>
    </w:p>
    <w:p>
      <w:pPr>
        <w:pStyle w:val="95"/>
        <w:rPr>
          <w:sz w:val="18"/>
        </w:rPr>
      </w:pPr>
      <w:r>
        <w:tab/>
      </w:r>
      <w:r>
        <w:rPr>
          <w:position w:val="-27"/>
        </w:rPr>
        <w:object>
          <v:shape id="_x0000_i1235" o:spt="75" type="#_x0000_t75" style="height:36.55pt;width:166.9pt;" o:ole="t" filled="t" o:preferrelative="t" stroked="f" coordsize="21600,21600">
            <v:path/>
            <v:fill on="t" color2="#000000" focussize="0,0"/>
            <v:stroke on="f" joinstyle="miter"/>
            <v:imagedata r:id="rId348" o:title=""/>
            <o:lock v:ext="edit" aspectratio="t"/>
            <w10:wrap type="none"/>
            <w10:anchorlock/>
          </v:shape>
          <o:OLEObject Type="Embed" ProgID="Equation.3" ShapeID="_x0000_i1235" DrawAspect="Content" ObjectID="_1468075935" r:id="rId347">
            <o:LockedField>false</o:LockedField>
          </o:OLEObject>
        </w:object>
      </w:r>
      <w:r>
        <w:rPr>
          <w:sz w:val="18"/>
        </w:rPr>
        <w:t xml:space="preserve"> for preamble formats 0,1,2,3</w:t>
      </w:r>
    </w:p>
    <w:p>
      <w:pPr>
        <w:pStyle w:val="95"/>
      </w:pPr>
      <w:r>
        <w:rPr>
          <w:position w:val="-30"/>
        </w:rPr>
        <w:object>
          <v:shape id="_x0000_i1236" o:spt="75" type="#_x0000_t75" style="height:36.55pt;width:172.35pt;" o:ole="t" filled="t" o:preferrelative="t" stroked="f" coordsize="21600,21600">
            <v:path/>
            <v:fill on="t" color2="#000000" focussize="0,0"/>
            <v:stroke on="f" joinstyle="miter"/>
            <v:imagedata r:id="rId350" o:title=""/>
            <o:lock v:ext="edit" aspectratio="t"/>
            <w10:wrap type="none"/>
            <w10:anchorlock/>
          </v:shape>
          <o:OLEObject Type="Embed" ProgID="Equation.3" ShapeID="_x0000_i1236" DrawAspect="Content" ObjectID="_1468075936" r:id="rId349">
            <o:LockedField>false</o:LockedField>
          </o:OLEObject>
        </w:object>
      </w:r>
      <w:r>
        <w:rPr>
          <w:sz w:val="18"/>
        </w:rPr>
        <w:t xml:space="preserve"> for preamble format 4</w:t>
      </w:r>
    </w:p>
    <w:p>
      <w:r>
        <w:rPr>
          <w:color w:val="000000"/>
        </w:rPr>
        <w:t>The averaging is done separately for timing¦</w:t>
      </w:r>
      <w:r>
        <w:t xml:space="preserve"> </w:t>
      </w:r>
      <w:r>
        <w:rPr>
          <w:position w:val="-3"/>
        </w:rPr>
        <w:object>
          <v:shape id="_x0000_i1237"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37" DrawAspect="Content" ObjectID="_1468075937" r:id="rId351">
            <o:LockedField>false</o:LockedField>
          </o:OLEObject>
        </w:object>
      </w:r>
      <w:r>
        <w:t xml:space="preserve"> –W/2 and </w:t>
      </w:r>
      <w:r>
        <w:rPr>
          <w:position w:val="-3"/>
        </w:rPr>
        <w:object>
          <v:shape id="_x0000_i1238" o:spt="75" type="#_x0000_t75" style="height:14.2pt;width:19.1pt;" o:ole="t" filled="t" o:preferrelative="t" stroked="f" coordsize="21600,21600">
            <v:path/>
            <v:fill on="t" color2="#000000" focussize="0,0"/>
            <v:stroke on="f" joinstyle="miter"/>
            <v:imagedata r:id="rId182" o:title=""/>
            <o:lock v:ext="edit" aspectratio="t"/>
            <w10:wrap type="none"/>
            <w10:anchorlock/>
          </v:shape>
          <o:OLEObject Type="Embed" ProgID="Equation.3" ShapeID="_x0000_i1238" DrawAspect="Content" ObjectID="_1468075938" r:id="rId352">
            <o:LockedField>false</o:LockedField>
          </o:OLEObject>
        </w:object>
      </w:r>
      <w:r>
        <w:t xml:space="preserve"> +W/2</w:t>
      </w:r>
      <w:r>
        <w:rPr>
          <w:color w:val="000000"/>
        </w:rPr>
        <w:t xml:space="preserve"> leading to</w:t>
      </w:r>
      <w:r>
        <w:rPr>
          <w:position w:val="-7"/>
        </w:rPr>
        <w:object>
          <v:shape id="_x0000_i1239" o:spt="75" type="#_x0000_t75" style="height:17.45pt;width:70.9pt;" o:ole="t" filled="t" o:preferrelative="t" stroked="f" coordsize="21600,21600">
            <v:path/>
            <v:fill on="t" color2="#000000" focussize="0,0"/>
            <v:stroke on="f" joinstyle="miter"/>
            <v:imagedata r:id="rId354" o:title=""/>
            <o:lock v:ext="edit" aspectratio="t"/>
            <w10:wrap type="none"/>
            <w10:anchorlock/>
          </v:shape>
          <o:OLEObject Type="Embed" ProgID="Equation.3" ShapeID="_x0000_i1239" DrawAspect="Content" ObjectID="_1468075939" r:id="rId353">
            <o:LockedField>false</o:LockedField>
          </o:OLEObject>
        </w:object>
      </w:r>
      <w:r>
        <w:rPr>
          <w:color w:val="000000"/>
        </w:rPr>
        <w:t xml:space="preserve"> and </w:t>
      </w:r>
      <w:r>
        <w:rPr>
          <w:position w:val="-8"/>
        </w:rPr>
        <w:object>
          <v:shape id="_x0000_i1240" o:spt="75" type="#_x0000_t75" style="height:19.1pt;width:74.75pt;" o:ole="t" filled="t" o:preferrelative="t" stroked="f" coordsize="21600,21600">
            <v:path/>
            <v:fill on="t" color2="#000000" focussize="0,0"/>
            <v:stroke on="f" joinstyle="miter"/>
            <v:imagedata r:id="rId356" o:title=""/>
            <o:lock v:ext="edit" aspectratio="t"/>
            <w10:wrap type="none"/>
            <w10:anchorlock/>
          </v:shape>
          <o:OLEObject Type="Embed" ProgID="Equation.3" ShapeID="_x0000_i1240" DrawAspect="Content" ObjectID="_1468075940" r:id="rId355">
            <o:LockedField>false</o:LockedField>
          </o:OLEObject>
        </w:object>
      </w:r>
    </w:p>
    <w:p>
      <w:pPr>
        <w:rPr>
          <w:color w:val="000000"/>
        </w:rPr>
      </w:pPr>
      <w:r>
        <w:rPr>
          <w:position w:val="-10"/>
        </w:rPr>
        <w:object>
          <v:shape id="_x0000_i1241" o:spt="75" type="#_x0000_t75" style="height:20.2pt;width:268.35pt;" o:ole="t" filled="t" o:preferrelative="t" stroked="f" coordsize="21600,21600">
            <v:path/>
            <v:fill on="t" color2="#000000" focussize="0,0"/>
            <v:stroke on="f" joinstyle="miter"/>
            <v:imagedata r:id="rId358" o:title=""/>
            <o:lock v:ext="edit" aspectratio="t"/>
            <w10:wrap type="none"/>
            <w10:anchorlock/>
          </v:shape>
          <o:OLEObject Type="Embed" ProgID="Equation.3" ShapeID="_x0000_i1241" DrawAspect="Content" ObjectID="_1468075941" r:id="rId357">
            <o:LockedField>false</o:LockedField>
          </o:OLEObject>
        </w:object>
      </w:r>
      <w:r>
        <w:rPr>
          <w:color w:val="000000"/>
        </w:rPr>
        <w:t>is compared against the test requirements.</w:t>
      </w:r>
    </w:p>
    <w:p>
      <w:pPr>
        <w:pStyle w:val="3"/>
        <w:rPr>
          <w:rFonts w:eastAsia="宋体"/>
          <w:vertAlign w:val="subscript"/>
          <w:lang w:val="en-US" w:eastAsia="zh-CN"/>
        </w:rPr>
      </w:pPr>
      <w:bookmarkStart w:id="1188" w:name="_Toc30840"/>
      <w:r>
        <w:t>E.7</w:t>
      </w:r>
      <w:r>
        <w:tab/>
      </w:r>
      <w:r>
        <w:rPr>
          <w:rFonts w:hint="eastAsia" w:eastAsia="宋体"/>
          <w:lang w:val="en-US" w:eastAsia="zh-CN"/>
        </w:rPr>
        <w:t>[FFS]</w:t>
      </w:r>
      <w:bookmarkEnd w:id="1188"/>
    </w:p>
    <w:p/>
    <w:p>
      <w:pPr>
        <w:pStyle w:val="3"/>
        <w:rPr>
          <w:vertAlign w:val="subscript"/>
        </w:rPr>
      </w:pPr>
      <w:bookmarkStart w:id="1189" w:name="_Toc9243"/>
      <w:r>
        <w:t>E.8</w:t>
      </w:r>
      <w:r>
        <w:tab/>
      </w:r>
      <w:r>
        <w:t>EVM for category NB1</w:t>
      </w:r>
      <w:bookmarkEnd w:id="1189"/>
    </w:p>
    <w:p>
      <w:pPr>
        <w:pStyle w:val="4"/>
      </w:pPr>
      <w:bookmarkStart w:id="1190" w:name="_Toc18620"/>
      <w:r>
        <w:t>E.8.1</w:t>
      </w:r>
      <w:r>
        <w:tab/>
      </w:r>
      <w:r>
        <w:t>Averaged EVM</w:t>
      </w:r>
      <w:bookmarkEnd w:id="1190"/>
    </w:p>
    <w:p>
      <w:pPr>
        <w:autoSpaceDE w:val="0"/>
        <w:autoSpaceDN w:val="0"/>
        <w:adjustRightInd w:val="0"/>
        <w:spacing w:after="0"/>
        <w:rPr>
          <w:lang w:eastAsia="de-DE"/>
        </w:rPr>
      </w:pPr>
      <w:r>
        <w:rPr>
          <w:lang w:eastAsia="de-DE"/>
        </w:rPr>
        <w:t>The general EVM for category NB1 is calculated using the procedure defined in Annex E.4 with the exception that the general EVM is averaged over basic EVM measurements for 240/</w:t>
      </w:r>
      <w:r>
        <w:rPr>
          <w:i/>
          <w:iCs/>
          <w:lang w:eastAsia="de-DE"/>
        </w:rPr>
        <w:t>L</w:t>
      </w:r>
      <w:r>
        <w:rPr>
          <w:i/>
          <w:iCs/>
          <w:sz w:val="13"/>
          <w:szCs w:val="13"/>
          <w:lang w:eastAsia="de-DE"/>
        </w:rPr>
        <w:t xml:space="preserve">Ctone </w:t>
      </w:r>
      <w:r>
        <w:rPr>
          <w:lang w:eastAsia="de-DE"/>
        </w:rPr>
        <w:t xml:space="preserve">slots in the time domain, where </w:t>
      </w:r>
      <w:r>
        <w:rPr>
          <w:i/>
          <w:iCs/>
          <w:lang w:eastAsia="de-DE"/>
        </w:rPr>
        <w:t>L</w:t>
      </w:r>
      <w:r>
        <w:rPr>
          <w:i/>
          <w:iCs/>
          <w:sz w:val="13"/>
          <w:szCs w:val="13"/>
          <w:lang w:eastAsia="de-DE"/>
        </w:rPr>
        <w:t xml:space="preserve">Ctone </w:t>
      </w:r>
      <w:r>
        <w:rPr>
          <w:lang w:eastAsia="de-DE"/>
        </w:rPr>
        <w:t>= {1, 3, 6, 12} is the number of subcarriers for the transmission.</w:t>
      </w:r>
    </w:p>
    <w:p>
      <w:pPr>
        <w:pStyle w:val="4"/>
      </w:pPr>
      <w:bookmarkStart w:id="1191" w:name="_Toc5161"/>
      <w:r>
        <w:t>E.8.2</w:t>
      </w:r>
      <w:r>
        <w:tab/>
      </w:r>
      <w:r>
        <w:t>EVM of Demodulation reference symbols (EVM</w:t>
      </w:r>
      <w:r>
        <w:rPr>
          <w:szCs w:val="28"/>
          <w:vertAlign w:val="subscript"/>
        </w:rPr>
        <w:t>DMRS</w:t>
      </w:r>
      <w:r>
        <w:t>)</w:t>
      </w:r>
      <w:bookmarkEnd w:id="1191"/>
    </w:p>
    <w:p>
      <w:pPr>
        <w:autoSpaceDE w:val="0"/>
        <w:autoSpaceDN w:val="0"/>
        <w:adjustRightInd w:val="0"/>
        <w:spacing w:after="0"/>
        <w:rPr>
          <w:i/>
          <w:iCs/>
          <w:sz w:val="13"/>
          <w:szCs w:val="13"/>
          <w:lang w:eastAsia="de-DE"/>
        </w:rPr>
      </w:pPr>
      <w:r>
        <w:rPr>
          <w:lang w:eastAsia="de-DE"/>
        </w:rPr>
        <w:t xml:space="preserve">The calculation of the EVM for the demodulation reference symbols for category NB1 follows the procedure defined for DMRS in Annex E.4 with the exception that the basic </w:t>
      </w:r>
      <w:r>
        <w:rPr>
          <w:i/>
          <w:iCs/>
          <w:lang w:eastAsia="de-DE"/>
        </w:rPr>
        <w:t xml:space="preserve">EVM </w:t>
      </w:r>
      <w:r>
        <w:rPr>
          <w:sz w:val="13"/>
          <w:szCs w:val="13"/>
          <w:lang w:eastAsia="de-DE"/>
        </w:rPr>
        <w:t xml:space="preserve">DMRS </w:t>
      </w:r>
      <w:r>
        <w:rPr>
          <w:lang w:eastAsia="de-DE"/>
        </w:rPr>
        <w:t xml:space="preserve">measurements are first averaged over 240/ </w:t>
      </w:r>
      <w:r>
        <w:rPr>
          <w:i/>
          <w:iCs/>
          <w:lang w:eastAsia="de-DE"/>
        </w:rPr>
        <w:t>L</w:t>
      </w:r>
      <w:r>
        <w:rPr>
          <w:i/>
          <w:iCs/>
          <w:sz w:val="13"/>
          <w:szCs w:val="13"/>
          <w:lang w:eastAsia="de-DE"/>
        </w:rPr>
        <w:t>Ctone</w:t>
      </w:r>
      <w:r>
        <w:rPr>
          <w:lang w:eastAsia="de-DE"/>
        </w:rPr>
        <w:t xml:space="preserve"> slots to obtain the intermediate average EVM.</w:t>
      </w:r>
    </w:p>
    <w:p>
      <w:pPr>
        <w:pStyle w:val="4"/>
      </w:pPr>
      <w:bookmarkStart w:id="1192" w:name="_Toc13864"/>
      <w:r>
        <w:t>E.8.3</w:t>
      </w:r>
      <w:r>
        <w:tab/>
      </w:r>
      <w:r>
        <w:t>EVM for NPRACH</w:t>
      </w:r>
      <w:bookmarkEnd w:id="1192"/>
    </w:p>
    <w:p>
      <w:pPr>
        <w:autoSpaceDE w:val="0"/>
        <w:autoSpaceDN w:val="0"/>
        <w:adjustRightInd w:val="0"/>
        <w:spacing w:after="0"/>
        <w:rPr>
          <w:lang w:eastAsia="de-DE"/>
        </w:rPr>
      </w:pPr>
      <w:r>
        <w:rPr>
          <w:lang w:eastAsia="de-DE"/>
        </w:rPr>
        <w:t xml:space="preserve">The calculation of the NPRACH EVM for both formats follows the procedure defined for PRACH in Annex E.6 with the exception that </w:t>
      </w:r>
      <w:r>
        <w:rPr>
          <w:i/>
          <w:iCs/>
          <w:lang w:eastAsia="de-DE"/>
        </w:rPr>
        <w:t xml:space="preserve">EVM </w:t>
      </w:r>
      <w:r>
        <w:rPr>
          <w:sz w:val="13"/>
          <w:szCs w:val="13"/>
          <w:lang w:eastAsia="de-DE"/>
        </w:rPr>
        <w:t xml:space="preserve">PRACH </w:t>
      </w:r>
      <w:r>
        <w:rPr>
          <w:lang w:eastAsia="de-DE"/>
        </w:rPr>
        <w:t>is averaged over 64 preamble measurements.</w:t>
      </w:r>
    </w:p>
    <w:p>
      <w:pPr>
        <w:pStyle w:val="4"/>
      </w:pPr>
      <w:bookmarkStart w:id="1193" w:name="_Toc29387"/>
      <w:r>
        <w:t>E.8.4</w:t>
      </w:r>
      <w:r>
        <w:tab/>
      </w:r>
      <w:r>
        <w:t>Window length for category NB1</w:t>
      </w:r>
      <w:bookmarkEnd w:id="1193"/>
    </w:p>
    <w:p>
      <w:pPr>
        <w:autoSpaceDE w:val="0"/>
        <w:autoSpaceDN w:val="0"/>
        <w:adjustRightInd w:val="0"/>
        <w:spacing w:after="0"/>
        <w:rPr>
          <w:lang w:eastAsia="de-DE"/>
        </w:rPr>
      </w:pPr>
      <w:r>
        <w:rPr>
          <w:lang w:eastAsia="de-DE"/>
        </w:rPr>
        <w:t>The EVM window length, W, for NPUSCH is set to 1 (in FFT samples where the nominal FFT size is 128 for 15 kHz sub-carrier spacing and 512 for 3.75 kHz sub-carrier spacing).</w:t>
      </w:r>
    </w:p>
    <w:p>
      <w:pPr>
        <w:autoSpaceDE w:val="0"/>
        <w:autoSpaceDN w:val="0"/>
        <w:adjustRightInd w:val="0"/>
        <w:spacing w:after="0"/>
      </w:pPr>
      <w:r>
        <w:rPr>
          <w:lang w:eastAsia="de-DE"/>
        </w:rPr>
        <w:t>The EVM window length, W, for NPRACH is set to 110 for preamble format 0 and to 494 for preamble format 1 (both in FFT samples where the nominal FFT size is 512).</w:t>
      </w:r>
    </w:p>
    <w:p>
      <w:pPr>
        <w:pStyle w:val="11"/>
      </w:pPr>
      <w:bookmarkStart w:id="1194" w:name="_Toc1710"/>
      <w:bookmarkStart w:id="1195" w:name="_Toc232582174"/>
      <w:r>
        <w:t>Annex F (normative):</w:t>
      </w:r>
      <w:r>
        <w:br w:type="textWrapping"/>
      </w:r>
      <w:r>
        <w:t>Measurement uncertainties and Test Tolerances</w:t>
      </w:r>
      <w:bookmarkEnd w:id="1194"/>
      <w:bookmarkEnd w:id="1195"/>
    </w:p>
    <w:p>
      <w:pPr>
        <w:pStyle w:val="3"/>
      </w:pPr>
      <w:bookmarkStart w:id="1196" w:name="_Toc6284"/>
      <w:bookmarkStart w:id="1197" w:name="_Toc232582175"/>
      <w:r>
        <w:t>F.1</w:t>
      </w:r>
      <w:r>
        <w:tab/>
      </w:r>
      <w:r>
        <w:t>Acceptable uncertainty of Test System (normative)</w:t>
      </w:r>
      <w:bookmarkEnd w:id="1196"/>
      <w:bookmarkEnd w:id="1197"/>
    </w:p>
    <w:p>
      <w:r>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r>
        <w:t>A confidence level of 95 % is the measurement uncertainty tolerance interval for a specific measurement that contains 95 % of the performance of a population of test equipment.</w:t>
      </w:r>
    </w:p>
    <w:p>
      <w:r>
        <w:t>For RF tests it should be noted that the uncertainties in clause F.1 apply to the Test System operating into a nominal 50 ohm load and do not include system effects due to mismatch between the DUT and the Test System.</w:t>
      </w:r>
    </w:p>
    <w:p>
      <w:bookmarkStart w:id="1198" w:name="_Toc232582176"/>
      <w:r>
        <w:rPr>
          <w:rFonts w:eastAsia="MS Mincho"/>
          <w:lang w:eastAsia="ja-JP"/>
        </w:rPr>
        <w:t>T</w:t>
      </w:r>
      <w:r>
        <w:t>he downlink signal uncertainties apply at each receiver antenna connector.</w:t>
      </w:r>
    </w:p>
    <w:p>
      <w:pPr>
        <w:pStyle w:val="4"/>
      </w:pPr>
      <w:bookmarkStart w:id="1199" w:name="_Toc14736"/>
      <w:r>
        <w:t>F.1.1</w:t>
      </w:r>
      <w:r>
        <w:tab/>
      </w:r>
      <w:r>
        <w:rPr>
          <w:lang w:eastAsia="sv-SE"/>
        </w:rPr>
        <w:t>Measurement of test environments</w:t>
      </w:r>
      <w:bookmarkEnd w:id="1198"/>
      <w:bookmarkEnd w:id="1199"/>
    </w:p>
    <w:p>
      <w:pPr>
        <w:rPr>
          <w:lang w:eastAsia="sv-SE"/>
        </w:rPr>
      </w:pPr>
      <w:r>
        <w:rPr>
          <w:lang w:eastAsia="sv-SE"/>
        </w:rPr>
        <w:t xml:space="preserve">The measurement accuracy of the </w:t>
      </w:r>
      <w:r>
        <w:rPr>
          <w:lang w:eastAsia="ja-JP"/>
        </w:rPr>
        <w:t>UE</w:t>
      </w:r>
      <w:r>
        <w:rPr>
          <w:lang w:eastAsia="sv-SE"/>
        </w:rPr>
        <w:t xml:space="preserve"> test environments defined in </w:t>
      </w:r>
      <w:r>
        <w:rPr>
          <w:lang w:eastAsia="ja-JP"/>
        </w:rPr>
        <w:t>TS 36.508 subclause 4.1</w:t>
      </w:r>
      <w:r>
        <w:rPr>
          <w:lang w:eastAsia="sv-SE"/>
        </w:rPr>
        <w:t>, Test environments shall be.</w:t>
      </w:r>
    </w:p>
    <w:p>
      <w:pPr>
        <w:pStyle w:val="111"/>
        <w:rPr>
          <w:snapToGrid w:val="0"/>
          <w:lang w:eastAsia="sv-SE"/>
        </w:rPr>
      </w:pPr>
      <w:r>
        <w:rPr>
          <w:snapToGrid w:val="0"/>
          <w:lang w:eastAsia="sv-SE"/>
        </w:rPr>
        <w:t>-</w:t>
      </w:r>
      <w:r>
        <w:rPr>
          <w:snapToGrid w:val="0"/>
          <w:lang w:eastAsia="sv-SE"/>
        </w:rPr>
        <w:tab/>
      </w:r>
      <w:r>
        <w:rPr>
          <w:snapToGrid w:val="0"/>
          <w:lang w:eastAsia="sv-SE"/>
        </w:rPr>
        <w:t>Pressure</w:t>
      </w:r>
      <w:r>
        <w:rPr>
          <w:snapToGrid w:val="0"/>
          <w:lang w:eastAsia="sv-SE"/>
        </w:rPr>
        <w:tab/>
      </w:r>
      <w:r>
        <w:rPr>
          <w:snapToGrid w:val="0"/>
          <w:lang w:eastAsia="sv-SE"/>
        </w:rPr>
        <w:tab/>
      </w:r>
      <w:r>
        <w:rPr>
          <w:snapToGrid w:val="0"/>
          <w:lang w:eastAsia="sv-SE"/>
        </w:rPr>
        <w:tab/>
      </w:r>
      <w:r>
        <w:rPr>
          <w:snapToGrid w:val="0"/>
          <w:lang w:eastAsia="sv-SE"/>
        </w:rPr>
        <w:tab/>
      </w:r>
      <w:r>
        <w:rPr>
          <w:rFonts w:ascii="Symbol" w:hAnsi="Symbol"/>
          <w:snapToGrid w:val="0"/>
          <w:lang w:eastAsia="sv-SE"/>
        </w:rPr>
        <w:t></w:t>
      </w:r>
      <w:r>
        <w:rPr>
          <w:snapToGrid w:val="0"/>
          <w:lang w:eastAsia="sv-SE"/>
        </w:rPr>
        <w:t>5 kPa.</w:t>
      </w:r>
    </w:p>
    <w:p>
      <w:pPr>
        <w:pStyle w:val="111"/>
        <w:rPr>
          <w:snapToGrid w:val="0"/>
          <w:lang w:eastAsia="sv-SE"/>
        </w:rPr>
      </w:pPr>
      <w:r>
        <w:rPr>
          <w:snapToGrid w:val="0"/>
          <w:lang w:eastAsia="sv-SE"/>
        </w:rPr>
        <w:t>-</w:t>
      </w:r>
      <w:r>
        <w:rPr>
          <w:snapToGrid w:val="0"/>
          <w:lang w:eastAsia="sv-SE"/>
        </w:rPr>
        <w:tab/>
      </w:r>
      <w:r>
        <w:rPr>
          <w:snapToGrid w:val="0"/>
        </w:rPr>
        <w:t>Temperature</w:t>
      </w:r>
      <w:r>
        <w:rPr>
          <w:snapToGrid w:val="0"/>
        </w:rPr>
        <w:tab/>
      </w:r>
      <w:r>
        <w:rPr>
          <w:snapToGrid w:val="0"/>
        </w:rPr>
        <w:tab/>
      </w:r>
      <w:r>
        <w:rPr>
          <w:snapToGrid w:val="0"/>
        </w:rPr>
        <w:tab/>
      </w:r>
      <w:r>
        <w:rPr>
          <w:rFonts w:ascii="Symbol" w:hAnsi="Symbol"/>
          <w:snapToGrid w:val="0"/>
        </w:rPr>
        <w:t></w:t>
      </w:r>
      <w:r>
        <w:rPr>
          <w:snapToGrid w:val="0"/>
        </w:rPr>
        <w:t>2 degrees.</w:t>
      </w:r>
    </w:p>
    <w:p>
      <w:pPr>
        <w:pStyle w:val="111"/>
        <w:rPr>
          <w:snapToGrid w:val="0"/>
          <w:lang w:eastAsia="sv-SE"/>
        </w:rPr>
      </w:pPr>
      <w:r>
        <w:rPr>
          <w:snapToGrid w:val="0"/>
          <w:lang w:eastAsia="sv-SE"/>
        </w:rPr>
        <w:t>-</w:t>
      </w:r>
      <w:r>
        <w:rPr>
          <w:snapToGrid w:val="0"/>
          <w:lang w:eastAsia="sv-SE"/>
        </w:rPr>
        <w:tab/>
      </w:r>
      <w:r>
        <w:rPr>
          <w:snapToGrid w:val="0"/>
        </w:rPr>
        <w:t>Relative Humidity</w:t>
      </w:r>
      <w:r>
        <w:rPr>
          <w:snapToGrid w:val="0"/>
        </w:rPr>
        <w:tab/>
      </w:r>
      <w:r>
        <w:rPr>
          <w:rFonts w:ascii="Symbol" w:hAnsi="Symbol"/>
          <w:snapToGrid w:val="0"/>
        </w:rPr>
        <w:t></w:t>
      </w:r>
      <w:r>
        <w:rPr>
          <w:snapToGrid w:val="0"/>
        </w:rPr>
        <w:t>5 %.</w:t>
      </w:r>
    </w:p>
    <w:p>
      <w:pPr>
        <w:pStyle w:val="111"/>
        <w:rPr>
          <w:snapToGrid w:val="0"/>
          <w:lang w:eastAsia="sv-SE"/>
        </w:rPr>
      </w:pPr>
      <w:r>
        <w:rPr>
          <w:snapToGrid w:val="0"/>
          <w:lang w:eastAsia="sv-SE"/>
        </w:rPr>
        <w:t>-</w:t>
      </w:r>
      <w:r>
        <w:rPr>
          <w:snapToGrid w:val="0"/>
          <w:lang w:eastAsia="sv-SE"/>
        </w:rPr>
        <w:tab/>
      </w:r>
      <w:r>
        <w:rPr>
          <w:snapToGrid w:val="0"/>
        </w:rPr>
        <w:t>DC Voltage</w:t>
      </w:r>
      <w:r>
        <w:rPr>
          <w:snapToGrid w:val="0"/>
        </w:rPr>
        <w:tab/>
      </w:r>
      <w:r>
        <w:rPr>
          <w:snapToGrid w:val="0"/>
        </w:rPr>
        <w:tab/>
      </w:r>
      <w:r>
        <w:rPr>
          <w:snapToGrid w:val="0"/>
        </w:rPr>
        <w:tab/>
      </w:r>
      <w:r>
        <w:rPr>
          <w:rFonts w:ascii="Symbol" w:hAnsi="Symbol"/>
          <w:snapToGrid w:val="0"/>
        </w:rPr>
        <w:t></w:t>
      </w:r>
      <w:r>
        <w:rPr>
          <w:snapToGrid w:val="0"/>
        </w:rPr>
        <w:t>1,0 %.</w:t>
      </w:r>
    </w:p>
    <w:p>
      <w:pPr>
        <w:pStyle w:val="111"/>
        <w:rPr>
          <w:snapToGrid w:val="0"/>
          <w:lang w:eastAsia="sv-SE"/>
        </w:rPr>
      </w:pPr>
      <w:r>
        <w:rPr>
          <w:snapToGrid w:val="0"/>
          <w:lang w:eastAsia="sv-SE"/>
        </w:rPr>
        <w:t>-</w:t>
      </w:r>
      <w:r>
        <w:rPr>
          <w:snapToGrid w:val="0"/>
          <w:lang w:eastAsia="sv-SE"/>
        </w:rPr>
        <w:tab/>
      </w:r>
      <w:r>
        <w:rPr>
          <w:snapToGrid w:val="0"/>
        </w:rPr>
        <w:t>AC Voltage</w:t>
      </w:r>
      <w:r>
        <w:rPr>
          <w:snapToGrid w:val="0"/>
        </w:rPr>
        <w:tab/>
      </w:r>
      <w:r>
        <w:rPr>
          <w:snapToGrid w:val="0"/>
        </w:rPr>
        <w:tab/>
      </w:r>
      <w:r>
        <w:rPr>
          <w:snapToGrid w:val="0"/>
        </w:rPr>
        <w:tab/>
      </w:r>
      <w:r>
        <w:rPr>
          <w:rFonts w:ascii="Symbol" w:hAnsi="Symbol"/>
          <w:snapToGrid w:val="0"/>
        </w:rPr>
        <w:t></w:t>
      </w:r>
      <w:r>
        <w:rPr>
          <w:snapToGrid w:val="0"/>
        </w:rPr>
        <w:t>1,5 %.</w:t>
      </w:r>
    </w:p>
    <w:p>
      <w:pPr>
        <w:pStyle w:val="111"/>
        <w:rPr>
          <w:snapToGrid w:val="0"/>
          <w:lang w:eastAsia="sv-SE"/>
        </w:rPr>
      </w:pPr>
      <w:r>
        <w:rPr>
          <w:snapToGrid w:val="0"/>
          <w:lang w:eastAsia="sv-SE"/>
        </w:rPr>
        <w:t>-</w:t>
      </w:r>
      <w:r>
        <w:rPr>
          <w:snapToGrid w:val="0"/>
          <w:lang w:eastAsia="sv-SE"/>
        </w:rPr>
        <w:tab/>
      </w:r>
      <w:r>
        <w:rPr>
          <w:snapToGrid w:val="0"/>
        </w:rPr>
        <w:t>Vibration</w:t>
      </w:r>
      <w:r>
        <w:rPr>
          <w:snapToGrid w:val="0"/>
        </w:rPr>
        <w:tab/>
      </w:r>
      <w:r>
        <w:rPr>
          <w:snapToGrid w:val="0"/>
        </w:rPr>
        <w:tab/>
      </w:r>
      <w:r>
        <w:rPr>
          <w:snapToGrid w:val="0"/>
        </w:rPr>
        <w:tab/>
      </w:r>
      <w:r>
        <w:rPr>
          <w:snapToGrid w:val="0"/>
        </w:rPr>
        <w:tab/>
      </w:r>
      <w:r>
        <w:rPr>
          <w:snapToGrid w:val="0"/>
        </w:rPr>
        <w:t>10 %.</w:t>
      </w:r>
    </w:p>
    <w:p>
      <w:pPr>
        <w:pStyle w:val="111"/>
      </w:pPr>
      <w:r>
        <w:rPr>
          <w:snapToGrid w:val="0"/>
          <w:lang w:eastAsia="sv-SE"/>
        </w:rPr>
        <w:t>-</w:t>
      </w:r>
      <w:r>
        <w:rPr>
          <w:snapToGrid w:val="0"/>
          <w:lang w:eastAsia="sv-SE"/>
        </w:rPr>
        <w:tab/>
      </w:r>
      <w:r>
        <w:rPr>
          <w:snapToGrid w:val="0"/>
        </w:rPr>
        <w:t>Vibration frequency</w:t>
      </w:r>
      <w:r>
        <w:rPr>
          <w:snapToGrid w:val="0"/>
        </w:rPr>
        <w:tab/>
      </w:r>
      <w:r>
        <w:rPr>
          <w:snapToGrid w:val="0"/>
        </w:rPr>
        <w:t>0,1 Hz.</w:t>
      </w:r>
    </w:p>
    <w:p>
      <w:r>
        <w:t>The above values shall apply unless the test environment is otherwise controlled and the specification for the control of the test environment specifies the uncertainty for the parameter.</w:t>
      </w:r>
    </w:p>
    <w:p>
      <w:pPr>
        <w:pStyle w:val="4"/>
      </w:pPr>
      <w:bookmarkStart w:id="1200" w:name="_Toc232582177"/>
      <w:bookmarkStart w:id="1201" w:name="_Toc21787"/>
      <w:r>
        <w:t>F.1.2</w:t>
      </w:r>
      <w:r>
        <w:tab/>
      </w:r>
      <w:r>
        <w:rPr>
          <w:lang w:eastAsia="sv-SE"/>
        </w:rPr>
        <w:t xml:space="preserve">Measurement of </w:t>
      </w:r>
      <w:r>
        <w:t>transmitter</w:t>
      </w:r>
      <w:bookmarkEnd w:id="1200"/>
      <w:bookmarkEnd w:id="1201"/>
    </w:p>
    <w:p>
      <w:pPr>
        <w:pStyle w:val="113"/>
      </w:pPr>
      <w:r>
        <w:t>Table F.1.2</w:t>
      </w:r>
      <w:r>
        <w:rPr>
          <w:lang w:eastAsia="ja-JP"/>
        </w:rPr>
        <w:t>-1</w:t>
      </w:r>
      <w:r>
        <w:t>: Maximum Test System Uncertainty for transmitter tests</w:t>
      </w:r>
    </w:p>
    <w:tbl>
      <w:tblPr>
        <w:tblStyle w:val="89"/>
        <w:tblW w:w="97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52"/>
        <w:gridCol w:w="4560"/>
        <w:gridCol w:w="27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rPr>
                <w:lang w:eastAsia="zh-CN"/>
              </w:rPr>
            </w:pPr>
            <w:r>
              <w:rPr>
                <w:lang w:eastAsia="zh-CN"/>
              </w:rPr>
              <w:t>Subclause</w:t>
            </w:r>
          </w:p>
        </w:tc>
        <w:tc>
          <w:tcPr>
            <w:tcW w:w="4560" w:type="dxa"/>
          </w:tcPr>
          <w:p>
            <w:pPr>
              <w:pStyle w:val="104"/>
              <w:rPr>
                <w:lang w:eastAsia="zh-CN"/>
              </w:rPr>
            </w:pPr>
            <w:r>
              <w:rPr>
                <w:lang w:eastAsia="zh-CN"/>
              </w:rPr>
              <w:t>Maximum Test System Uncertainty</w:t>
            </w:r>
          </w:p>
        </w:tc>
        <w:tc>
          <w:tcPr>
            <w:tcW w:w="2735"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lang w:eastAsia="zh-CN"/>
              </w:rPr>
            </w:pPr>
            <w:r>
              <w:t>6.2A.1</w:t>
            </w:r>
            <w:r>
              <w:tab/>
            </w:r>
            <w:r>
              <w:rPr>
                <w:lang w:eastAsia="zh-CN"/>
              </w:rPr>
              <w:t xml:space="preserve">UE </w:t>
            </w:r>
            <w:r>
              <w:t>maximum output power for category M1</w:t>
            </w:r>
          </w:p>
        </w:tc>
        <w:tc>
          <w:tcPr>
            <w:tcW w:w="4560" w:type="dxa"/>
          </w:tcPr>
          <w:p>
            <w:pPr>
              <w:pStyle w:val="104"/>
              <w:jc w:val="left"/>
              <w:rPr>
                <w:rFonts w:cs="v4.2.0"/>
                <w:lang w:eastAsia="zh-CN"/>
              </w:rPr>
            </w:pPr>
            <w:r>
              <w:rPr>
                <w:rFonts w:cs="v4.2.0"/>
                <w:lang w:eastAsia="ja-JP"/>
              </w:rPr>
              <w:t xml:space="preserve">Same as clause </w:t>
            </w:r>
            <w:r>
              <w:t xml:space="preserve">6.2.2EA </w:t>
            </w:r>
            <w:r>
              <w:rPr>
                <w:rFonts w:cs="v4.2.0"/>
                <w:lang w:eastAsia="ja-JP"/>
              </w:rPr>
              <w:t>in TS 36.521-1 [14]</w:t>
            </w:r>
            <w:r>
              <w:rPr>
                <w:rFonts w:eastAsia="宋体" w:cs="v4.2.0"/>
                <w:lang w:val="en-US" w:eastAsia="zh-CN"/>
              </w:rPr>
              <w:t xml:space="preserve"> for </w:t>
            </w:r>
            <w:r>
              <w:rPr>
                <w:rFonts w:hint="eastAsia" w:eastAsia="宋体" w:cs="v4.2.0"/>
                <w:lang w:val="en-US" w:eastAsia="zh-CN"/>
              </w:rPr>
              <w:t xml:space="preserve">FDD band with </w:t>
            </w:r>
            <w:r>
              <w:rPr>
                <w:rFonts w:eastAsia="宋体" w:cs="v4.2.0"/>
                <w:lang w:val="en-US" w:eastAsia="zh-CN"/>
              </w:rPr>
              <w:t>“</w:t>
            </w:r>
            <w:r>
              <w:rPr>
                <w:rFonts w:cs="v4.2.0"/>
                <w:lang w:eastAsia="ja-JP"/>
              </w:rPr>
              <w:t xml:space="preserve">f </w:t>
            </w:r>
            <w:r>
              <w:rPr>
                <w:rFonts w:hint="eastAsia"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735"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lang w:eastAsia="zh-CN"/>
              </w:rPr>
            </w:pPr>
            <w:r>
              <w:t>6.2A.2</w:t>
            </w:r>
            <w:r>
              <w:rPr>
                <w:lang w:eastAsia="zh-CN"/>
              </w:rPr>
              <w:tab/>
            </w:r>
            <w:r>
              <w:t>UE m</w:t>
            </w:r>
            <w:r>
              <w:rPr>
                <w:lang w:eastAsia="zh-CN"/>
              </w:rPr>
              <w:t xml:space="preserve">aximum output power reduction </w:t>
            </w:r>
            <w:r>
              <w:t xml:space="preserve">for </w:t>
            </w:r>
            <w:r>
              <w:rPr>
                <w:lang w:eastAsia="zh-CN"/>
              </w:rPr>
              <w:t>category M1</w:t>
            </w:r>
          </w:p>
        </w:tc>
        <w:tc>
          <w:tcPr>
            <w:tcW w:w="4560" w:type="dxa"/>
          </w:tcPr>
          <w:p>
            <w:pPr>
              <w:pStyle w:val="104"/>
              <w:jc w:val="left"/>
              <w:rPr>
                <w:lang w:eastAsia="zh-CN"/>
              </w:rPr>
            </w:pPr>
            <w:r>
              <w:rPr>
                <w:rFonts w:cs="v4.2.0"/>
                <w:lang w:eastAsia="ja-JP"/>
              </w:rPr>
              <w:t xml:space="preserve">Same as clause </w:t>
            </w:r>
            <w:r>
              <w:rPr>
                <w:rFonts w:cs="v4.2.0"/>
              </w:rPr>
              <w:t xml:space="preserve">6.2.3EA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rPr>
                <w:lang w:eastAsia="zh-CN"/>
              </w:rPr>
            </w:pPr>
            <w:r>
              <w:t>6.2A.3 UE additional maximum output power reduction for category M1 UE</w:t>
            </w:r>
          </w:p>
        </w:tc>
        <w:tc>
          <w:tcPr>
            <w:tcW w:w="4560" w:type="dxa"/>
          </w:tcPr>
          <w:p>
            <w:pPr>
              <w:pStyle w:val="104"/>
              <w:jc w:val="left"/>
              <w:rPr>
                <w:lang w:val="en-US" w:eastAsia="zh-CN"/>
              </w:rPr>
            </w:pPr>
            <w:r>
              <w:rPr>
                <w:rFonts w:cs="v4.2.0"/>
                <w:lang w:eastAsia="ja-JP"/>
              </w:rPr>
              <w:t xml:space="preserve">Same as clause </w:t>
            </w:r>
            <w:r>
              <w:t>6.2.4</w:t>
            </w:r>
            <w:r>
              <w:rPr>
                <w:lang w:eastAsia="zh-CN"/>
              </w:rPr>
              <w:t>EA</w:t>
            </w:r>
            <w:r>
              <w:t xml:space="preserve">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6.2A.4 Configured transmitted Power for category M1</w:t>
            </w:r>
          </w:p>
        </w:tc>
        <w:tc>
          <w:tcPr>
            <w:tcW w:w="4560" w:type="dxa"/>
          </w:tcPr>
          <w:p>
            <w:pPr>
              <w:pStyle w:val="104"/>
              <w:jc w:val="left"/>
              <w:rPr>
                <w:lang w:eastAsia="zh-CN"/>
              </w:rPr>
            </w:pPr>
            <w:r>
              <w:rPr>
                <w:rFonts w:cs="v4.2.0"/>
                <w:lang w:eastAsia="ja-JP"/>
              </w:rPr>
              <w:t xml:space="preserve">Same as clause </w:t>
            </w:r>
            <w:r>
              <w:t xml:space="preserve">6.2.5EA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6.2B.1</w:t>
            </w:r>
            <w:r>
              <w:tab/>
            </w:r>
            <w:r>
              <w:rPr>
                <w:lang w:eastAsia="zh-CN"/>
              </w:rPr>
              <w:t xml:space="preserve">UE </w:t>
            </w:r>
            <w:r>
              <w:t>maximum output power for category NB1 and NB2</w:t>
            </w:r>
          </w:p>
        </w:tc>
        <w:tc>
          <w:tcPr>
            <w:tcW w:w="4560" w:type="dxa"/>
          </w:tcPr>
          <w:p>
            <w:pPr>
              <w:pStyle w:val="104"/>
              <w:jc w:val="left"/>
              <w:rPr>
                <w:rFonts w:cs="Arial"/>
                <w:lang w:eastAsia="ja-JP"/>
              </w:rPr>
            </w:pPr>
            <w:r>
              <w:rPr>
                <w:rFonts w:cs="v4.2.0"/>
                <w:lang w:eastAsia="ja-JP"/>
              </w:rPr>
              <w:t>Same as clause 6.2.2F 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6.2B.2</w:t>
            </w:r>
            <w:r>
              <w:rPr>
                <w:lang w:eastAsia="zh-CN"/>
              </w:rPr>
              <w:tab/>
            </w:r>
            <w:r>
              <w:t>UE m</w:t>
            </w:r>
            <w:r>
              <w:rPr>
                <w:lang w:eastAsia="zh-CN"/>
              </w:rPr>
              <w:t xml:space="preserve">aximum output power reduction </w:t>
            </w:r>
            <w:r>
              <w:t xml:space="preserve">for </w:t>
            </w:r>
            <w:r>
              <w:rPr>
                <w:lang w:eastAsia="zh-CN"/>
              </w:rPr>
              <w:t>category NB1 and NB2</w:t>
            </w:r>
          </w:p>
        </w:tc>
        <w:tc>
          <w:tcPr>
            <w:tcW w:w="4560" w:type="dxa"/>
          </w:tcPr>
          <w:p>
            <w:pPr>
              <w:pStyle w:val="104"/>
              <w:jc w:val="left"/>
              <w:rPr>
                <w:rFonts w:cs="Arial"/>
                <w:lang w:val="en-US" w:eastAsia="ja-JP"/>
              </w:rPr>
            </w:pPr>
            <w:r>
              <w:rPr>
                <w:rFonts w:cs="v4.2.0"/>
                <w:lang w:eastAsia="ja-JP"/>
              </w:rPr>
              <w:t>Same as clause 6.2.3F in TS 36.521-1[14]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hint="eastAsia"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6.2B.3</w:t>
            </w:r>
            <w:r>
              <w:tab/>
            </w:r>
            <w:r>
              <w:t>UE additional maximum output power reduction for category NB1 and NB2 UE</w:t>
            </w:r>
          </w:p>
        </w:tc>
        <w:tc>
          <w:tcPr>
            <w:tcW w:w="4560" w:type="dxa"/>
          </w:tcPr>
          <w:p>
            <w:pPr>
              <w:pStyle w:val="104"/>
              <w:jc w:val="left"/>
              <w:rPr>
                <w:rFonts w:eastAsia="宋体" w:cs="Arial"/>
                <w:lang w:val="en-US" w:eastAsia="zh-CN"/>
              </w:rPr>
            </w:pPr>
            <w:r>
              <w:rPr>
                <w:rFonts w:hint="eastAsia" w:eastAsia="宋体" w:cs="Arial"/>
                <w:lang w:val="en-US" w:eastAsia="zh-CN"/>
              </w:rPr>
              <w:t>FFS</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6.2B.4</w:t>
            </w:r>
            <w:r>
              <w:tab/>
            </w:r>
            <w:r>
              <w:t>Configured transmitted Power for category NB1 and NB2</w:t>
            </w:r>
          </w:p>
        </w:tc>
        <w:tc>
          <w:tcPr>
            <w:tcW w:w="4560" w:type="dxa"/>
          </w:tcPr>
          <w:p>
            <w:pPr>
              <w:pStyle w:val="104"/>
              <w:jc w:val="left"/>
              <w:rPr>
                <w:rFonts w:cs="Arial"/>
                <w:lang w:val="en-US" w:eastAsia="ja-JP"/>
              </w:rPr>
            </w:pPr>
            <w:r>
              <w:rPr>
                <w:rFonts w:cs="v4.2.0"/>
                <w:lang w:eastAsia="ja-JP"/>
              </w:rPr>
              <w:t xml:space="preserve">Same as clause </w:t>
            </w:r>
            <w:r>
              <w:t>6.2.5F</w:t>
            </w:r>
            <w:r>
              <w:rPr>
                <w:rFonts w:cs="v4.2.0"/>
                <w:lang w:eastAsia="ja-JP"/>
              </w:rPr>
              <w:t xml:space="preserve"> 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hint="eastAsia"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6.3A.1</w:t>
            </w:r>
            <w:r>
              <w:tab/>
            </w:r>
            <w:r>
              <w:t>UE Minimum output power for category M1</w:t>
            </w:r>
          </w:p>
        </w:tc>
        <w:tc>
          <w:tcPr>
            <w:tcW w:w="4560" w:type="dxa"/>
          </w:tcPr>
          <w:p>
            <w:pPr>
              <w:pStyle w:val="104"/>
              <w:jc w:val="left"/>
              <w:rPr>
                <w:rFonts w:cs="Arial"/>
                <w:lang w:val="en-US" w:eastAsia="ja-JP"/>
              </w:rPr>
            </w:pPr>
            <w:r>
              <w:rPr>
                <w:rFonts w:cs="v4.2.0"/>
                <w:lang w:eastAsia="ja-JP"/>
              </w:rPr>
              <w:t xml:space="preserve">Same as clause </w:t>
            </w:r>
            <w:r>
              <w:t xml:space="preserve">6.3.2EA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hint="eastAsia"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6.3A.3.1</w:t>
            </w:r>
            <w:r>
              <w:tab/>
            </w:r>
            <w:r>
              <w:t>General ON/OFF time mask for category M1</w:t>
            </w:r>
          </w:p>
        </w:tc>
        <w:tc>
          <w:tcPr>
            <w:tcW w:w="4560" w:type="dxa"/>
          </w:tcPr>
          <w:p>
            <w:pPr>
              <w:pStyle w:val="104"/>
              <w:jc w:val="left"/>
              <w:rPr>
                <w:rFonts w:cs="Arial"/>
                <w:lang w:eastAsia="ja-JP"/>
              </w:rPr>
            </w:pPr>
            <w:r>
              <w:rPr>
                <w:rFonts w:cs="v4.2.0"/>
                <w:lang w:eastAsia="ja-JP"/>
              </w:rPr>
              <w:t xml:space="preserve">Same as clause </w:t>
            </w:r>
            <w:r>
              <w:rPr>
                <w:lang w:eastAsia="ko-KR"/>
              </w:rPr>
              <w:t xml:space="preserve">6.3.4EA.1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hint="eastAsia"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6.3A.3.2.1</w:t>
            </w:r>
            <w:r>
              <w:tab/>
            </w:r>
            <w:r>
              <w:t>PRACH time mask for UE category M1</w:t>
            </w:r>
          </w:p>
        </w:tc>
        <w:tc>
          <w:tcPr>
            <w:tcW w:w="4560" w:type="dxa"/>
          </w:tcPr>
          <w:p>
            <w:pPr>
              <w:pStyle w:val="104"/>
              <w:jc w:val="left"/>
              <w:rPr>
                <w:rFonts w:cs="Arial"/>
                <w:lang w:eastAsia="ja-JP"/>
              </w:rPr>
            </w:pPr>
            <w:r>
              <w:rPr>
                <w:rFonts w:cs="v4.2.0"/>
                <w:lang w:eastAsia="ja-JP"/>
              </w:rPr>
              <w:t xml:space="preserve">Same as clause </w:t>
            </w:r>
            <w:r>
              <w:rPr>
                <w:lang w:eastAsia="ko-KR"/>
              </w:rPr>
              <w:t xml:space="preserve">6.3.4EA.2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6.3A.3.2.2</w:t>
            </w:r>
            <w:r>
              <w:tab/>
            </w:r>
            <w:r>
              <w:t>SRS time mask for UE category M1</w:t>
            </w:r>
          </w:p>
        </w:tc>
        <w:tc>
          <w:tcPr>
            <w:tcW w:w="4560" w:type="dxa"/>
          </w:tcPr>
          <w:p>
            <w:pPr>
              <w:pStyle w:val="104"/>
              <w:jc w:val="left"/>
              <w:rPr>
                <w:rFonts w:cs="Arial"/>
                <w:lang w:val="en-US" w:eastAsia="ja-JP"/>
              </w:rPr>
            </w:pPr>
            <w:r>
              <w:rPr>
                <w:rFonts w:cs="v4.2.0"/>
                <w:lang w:eastAsia="ja-JP"/>
              </w:rPr>
              <w:t xml:space="preserve">Same as clause </w:t>
            </w:r>
            <w:r>
              <w:rPr>
                <w:lang w:eastAsia="ko-KR"/>
              </w:rPr>
              <w:t xml:space="preserve">6.3.4EA.2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hint="eastAsia"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6.3A.</w:t>
            </w:r>
            <w:r>
              <w:rPr>
                <w:rFonts w:hint="eastAsia"/>
              </w:rPr>
              <w:t>4</w:t>
            </w:r>
            <w:r>
              <w:t>.</w:t>
            </w:r>
            <w:r>
              <w:rPr>
                <w:rFonts w:hint="eastAsia"/>
              </w:rPr>
              <w:t>1</w:t>
            </w:r>
            <w:r>
              <w:tab/>
            </w:r>
            <w:r>
              <w:t>Power Control Absolute power tolerance for UE category M1</w:t>
            </w:r>
          </w:p>
        </w:tc>
        <w:tc>
          <w:tcPr>
            <w:tcW w:w="4560" w:type="dxa"/>
          </w:tcPr>
          <w:p>
            <w:pPr>
              <w:pStyle w:val="104"/>
              <w:jc w:val="left"/>
              <w:rPr>
                <w:rFonts w:cs="Arial"/>
                <w:lang w:val="en-US" w:eastAsia="ja-JP"/>
              </w:rPr>
            </w:pPr>
            <w:r>
              <w:rPr>
                <w:rFonts w:cs="v4.2.0"/>
                <w:lang w:eastAsia="ja-JP"/>
              </w:rPr>
              <w:t xml:space="preserve">Same as clause </w:t>
            </w:r>
            <w:r>
              <w:rPr>
                <w:rFonts w:eastAsia="PMingLiU"/>
                <w:lang w:eastAsia="zh-TW"/>
              </w:rPr>
              <w:t xml:space="preserve">6.3.5EA.1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hint="eastAsia"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6.3A.</w:t>
            </w:r>
            <w:r>
              <w:rPr>
                <w:rFonts w:hint="eastAsia"/>
              </w:rPr>
              <w:t>4</w:t>
            </w:r>
            <w:r>
              <w:t>.2</w:t>
            </w:r>
            <w:r>
              <w:tab/>
            </w:r>
            <w:r>
              <w:t>Power Control Relative power tolerance for UE category M1</w:t>
            </w:r>
          </w:p>
        </w:tc>
        <w:tc>
          <w:tcPr>
            <w:tcW w:w="4560" w:type="dxa"/>
          </w:tcPr>
          <w:p>
            <w:pPr>
              <w:pStyle w:val="104"/>
              <w:jc w:val="left"/>
              <w:rPr>
                <w:rFonts w:cs="Arial"/>
                <w:lang w:eastAsia="ja-JP"/>
              </w:rPr>
            </w:pPr>
            <w:bookmarkStart w:id="1202" w:name="OLE_LINK13"/>
            <w:r>
              <w:rPr>
                <w:rFonts w:cs="v4.2.0"/>
                <w:lang w:eastAsia="ja-JP"/>
              </w:rPr>
              <w:t xml:space="preserve">Same as clause </w:t>
            </w:r>
            <w:r>
              <w:rPr>
                <w:rFonts w:eastAsia="PMingLiU"/>
                <w:lang w:eastAsia="zh-TW"/>
              </w:rPr>
              <w:t xml:space="preserve">6.3.5EA.2 </w:t>
            </w:r>
            <w:r>
              <w:rPr>
                <w:rFonts w:cs="v4.2.0"/>
                <w:lang w:eastAsia="ja-JP"/>
              </w:rPr>
              <w:t>in TS 36.521-1 [14]</w:t>
            </w:r>
            <w:bookmarkEnd w:id="1202"/>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6.3A.</w:t>
            </w:r>
            <w:r>
              <w:rPr>
                <w:rFonts w:hint="eastAsia"/>
              </w:rPr>
              <w:t>4</w:t>
            </w:r>
            <w:r>
              <w:t>.3</w:t>
            </w:r>
            <w:r>
              <w:tab/>
            </w:r>
            <w:r>
              <w:t xml:space="preserve">Aggregate power control tolerance for UE category </w:t>
            </w:r>
            <w:r>
              <w:rPr>
                <w:lang w:eastAsia="zh-TW"/>
              </w:rPr>
              <w:t>M1</w:t>
            </w:r>
          </w:p>
        </w:tc>
        <w:tc>
          <w:tcPr>
            <w:tcW w:w="4560" w:type="dxa"/>
          </w:tcPr>
          <w:p>
            <w:pPr>
              <w:pStyle w:val="104"/>
              <w:jc w:val="left"/>
              <w:rPr>
                <w:rFonts w:cs="Arial"/>
                <w:lang w:eastAsia="ja-JP"/>
              </w:rPr>
            </w:pPr>
            <w:r>
              <w:rPr>
                <w:rFonts w:cs="v4.2.0"/>
                <w:lang w:eastAsia="ja-JP"/>
              </w:rPr>
              <w:t xml:space="preserve">Same as clause </w:t>
            </w:r>
            <w:r>
              <w:rPr>
                <w:lang w:eastAsia="zh-TW"/>
              </w:rPr>
              <w:t xml:space="preserve">6.3.5EA.3 </w:t>
            </w:r>
            <w:r>
              <w:rPr>
                <w:rFonts w:cs="v4.2.0"/>
                <w:lang w:eastAsia="ja-JP"/>
              </w:rPr>
              <w:t>in TS 36.521-1 [14]</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6.3B.1</w:t>
            </w:r>
            <w:r>
              <w:tab/>
            </w:r>
            <w:r>
              <w:t>UE Minimum output power for category NB1 and NB2</w:t>
            </w:r>
          </w:p>
        </w:tc>
        <w:tc>
          <w:tcPr>
            <w:tcW w:w="4560" w:type="dxa"/>
          </w:tcPr>
          <w:p>
            <w:pPr>
              <w:pStyle w:val="104"/>
              <w:jc w:val="left"/>
              <w:rPr>
                <w:rFonts w:cs="Arial"/>
                <w:lang w:eastAsia="ja-JP"/>
              </w:rPr>
            </w:pPr>
            <w:r>
              <w:rPr>
                <w:rFonts w:cs="v4.2.0"/>
                <w:lang w:eastAsia="ja-JP"/>
              </w:rPr>
              <w:t xml:space="preserve">Same as clause </w:t>
            </w:r>
            <w:r>
              <w:t xml:space="preserve">6.3.2F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6.3B.3.1</w:t>
            </w:r>
            <w:r>
              <w:tab/>
            </w:r>
            <w:r>
              <w:rPr>
                <w:lang w:eastAsia="zh-TW"/>
              </w:rPr>
              <w:t>General ON/OFF time mask for category NB1 and NB2</w:t>
            </w:r>
          </w:p>
        </w:tc>
        <w:tc>
          <w:tcPr>
            <w:tcW w:w="4560" w:type="dxa"/>
          </w:tcPr>
          <w:p>
            <w:pPr>
              <w:pStyle w:val="104"/>
              <w:jc w:val="left"/>
              <w:rPr>
                <w:rFonts w:cs="Arial"/>
                <w:lang w:eastAsia="ja-JP"/>
              </w:rPr>
            </w:pPr>
            <w:r>
              <w:rPr>
                <w:rFonts w:cs="v4.2.0"/>
                <w:lang w:eastAsia="ja-JP"/>
              </w:rPr>
              <w:t xml:space="preserve">Same as clause </w:t>
            </w:r>
            <w:r>
              <w:rPr>
                <w:rFonts w:cs="v4.2.0"/>
              </w:rPr>
              <w:t>6.3.4</w:t>
            </w:r>
            <w:r>
              <w:rPr>
                <w:rFonts w:eastAsia="PMingLiU" w:cs="v4.2.0"/>
                <w:lang w:eastAsia="zh-TW"/>
              </w:rPr>
              <w:t>F</w:t>
            </w:r>
            <w:r>
              <w:rPr>
                <w:rFonts w:cs="v4.2.0"/>
              </w:rPr>
              <w:t>.1</w:t>
            </w:r>
            <w:r>
              <w:t xml:space="preserve">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6.3B.3.2</w:t>
            </w:r>
            <w:r>
              <w:tab/>
            </w:r>
            <w:r>
              <w:rPr>
                <w:lang w:eastAsia="zh-TW"/>
              </w:rPr>
              <w:t>NPRACH time mask for category NB1 and NB2</w:t>
            </w:r>
          </w:p>
        </w:tc>
        <w:tc>
          <w:tcPr>
            <w:tcW w:w="4560" w:type="dxa"/>
          </w:tcPr>
          <w:p>
            <w:pPr>
              <w:pStyle w:val="104"/>
              <w:jc w:val="left"/>
              <w:rPr>
                <w:rFonts w:cs="Arial"/>
                <w:lang w:eastAsia="ja-JP"/>
              </w:rPr>
            </w:pPr>
            <w:r>
              <w:rPr>
                <w:rFonts w:cs="v4.2.0"/>
                <w:lang w:eastAsia="ja-JP"/>
              </w:rPr>
              <w:t xml:space="preserve">Same as clause </w:t>
            </w:r>
            <w:r>
              <w:rPr>
                <w:rFonts w:cs="v4.2.0"/>
              </w:rPr>
              <w:t>6.3.4</w:t>
            </w:r>
            <w:r>
              <w:rPr>
                <w:rFonts w:eastAsia="PMingLiU" w:cs="v4.2.0"/>
                <w:lang w:eastAsia="zh-TW"/>
              </w:rPr>
              <w:t>F</w:t>
            </w:r>
            <w:r>
              <w:rPr>
                <w:rFonts w:cs="v4.2.0"/>
              </w:rPr>
              <w:t>.</w:t>
            </w:r>
            <w:r>
              <w:rPr>
                <w:rFonts w:eastAsia="PMingLiU" w:cs="v4.2.0"/>
                <w:lang w:eastAsia="zh-TW"/>
              </w:rPr>
              <w:t>2</w:t>
            </w:r>
            <w:r>
              <w:t xml:space="preserve">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6.3B.4.1</w:t>
            </w:r>
            <w:r>
              <w:tab/>
            </w:r>
            <w:r>
              <w:t>Power Control Absolute power tolerance for category NB1 and NB2</w:t>
            </w:r>
          </w:p>
        </w:tc>
        <w:tc>
          <w:tcPr>
            <w:tcW w:w="4560" w:type="dxa"/>
          </w:tcPr>
          <w:p>
            <w:pPr>
              <w:pStyle w:val="104"/>
              <w:jc w:val="left"/>
              <w:rPr>
                <w:rFonts w:cs="Arial"/>
                <w:lang w:eastAsia="ja-JP"/>
              </w:rPr>
            </w:pPr>
            <w:r>
              <w:rPr>
                <w:rFonts w:cs="v4.2.0"/>
                <w:lang w:eastAsia="ja-JP"/>
              </w:rPr>
              <w:t xml:space="preserve">Same as clause </w:t>
            </w:r>
            <w:r>
              <w:rPr>
                <w:rFonts w:cs="Arial"/>
                <w:szCs w:val="16"/>
                <w:lang w:eastAsia="ko-KR"/>
              </w:rPr>
              <w:t xml:space="preserve">6.3.5F.1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6.3B.4.2 Power Control Relative power tolerance for category NB1 and NB2</w:t>
            </w:r>
          </w:p>
        </w:tc>
        <w:tc>
          <w:tcPr>
            <w:tcW w:w="4560" w:type="dxa"/>
          </w:tcPr>
          <w:p>
            <w:pPr>
              <w:pStyle w:val="104"/>
              <w:jc w:val="left"/>
              <w:rPr>
                <w:rFonts w:cs="Arial"/>
                <w:lang w:eastAsia="ja-JP"/>
              </w:rPr>
            </w:pPr>
            <w:r>
              <w:rPr>
                <w:rFonts w:cs="v4.2.0"/>
                <w:lang w:eastAsia="ja-JP"/>
              </w:rPr>
              <w:t xml:space="preserve">Same as clause </w:t>
            </w:r>
            <w:r>
              <w:rPr>
                <w:rFonts w:cs="Arial"/>
                <w:szCs w:val="16"/>
                <w:lang w:eastAsia="ko-KR"/>
              </w:rPr>
              <w:t xml:space="preserve">6.3.5F.2 </w:t>
            </w:r>
            <w:r>
              <w:rPr>
                <w:rFonts w:cs="v4.2.0"/>
                <w:lang w:eastAsia="ja-JP"/>
              </w:rPr>
              <w:t>in TS 36.521-1 [14]</w:t>
            </w:r>
          </w:p>
        </w:tc>
        <w:tc>
          <w:tcPr>
            <w:tcW w:w="2735" w:type="dxa"/>
          </w:tcPr>
          <w:p>
            <w:pPr>
              <w:pStyle w:val="104"/>
              <w:jc w:val="left"/>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52" w:type="dxa"/>
          </w:tcPr>
          <w:p>
            <w:pPr>
              <w:pStyle w:val="104"/>
              <w:jc w:val="left"/>
            </w:pPr>
            <w:r>
              <w:t>6.3B.4.3 Aggregate power control tolerance for category NB1 and NB2</w:t>
            </w:r>
          </w:p>
        </w:tc>
        <w:tc>
          <w:tcPr>
            <w:tcW w:w="4560" w:type="dxa"/>
          </w:tcPr>
          <w:p>
            <w:pPr>
              <w:pStyle w:val="104"/>
              <w:jc w:val="left"/>
              <w:rPr>
                <w:rFonts w:cs="Arial"/>
                <w:lang w:eastAsia="ja-JP"/>
              </w:rPr>
            </w:pPr>
            <w:r>
              <w:rPr>
                <w:rFonts w:cs="v4.2.0"/>
                <w:lang w:eastAsia="ja-JP"/>
              </w:rPr>
              <w:t xml:space="preserve">Same as clause </w:t>
            </w:r>
            <w:r>
              <w:rPr>
                <w:rFonts w:cs="Arial"/>
                <w:szCs w:val="16"/>
                <w:lang w:eastAsia="zh-TW"/>
              </w:rPr>
              <w:t xml:space="preserve">6.3.5F.3 </w:t>
            </w:r>
            <w:r>
              <w:rPr>
                <w:rFonts w:cs="v4.2.0"/>
                <w:lang w:eastAsia="ja-JP"/>
              </w:rPr>
              <w:t>in TS 36.521-1</w:t>
            </w:r>
          </w:p>
        </w:tc>
        <w:tc>
          <w:tcPr>
            <w:tcW w:w="2735" w:type="dxa"/>
          </w:tcPr>
          <w:p>
            <w:pPr>
              <w:pStyle w:val="104"/>
              <w:jc w:val="left"/>
              <w:rPr>
                <w:lang w:eastAsia="zh-CN"/>
              </w:rPr>
            </w:pPr>
          </w:p>
        </w:tc>
      </w:tr>
    </w:tbl>
    <w:p>
      <w:pPr>
        <w:rPr>
          <w:lang w:eastAsia="ja-JP"/>
        </w:rPr>
      </w:pPr>
    </w:p>
    <w:p>
      <w:pPr>
        <w:pStyle w:val="4"/>
      </w:pPr>
      <w:bookmarkStart w:id="1203" w:name="_Toc232582178"/>
      <w:bookmarkStart w:id="1204" w:name="_Toc16232"/>
      <w:r>
        <w:t>F.1.3</w:t>
      </w:r>
      <w:r>
        <w:tab/>
      </w:r>
      <w:r>
        <w:rPr>
          <w:lang w:eastAsia="sv-SE"/>
        </w:rPr>
        <w:t xml:space="preserve">Measurement of </w:t>
      </w:r>
      <w:r>
        <w:t>receiver</w:t>
      </w:r>
      <w:bookmarkEnd w:id="1203"/>
      <w:bookmarkEnd w:id="1204"/>
    </w:p>
    <w:p>
      <w:pPr>
        <w:pStyle w:val="113"/>
      </w:pPr>
      <w:r>
        <w:t>Table F.1.3</w:t>
      </w:r>
      <w:r>
        <w:rPr>
          <w:lang w:eastAsia="ja-JP"/>
        </w:rPr>
        <w:t>-1</w:t>
      </w:r>
      <w:r>
        <w:t>: Maximum Test System Uncertainty for receiver tests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410"/>
        <w:gridCol w:w="4536"/>
        <w:gridCol w:w="25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rPr>
                <w:lang w:eastAsia="zh-CN"/>
              </w:rPr>
            </w:pPr>
            <w:r>
              <w:rPr>
                <w:lang w:eastAsia="zh-CN"/>
              </w:rPr>
              <w:t>Subclause</w:t>
            </w:r>
          </w:p>
        </w:tc>
        <w:tc>
          <w:tcPr>
            <w:tcW w:w="4536" w:type="dxa"/>
          </w:tcPr>
          <w:p>
            <w:pPr>
              <w:pStyle w:val="104"/>
              <w:rPr>
                <w:lang w:eastAsia="zh-CN"/>
              </w:rPr>
            </w:pPr>
            <w:r>
              <w:rPr>
                <w:lang w:eastAsia="zh-CN"/>
              </w:rPr>
              <w:t>Maximum Test System Uncertainty</w:t>
            </w:r>
            <w:r>
              <w:rPr>
                <w:vertAlign w:val="superscript"/>
                <w:lang w:eastAsia="zh-CN"/>
              </w:rPr>
              <w:t>1</w:t>
            </w:r>
          </w:p>
        </w:tc>
        <w:tc>
          <w:tcPr>
            <w:tcW w:w="2569"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lang w:eastAsia="zh-CN"/>
              </w:rPr>
            </w:pPr>
            <w:r>
              <w:t>7.4A Maximum input level for category M1</w:t>
            </w:r>
          </w:p>
        </w:tc>
        <w:tc>
          <w:tcPr>
            <w:tcW w:w="4536" w:type="dxa"/>
          </w:tcPr>
          <w:p>
            <w:pPr>
              <w:pStyle w:val="104"/>
              <w:jc w:val="left"/>
              <w:rPr>
                <w:lang w:eastAsia="zh-CN"/>
              </w:rPr>
            </w:pPr>
            <w:r>
              <w:rPr>
                <w:rFonts w:cs="v4.2.0"/>
                <w:lang w:eastAsia="ja-JP"/>
              </w:rPr>
              <w:t xml:space="preserve">Same as clause </w:t>
            </w:r>
            <w:r>
              <w:rPr>
                <w:rFonts w:cs="v4.2.0"/>
                <w:lang w:eastAsia="zh-TW"/>
              </w:rPr>
              <w:t>7.4EA</w:t>
            </w:r>
            <w:r>
              <w:rPr>
                <w:rFonts w:cs="v4.2.0"/>
                <w:lang w:eastAsia="ja-JP"/>
              </w:rPr>
              <w:t xml:space="preserve"> 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569"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lang w:eastAsia="zh-CN"/>
              </w:rPr>
            </w:pPr>
            <w:r>
              <w:t>7.4B Maximum input level for category NB1 and NB2</w:t>
            </w:r>
          </w:p>
        </w:tc>
        <w:tc>
          <w:tcPr>
            <w:tcW w:w="4536" w:type="dxa"/>
          </w:tcPr>
          <w:p>
            <w:pPr>
              <w:pStyle w:val="104"/>
              <w:jc w:val="left"/>
              <w:rPr>
                <w:lang w:eastAsia="zh-CN"/>
              </w:rPr>
            </w:pPr>
            <w:r>
              <w:rPr>
                <w:rFonts w:cs="v4.2.0"/>
                <w:lang w:eastAsia="ja-JP"/>
              </w:rPr>
              <w:t xml:space="preserve">Same as clause </w:t>
            </w:r>
            <w:r>
              <w:rPr>
                <w:lang w:eastAsia="zh-CN"/>
              </w:rPr>
              <w:t xml:space="preserve">7.4F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569"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lang w:eastAsia="zh-CN"/>
              </w:rPr>
            </w:pPr>
            <w:r>
              <w:t>7.5A Adjacent Channel Selectivity for category M1</w:t>
            </w:r>
          </w:p>
        </w:tc>
        <w:tc>
          <w:tcPr>
            <w:tcW w:w="4536" w:type="dxa"/>
          </w:tcPr>
          <w:p>
            <w:pPr>
              <w:pStyle w:val="104"/>
              <w:jc w:val="left"/>
              <w:rPr>
                <w:lang w:eastAsia="zh-CN"/>
              </w:rPr>
            </w:pPr>
            <w:r>
              <w:rPr>
                <w:rFonts w:cs="v4.2.0"/>
                <w:lang w:eastAsia="ja-JP"/>
              </w:rPr>
              <w:t xml:space="preserve">Same as clause </w:t>
            </w:r>
            <w:r>
              <w:rPr>
                <w:rFonts w:cs="v4.2.0"/>
                <w:lang w:eastAsia="zh-TW"/>
              </w:rPr>
              <w:t xml:space="preserve">7.5EA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569"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lang w:eastAsia="zh-CN"/>
              </w:rPr>
            </w:pPr>
            <w:r>
              <w:t>7.5B Adjacent Channel Selectivity for category NB1 and NB2</w:t>
            </w:r>
          </w:p>
        </w:tc>
        <w:tc>
          <w:tcPr>
            <w:tcW w:w="4536" w:type="dxa"/>
          </w:tcPr>
          <w:p>
            <w:pPr>
              <w:pStyle w:val="104"/>
              <w:jc w:val="left"/>
              <w:rPr>
                <w:lang w:eastAsia="zh-CN"/>
              </w:rPr>
            </w:pPr>
            <w:r>
              <w:rPr>
                <w:rFonts w:cs="v4.2.0"/>
                <w:lang w:eastAsia="ja-JP"/>
              </w:rPr>
              <w:t xml:space="preserve">Same as clause </w:t>
            </w:r>
            <w:r>
              <w:rPr>
                <w:rFonts w:cs="v4.2.0"/>
              </w:rPr>
              <w:t xml:space="preserve">7.5F </w:t>
            </w:r>
            <w:r>
              <w:rPr>
                <w:rFonts w:cs="v4.2.0"/>
                <w:lang w:eastAsia="ja-JP"/>
              </w:rPr>
              <w:t>in TS 36.521-1 [14]</w:t>
            </w:r>
            <w:r>
              <w:rPr>
                <w:rFonts w:hint="eastAsia" w:eastAsia="宋体" w:cs="v4.2.0"/>
                <w:lang w:val="en-US" w:eastAsia="zh-CN"/>
              </w:rPr>
              <w:t xml:space="preserve"> for FDD band with </w:t>
            </w:r>
            <w:r>
              <w:rPr>
                <w:rFonts w:eastAsia="宋体" w:cs="v4.2.0"/>
                <w:lang w:val="en-US" w:eastAsia="zh-CN"/>
              </w:rPr>
              <w:t>“</w:t>
            </w:r>
            <w:r>
              <w:rPr>
                <w:rFonts w:cs="v4.2.0"/>
                <w:lang w:eastAsia="ja-JP"/>
              </w:rPr>
              <w:t xml:space="preserve">f </w:t>
            </w:r>
            <w:r>
              <w:rPr>
                <w:rFonts w:cs="Arial"/>
                <w:lang w:eastAsia="ja-JP"/>
              </w:rPr>
              <w:t>≤</w:t>
            </w:r>
            <w:r>
              <w:rPr>
                <w:rFonts w:cs="v4.2.0"/>
                <w:lang w:eastAsia="ja-JP"/>
              </w:rPr>
              <w:t xml:space="preserve"> 3.0GHz</w:t>
            </w:r>
            <w:r>
              <w:rPr>
                <w:rFonts w:eastAsia="宋体" w:cs="v4.2.0"/>
                <w:lang w:val="en-US" w:eastAsia="zh-CN"/>
              </w:rPr>
              <w:t>”</w:t>
            </w:r>
            <w:r>
              <w:rPr>
                <w:rFonts w:cs="v4.2.0"/>
                <w:lang w:eastAsia="ja-JP"/>
              </w:rPr>
              <w:t>.</w:t>
            </w:r>
          </w:p>
        </w:tc>
        <w:tc>
          <w:tcPr>
            <w:tcW w:w="2569"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lang w:eastAsia="zh-CN"/>
              </w:rPr>
            </w:pPr>
            <w:r>
              <w:t>7.6A.2 In-band blocking for category M1</w:t>
            </w:r>
          </w:p>
        </w:tc>
        <w:tc>
          <w:tcPr>
            <w:tcW w:w="4536" w:type="dxa"/>
          </w:tcPr>
          <w:p>
            <w:pPr>
              <w:pStyle w:val="104"/>
              <w:jc w:val="left"/>
              <w:rPr>
                <w:lang w:eastAsia="zh-CN"/>
              </w:rPr>
            </w:pPr>
            <w:r>
              <w:rPr>
                <w:rFonts w:cs="v4.2.0"/>
                <w:lang w:eastAsia="ja-JP"/>
              </w:rPr>
              <w:t>Same as clause 7.6.1E</w:t>
            </w:r>
            <w:r>
              <w:rPr>
                <w:rFonts w:cs="v4.2.0"/>
                <w:lang w:eastAsia="ko-KR"/>
              </w:rPr>
              <w:t>A</w:t>
            </w:r>
            <w:r>
              <w:rPr>
                <w:rFonts w:cs="v4.2.0"/>
                <w:lang w:eastAsia="ja-JP"/>
              </w:rPr>
              <w:t xml:space="preserve"> in TS 36.521-1 [14].</w:t>
            </w:r>
          </w:p>
        </w:tc>
        <w:tc>
          <w:tcPr>
            <w:tcW w:w="2569"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2410" w:type="dxa"/>
          </w:tcPr>
          <w:p>
            <w:pPr>
              <w:pStyle w:val="104"/>
              <w:jc w:val="left"/>
              <w:rPr>
                <w:lang w:eastAsia="zh-CN"/>
              </w:rPr>
            </w:pPr>
            <w:r>
              <w:rPr>
                <w:rFonts w:cs="v4.2.0"/>
              </w:rPr>
              <w:t>7.6B.2 In-band blocking for category NB1 and NB2</w:t>
            </w:r>
          </w:p>
        </w:tc>
        <w:tc>
          <w:tcPr>
            <w:tcW w:w="4536" w:type="dxa"/>
          </w:tcPr>
          <w:p>
            <w:pPr>
              <w:pStyle w:val="104"/>
              <w:jc w:val="left"/>
              <w:rPr>
                <w:lang w:eastAsia="zh-CN"/>
              </w:rPr>
            </w:pPr>
            <w:r>
              <w:rPr>
                <w:rFonts w:cs="v4.2.0"/>
                <w:lang w:eastAsia="ja-JP"/>
              </w:rPr>
              <w:t xml:space="preserve">Same as clause </w:t>
            </w:r>
            <w:r>
              <w:rPr>
                <w:rFonts w:cs="v4.2.0"/>
              </w:rPr>
              <w:t xml:space="preserve">7.6.1F </w:t>
            </w:r>
            <w:r>
              <w:rPr>
                <w:rFonts w:cs="v4.2.0"/>
                <w:lang w:eastAsia="ja-JP"/>
              </w:rPr>
              <w:t>in TS 36.521-1 [14].</w:t>
            </w:r>
          </w:p>
        </w:tc>
        <w:tc>
          <w:tcPr>
            <w:tcW w:w="2569" w:type="dxa"/>
          </w:tcPr>
          <w:p>
            <w:pPr>
              <w:pStyle w:val="104"/>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9515" w:type="dxa"/>
            <w:gridSpan w:val="3"/>
          </w:tcPr>
          <w:p>
            <w:pPr>
              <w:pStyle w:val="104"/>
              <w:jc w:val="left"/>
              <w:rPr>
                <w:lang w:eastAsia="zh-CN"/>
              </w:rPr>
            </w:pPr>
            <w:r>
              <w:t>Note 1:</w:t>
            </w:r>
            <w:r>
              <w:tab/>
            </w:r>
            <w:r>
              <w:t xml:space="preserve">Unless otherwise noted, only the Test System stimulus error is considered here. </w:t>
            </w:r>
            <w:r>
              <w:rPr>
                <w:lang w:eastAsia="sv-SE"/>
              </w:rPr>
              <w:t>The effect of errors in the throughput measurements due to finite test duration is not considered.</w:t>
            </w:r>
          </w:p>
        </w:tc>
      </w:tr>
    </w:tbl>
    <w:p/>
    <w:p>
      <w:pPr>
        <w:pStyle w:val="4"/>
      </w:pPr>
      <w:bookmarkStart w:id="1205" w:name="_Toc24490"/>
      <w:bookmarkStart w:id="1206" w:name="_Toc232582179"/>
      <w:r>
        <w:t>F.1.4</w:t>
      </w:r>
      <w:r>
        <w:tab/>
      </w:r>
      <w:r>
        <w:rPr>
          <w:lang w:eastAsia="sv-SE"/>
        </w:rPr>
        <w:t xml:space="preserve">Measurement of </w:t>
      </w:r>
      <w:r>
        <w:t>performance requirements</w:t>
      </w:r>
      <w:bookmarkEnd w:id="1205"/>
      <w:bookmarkEnd w:id="1206"/>
    </w:p>
    <w:p>
      <w:pPr>
        <w:pStyle w:val="113"/>
      </w:pPr>
      <w:r>
        <w:t>Table F.1</w:t>
      </w:r>
      <w:r>
        <w:rPr>
          <w:lang w:eastAsia="ja-JP"/>
        </w:rPr>
        <w:t>.4-1</w:t>
      </w:r>
      <w:r>
        <w:t>: Maximum Test System Uncertainty for Performance Requirements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3579"/>
        <w:gridCol w:w="1985"/>
        <w:gridCol w:w="38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4"/>
              <w:rPr>
                <w:lang w:eastAsia="zh-CN"/>
              </w:rPr>
            </w:pPr>
            <w:r>
              <w:rPr>
                <w:lang w:eastAsia="zh-CN"/>
              </w:rPr>
              <w:t>Subclause</w:t>
            </w:r>
          </w:p>
        </w:tc>
        <w:tc>
          <w:tcPr>
            <w:tcW w:w="1985" w:type="dxa"/>
          </w:tcPr>
          <w:p>
            <w:pPr>
              <w:pStyle w:val="104"/>
              <w:rPr>
                <w:lang w:eastAsia="zh-CN"/>
              </w:rPr>
            </w:pPr>
            <w:r>
              <w:rPr>
                <w:lang w:eastAsia="zh-CN"/>
              </w:rPr>
              <w:t>Maximum Test System Uncertainty</w:t>
            </w:r>
            <w:r>
              <w:rPr>
                <w:vertAlign w:val="superscript"/>
                <w:lang w:eastAsia="zh-CN"/>
              </w:rPr>
              <w:t>1</w:t>
            </w:r>
          </w:p>
        </w:tc>
        <w:tc>
          <w:tcPr>
            <w:tcW w:w="3863" w:type="dxa"/>
          </w:tcPr>
          <w:p>
            <w:pPr>
              <w:pStyle w:val="104"/>
              <w:rPr>
                <w:lang w:eastAsia="zh-CN"/>
              </w:rPr>
            </w:pPr>
            <w:r>
              <w:rPr>
                <w:lang w:eastAsia="zh-CN"/>
              </w:rPr>
              <w:t>Derivation of Test System Uncertainty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jc w:val="center"/>
        </w:trPr>
        <w:tc>
          <w:tcPr>
            <w:tcW w:w="3579" w:type="dxa"/>
          </w:tcPr>
          <w:p>
            <w:pPr>
              <w:pStyle w:val="103"/>
              <w:rPr>
                <w:lang w:eastAsia="zh-CN"/>
              </w:rPr>
            </w:pPr>
          </w:p>
        </w:tc>
        <w:tc>
          <w:tcPr>
            <w:tcW w:w="1985" w:type="dxa"/>
          </w:tcPr>
          <w:p>
            <w:pPr>
              <w:pStyle w:val="103"/>
              <w:rPr>
                <w:rFonts w:eastAsia="Osaka"/>
                <w:szCs w:val="18"/>
                <w:lang w:eastAsia="zh-CN"/>
              </w:rPr>
            </w:pPr>
          </w:p>
        </w:tc>
        <w:tc>
          <w:tcPr>
            <w:tcW w:w="3863" w:type="dxa"/>
          </w:tcPr>
          <w:p>
            <w:pPr>
              <w:pStyle w:val="103"/>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jc w:val="center"/>
        </w:trPr>
        <w:tc>
          <w:tcPr>
            <w:tcW w:w="9427" w:type="dxa"/>
            <w:gridSpan w:val="3"/>
          </w:tcPr>
          <w:p>
            <w:pPr>
              <w:pStyle w:val="103"/>
            </w:pPr>
            <w:r>
              <w:t>Note 1:</w:t>
            </w:r>
            <w:r>
              <w:tab/>
            </w:r>
            <w:r>
              <w:t xml:space="preserve">Unless otherwise noted, only the Test System stimulus error is considered here. </w:t>
            </w:r>
            <w:r>
              <w:rPr>
                <w:lang w:eastAsia="sv-SE"/>
              </w:rPr>
              <w:t>The effect of errors in the throughput measurements due to finite test duration is not considered.</w:t>
            </w:r>
          </w:p>
        </w:tc>
      </w:tr>
    </w:tbl>
    <w:p/>
    <w:p>
      <w:pPr>
        <w:pStyle w:val="3"/>
      </w:pPr>
      <w:bookmarkStart w:id="1207" w:name="_Toc24471"/>
      <w:bookmarkStart w:id="1208" w:name="_Toc232582180"/>
      <w:r>
        <w:t>F.2</w:t>
      </w:r>
      <w:r>
        <w:tab/>
      </w:r>
      <w:r>
        <w:t>Interpretation of measurement results (normative)</w:t>
      </w:r>
      <w:bookmarkEnd w:id="1207"/>
      <w:bookmarkEnd w:id="1208"/>
    </w:p>
    <w:p>
      <w:pPr>
        <w:rPr>
          <w:snapToGrid w:val="0"/>
        </w:rPr>
      </w:pPr>
      <w:r>
        <w:t xml:space="preserve">The Test Requirements in the present document have been calculated by relaxing the Minimum Requirements of the core specification using the Test Tolerances (TT) defined in F.3. </w:t>
      </w:r>
      <w:r>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r>
        <w:rPr>
          <w:snapToGrid w:val="0"/>
        </w:rPr>
        <w:t>The “Never fail a good DUT” and the “Shared Risk” principles are defined in ETR 273-1-2 clause 6.5.</w:t>
      </w:r>
    </w:p>
    <w:p>
      <w:r>
        <w:t>The actual measurement uncertainty of the Test System for the measurement of each parameter shall be included in the test report.</w:t>
      </w:r>
    </w:p>
    <w:p>
      <w:r>
        <w:t>The recorded value for the Test System uncertainty shall be, for each measurement, equal to or lower than the appropriate figure in clause F.1 of the present document.</w:t>
      </w:r>
    </w:p>
    <w:p>
      <w:r>
        <w:t>If the Test System for a test is known to have a measurement uncertainty greater than that specified in clause F.1, it is still permitted to use this apparatus provided that an adjustment is made value as follows:</w:t>
      </w:r>
    </w:p>
    <w:p>
      <w: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pPr>
        <w:pStyle w:val="3"/>
      </w:pPr>
      <w:bookmarkStart w:id="1209" w:name="_Toc232582181"/>
      <w:bookmarkStart w:id="1210" w:name="_Toc808"/>
      <w:r>
        <w:t>F.3</w:t>
      </w:r>
      <w:r>
        <w:tab/>
      </w:r>
      <w:r>
        <w:t>Test Tolerance and Derivation of Test Requirements (informative)</w:t>
      </w:r>
      <w:bookmarkEnd w:id="1209"/>
      <w:bookmarkEnd w:id="1210"/>
    </w:p>
    <w:p>
      <w:r>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pPr>
        <w:keepNext/>
        <w:rPr>
          <w:snapToGrid w:val="0"/>
        </w:rPr>
      </w:pPr>
      <w:r>
        <w:rPr>
          <w:snapToGrid w:val="0"/>
        </w:rPr>
        <w:t>The Test Tolerances are derived from Test System uncertainties, regulatory requirements and criticality to system performance. As a result, the Test Tolerances may sometimes be set to zero.</w:t>
      </w:r>
    </w:p>
    <w:p>
      <w:pPr>
        <w:keepNext/>
      </w:pPr>
      <w:r>
        <w:t>The test tolerances should not be modified for any reason e.g. to take account of commonly known test system errors (such as mismatch, cable loss, etc.).</w:t>
      </w:r>
    </w:p>
    <w:p>
      <w:bookmarkStart w:id="1211" w:name="_Toc232582182"/>
      <w:r>
        <w:rPr>
          <w:rFonts w:eastAsia="MS Mincho"/>
          <w:lang w:eastAsia="ja-JP"/>
        </w:rPr>
        <w:t>T</w:t>
      </w:r>
      <w:r>
        <w:t>he downlink Test Tolerances apply at each receiver antenna connector.</w:t>
      </w:r>
    </w:p>
    <w:p>
      <w:pPr>
        <w:pStyle w:val="4"/>
      </w:pPr>
      <w:bookmarkStart w:id="1212" w:name="_Toc7706"/>
      <w:r>
        <w:t>F.3.1</w:t>
      </w:r>
      <w:r>
        <w:tab/>
      </w:r>
      <w:r>
        <w:rPr>
          <w:lang w:eastAsia="sv-SE"/>
        </w:rPr>
        <w:t>Measurement of test environments</w:t>
      </w:r>
      <w:bookmarkEnd w:id="1211"/>
      <w:bookmarkEnd w:id="1212"/>
    </w:p>
    <w:p>
      <w:pPr>
        <w:rPr>
          <w:lang w:eastAsia="ja-JP"/>
        </w:rPr>
      </w:pPr>
      <w:r>
        <w:rPr>
          <w:lang w:eastAsia="ja-JP"/>
        </w:rPr>
        <w:t>The UE test environments are set to the values</w:t>
      </w:r>
      <w:r>
        <w:rPr>
          <w:lang w:eastAsia="sv-SE"/>
        </w:rPr>
        <w:t xml:space="preserve"> defined in </w:t>
      </w:r>
      <w:r>
        <w:rPr>
          <w:lang w:eastAsia="ja-JP"/>
        </w:rPr>
        <w:t>TS 36.508 subclause 4.1, without any relaxation. The applied Test Tolerance is therefore zero.</w:t>
      </w:r>
    </w:p>
    <w:p>
      <w:pPr>
        <w:pStyle w:val="4"/>
      </w:pPr>
      <w:bookmarkStart w:id="1213" w:name="_Toc232582183"/>
      <w:bookmarkStart w:id="1214" w:name="_Toc11583"/>
      <w:r>
        <w:t>F.3.2</w:t>
      </w:r>
      <w:r>
        <w:tab/>
      </w:r>
      <w:r>
        <w:rPr>
          <w:lang w:eastAsia="sv-SE"/>
        </w:rPr>
        <w:t xml:space="preserve">Measurement of </w:t>
      </w:r>
      <w:r>
        <w:t>transmitter</w:t>
      </w:r>
      <w:bookmarkEnd w:id="1213"/>
      <w:bookmarkEnd w:id="1214"/>
    </w:p>
    <w:p>
      <w:pPr>
        <w:pStyle w:val="113"/>
      </w:pPr>
      <w:r>
        <w:t>Table F.3.2-1: Derivation of Test Requirements (Transmitter tests)</w:t>
      </w:r>
    </w:p>
    <w:tbl>
      <w:tblPr>
        <w:tblStyle w:val="89"/>
        <w:tblW w:w="99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21"/>
        <w:gridCol w:w="3206"/>
        <w:gridCol w:w="2349"/>
        <w:gridCol w:w="24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0" w:type="dxa"/>
          </w:tcPr>
          <w:p>
            <w:pPr>
              <w:pStyle w:val="104"/>
              <w:rPr>
                <w:lang w:eastAsia="zh-CN"/>
              </w:rPr>
            </w:pPr>
            <w:r>
              <w:rPr>
                <w:lang w:eastAsia="zh-CN"/>
              </w:rPr>
              <w:t>Test</w:t>
            </w:r>
          </w:p>
        </w:tc>
        <w:tc>
          <w:tcPr>
            <w:tcW w:w="3170" w:type="dxa"/>
          </w:tcPr>
          <w:p>
            <w:pPr>
              <w:pStyle w:val="104"/>
              <w:rPr>
                <w:lang w:eastAsia="zh-CN"/>
              </w:rPr>
            </w:pPr>
            <w:r>
              <w:rPr>
                <w:lang w:eastAsia="zh-CN"/>
              </w:rPr>
              <w:t>Minimum Requirement in TS 36.101</w:t>
            </w:r>
          </w:p>
        </w:tc>
        <w:tc>
          <w:tcPr>
            <w:tcW w:w="2323" w:type="dxa"/>
          </w:tcPr>
          <w:p>
            <w:pPr>
              <w:pStyle w:val="104"/>
              <w:rPr>
                <w:lang w:eastAsia="zh-CN"/>
              </w:rPr>
            </w:pPr>
            <w:r>
              <w:rPr>
                <w:lang w:eastAsia="zh-CN"/>
              </w:rPr>
              <w:t>Test Tolerance</w:t>
            </w:r>
            <w:r>
              <w:rPr>
                <w:lang w:eastAsia="zh-CN"/>
              </w:rPr>
              <w:br w:type="textWrapping"/>
            </w:r>
            <w:r>
              <w:rPr>
                <w:lang w:eastAsia="zh-CN"/>
              </w:rPr>
              <w:t>(TT)</w:t>
            </w:r>
          </w:p>
        </w:tc>
        <w:tc>
          <w:tcPr>
            <w:tcW w:w="2464"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0" w:type="dxa"/>
          </w:tcPr>
          <w:p>
            <w:pPr>
              <w:pStyle w:val="103"/>
            </w:pPr>
          </w:p>
        </w:tc>
        <w:tc>
          <w:tcPr>
            <w:tcW w:w="3170" w:type="dxa"/>
          </w:tcPr>
          <w:p>
            <w:pPr>
              <w:pStyle w:val="103"/>
            </w:pPr>
          </w:p>
          <w:p>
            <w:pPr>
              <w:pStyle w:val="103"/>
            </w:pPr>
          </w:p>
          <w:p>
            <w:pPr>
              <w:pStyle w:val="103"/>
            </w:pPr>
          </w:p>
        </w:tc>
        <w:tc>
          <w:tcPr>
            <w:tcW w:w="2323" w:type="dxa"/>
          </w:tcPr>
          <w:p>
            <w:pPr>
              <w:pStyle w:val="103"/>
            </w:pPr>
          </w:p>
          <w:p>
            <w:pPr>
              <w:pStyle w:val="103"/>
            </w:pPr>
          </w:p>
          <w:p>
            <w:pPr>
              <w:pStyle w:val="103"/>
            </w:pPr>
          </w:p>
        </w:tc>
        <w:tc>
          <w:tcPr>
            <w:tcW w:w="2464" w:type="dxa"/>
            <w:tcBorders>
              <w:bottom w:val="single" w:color="auto" w:sz="4" w:space="0"/>
            </w:tcBorders>
          </w:tcPr>
          <w:p>
            <w:pPr>
              <w:pStyle w:val="103"/>
            </w:pPr>
          </w:p>
        </w:tc>
      </w:tr>
    </w:tbl>
    <w:p>
      <w:bookmarkStart w:id="1215" w:name="_Toc232582184"/>
    </w:p>
    <w:p>
      <w:pPr>
        <w:pStyle w:val="4"/>
      </w:pPr>
      <w:bookmarkStart w:id="1216" w:name="_Toc19733"/>
      <w:r>
        <w:t>F.3.3</w:t>
      </w:r>
      <w:r>
        <w:tab/>
      </w:r>
      <w:r>
        <w:rPr>
          <w:lang w:eastAsia="sv-SE"/>
        </w:rPr>
        <w:t xml:space="preserve">Measurement of </w:t>
      </w:r>
      <w:r>
        <w:t>receiver</w:t>
      </w:r>
      <w:bookmarkEnd w:id="1215"/>
      <w:bookmarkEnd w:id="1216"/>
    </w:p>
    <w:p>
      <w:pPr>
        <w:pStyle w:val="113"/>
      </w:pPr>
      <w:r>
        <w:t>Table F.3.3-1: Derivation of Test Requirements (Receiver tests)</w:t>
      </w:r>
    </w:p>
    <w:tbl>
      <w:tblPr>
        <w:tblStyle w:val="89"/>
        <w:tblW w:w="97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76"/>
        <w:gridCol w:w="2869"/>
        <w:gridCol w:w="1208"/>
        <w:gridCol w:w="3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6" w:type="dxa"/>
          </w:tcPr>
          <w:p>
            <w:pPr>
              <w:pStyle w:val="104"/>
              <w:rPr>
                <w:lang w:eastAsia="zh-CN"/>
              </w:rPr>
            </w:pPr>
            <w:r>
              <w:rPr>
                <w:lang w:eastAsia="zh-CN"/>
              </w:rPr>
              <w:t>Test</w:t>
            </w:r>
          </w:p>
        </w:tc>
        <w:tc>
          <w:tcPr>
            <w:tcW w:w="2869" w:type="dxa"/>
          </w:tcPr>
          <w:p>
            <w:pPr>
              <w:pStyle w:val="104"/>
              <w:rPr>
                <w:lang w:eastAsia="zh-CN"/>
              </w:rPr>
            </w:pPr>
            <w:r>
              <w:rPr>
                <w:lang w:eastAsia="zh-CN"/>
              </w:rPr>
              <w:t>Minimum Requirement in TS 36.101</w:t>
            </w:r>
          </w:p>
        </w:tc>
        <w:tc>
          <w:tcPr>
            <w:tcW w:w="1208" w:type="dxa"/>
          </w:tcPr>
          <w:p>
            <w:pPr>
              <w:pStyle w:val="104"/>
              <w:rPr>
                <w:lang w:eastAsia="zh-CN"/>
              </w:rPr>
            </w:pPr>
            <w:r>
              <w:rPr>
                <w:lang w:eastAsia="zh-CN"/>
              </w:rPr>
              <w:t>Test Tolerance</w:t>
            </w:r>
            <w:r>
              <w:rPr>
                <w:lang w:eastAsia="zh-CN"/>
              </w:rPr>
              <w:br w:type="textWrapping"/>
            </w:r>
            <w:r>
              <w:rPr>
                <w:lang w:eastAsia="zh-CN"/>
              </w:rPr>
              <w:t>(TT)</w:t>
            </w:r>
          </w:p>
        </w:tc>
        <w:tc>
          <w:tcPr>
            <w:tcW w:w="3260"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76" w:type="dxa"/>
          </w:tcPr>
          <w:p>
            <w:pPr>
              <w:pStyle w:val="103"/>
              <w:rPr>
                <w:rFonts w:cs="v4.2.0"/>
              </w:rPr>
            </w:pPr>
          </w:p>
        </w:tc>
        <w:tc>
          <w:tcPr>
            <w:tcW w:w="2869" w:type="dxa"/>
          </w:tcPr>
          <w:p>
            <w:pPr>
              <w:pStyle w:val="103"/>
              <w:spacing w:after="120"/>
              <w:rPr>
                <w:rFonts w:cs="v4.2.0"/>
              </w:rPr>
            </w:pPr>
          </w:p>
        </w:tc>
        <w:tc>
          <w:tcPr>
            <w:tcW w:w="1208" w:type="dxa"/>
          </w:tcPr>
          <w:p>
            <w:pPr>
              <w:pStyle w:val="103"/>
              <w:rPr>
                <w:rFonts w:cs="v4.2.0"/>
              </w:rPr>
            </w:pPr>
          </w:p>
        </w:tc>
        <w:tc>
          <w:tcPr>
            <w:tcW w:w="3260" w:type="dxa"/>
            <w:tcBorders>
              <w:bottom w:val="single" w:color="auto" w:sz="4" w:space="0"/>
            </w:tcBorders>
          </w:tcPr>
          <w:p>
            <w:pPr>
              <w:pStyle w:val="103"/>
              <w:spacing w:after="120"/>
              <w:rPr>
                <w:rFonts w:cs="v4.2.0"/>
              </w:rPr>
            </w:pPr>
          </w:p>
        </w:tc>
      </w:tr>
    </w:tbl>
    <w:p>
      <w:pPr>
        <w:rPr>
          <w:lang w:eastAsia="ja-JP"/>
        </w:rPr>
      </w:pPr>
    </w:p>
    <w:p>
      <w:pPr>
        <w:pStyle w:val="4"/>
      </w:pPr>
      <w:bookmarkStart w:id="1217" w:name="_Toc32312"/>
      <w:bookmarkStart w:id="1218" w:name="_Toc232582185"/>
      <w:r>
        <w:t>F.3.4</w:t>
      </w:r>
      <w:r>
        <w:tab/>
      </w:r>
      <w:r>
        <w:rPr>
          <w:lang w:eastAsia="sv-SE"/>
        </w:rPr>
        <w:t xml:space="preserve">Measurement of </w:t>
      </w:r>
      <w:r>
        <w:t>performance requirements</w:t>
      </w:r>
      <w:bookmarkEnd w:id="1217"/>
      <w:bookmarkEnd w:id="1218"/>
    </w:p>
    <w:p>
      <w:pPr>
        <w:pStyle w:val="113"/>
      </w:pPr>
      <w:r>
        <w:t>Table F.3.4-1: Derivation of Test Requirements (performance tests)</w:t>
      </w:r>
    </w:p>
    <w:tbl>
      <w:tblPr>
        <w:tblStyle w:val="89"/>
        <w:tblW w:w="96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18"/>
        <w:gridCol w:w="2827"/>
        <w:gridCol w:w="1298"/>
        <w:gridCol w:w="31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87" w:type="dxa"/>
          </w:tcPr>
          <w:p>
            <w:pPr>
              <w:pStyle w:val="104"/>
              <w:rPr>
                <w:lang w:eastAsia="zh-CN"/>
              </w:rPr>
            </w:pPr>
            <w:r>
              <w:rPr>
                <w:lang w:eastAsia="zh-CN"/>
              </w:rPr>
              <w:t>Test</w:t>
            </w:r>
          </w:p>
        </w:tc>
        <w:tc>
          <w:tcPr>
            <w:tcW w:w="2792" w:type="dxa"/>
          </w:tcPr>
          <w:p>
            <w:pPr>
              <w:pStyle w:val="104"/>
              <w:rPr>
                <w:lang w:eastAsia="zh-CN"/>
              </w:rPr>
            </w:pPr>
            <w:r>
              <w:rPr>
                <w:lang w:eastAsia="zh-CN"/>
              </w:rPr>
              <w:t>Minimum Requirement in TS 36.101</w:t>
            </w:r>
          </w:p>
        </w:tc>
        <w:tc>
          <w:tcPr>
            <w:tcW w:w="1282" w:type="dxa"/>
          </w:tcPr>
          <w:p>
            <w:pPr>
              <w:pStyle w:val="104"/>
              <w:rPr>
                <w:lang w:eastAsia="zh-CN"/>
              </w:rPr>
            </w:pPr>
            <w:r>
              <w:rPr>
                <w:lang w:eastAsia="zh-CN"/>
              </w:rPr>
              <w:t>Test Tolerance</w:t>
            </w:r>
            <w:r>
              <w:rPr>
                <w:lang w:eastAsia="zh-CN"/>
              </w:rPr>
              <w:br w:type="textWrapping"/>
            </w:r>
            <w:r>
              <w:rPr>
                <w:lang w:eastAsia="zh-CN"/>
              </w:rPr>
              <w:t>(TT)</w:t>
            </w:r>
          </w:p>
        </w:tc>
        <w:tc>
          <w:tcPr>
            <w:tcW w:w="3105" w:type="dxa"/>
          </w:tcPr>
          <w:p>
            <w:pPr>
              <w:pStyle w:val="104"/>
              <w:rPr>
                <w:lang w:eastAsia="zh-CN"/>
              </w:rPr>
            </w:pPr>
            <w:r>
              <w:rPr>
                <w:lang w:eastAsia="zh-CN"/>
              </w:rPr>
              <w:t>Test Requirement in TS 36.521-1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387" w:type="dxa"/>
          </w:tcPr>
          <w:p>
            <w:pPr>
              <w:pStyle w:val="103"/>
            </w:pPr>
          </w:p>
        </w:tc>
        <w:tc>
          <w:tcPr>
            <w:tcW w:w="2792" w:type="dxa"/>
          </w:tcPr>
          <w:p>
            <w:pPr>
              <w:pStyle w:val="103"/>
            </w:pPr>
          </w:p>
        </w:tc>
        <w:tc>
          <w:tcPr>
            <w:tcW w:w="1282" w:type="dxa"/>
          </w:tcPr>
          <w:p>
            <w:pPr>
              <w:pStyle w:val="103"/>
            </w:pPr>
          </w:p>
        </w:tc>
        <w:tc>
          <w:tcPr>
            <w:tcW w:w="3105" w:type="dxa"/>
            <w:tcBorders>
              <w:bottom w:val="single" w:color="auto" w:sz="4" w:space="0"/>
            </w:tcBorders>
          </w:tcPr>
          <w:p>
            <w:pPr>
              <w:pStyle w:val="103"/>
            </w:pPr>
          </w:p>
        </w:tc>
      </w:tr>
    </w:tbl>
    <w:p/>
    <w:p>
      <w:pPr>
        <w:pStyle w:val="11"/>
      </w:pPr>
      <w:bookmarkStart w:id="1219" w:name="_Toc232582186"/>
      <w:bookmarkStart w:id="1220" w:name="_Toc10564"/>
      <w:r>
        <w:t>Annex G (no</w:t>
      </w:r>
      <w:r>
        <w:rPr>
          <w:lang w:eastAsia="en-GB"/>
        </w:rPr>
        <w:t>rmative</w:t>
      </w:r>
      <w:r>
        <w:t>):</w:t>
      </w:r>
      <w:r>
        <w:br w:type="textWrapping"/>
      </w:r>
      <w:r>
        <w:rPr>
          <w:rFonts w:cs="v4.2.0"/>
        </w:rPr>
        <w:t>Statistical Testing</w:t>
      </w:r>
      <w:bookmarkEnd w:id="1219"/>
      <w:bookmarkEnd w:id="1220"/>
    </w:p>
    <w:p>
      <w:pPr>
        <w:pStyle w:val="3"/>
      </w:pPr>
      <w:bookmarkStart w:id="1221" w:name="_Toc232582187"/>
      <w:bookmarkStart w:id="1222" w:name="_Toc32557"/>
      <w:r>
        <w:t>G.1</w:t>
      </w:r>
      <w:r>
        <w:tab/>
      </w:r>
      <w:r>
        <w:t>General</w:t>
      </w:r>
      <w:bookmarkEnd w:id="1221"/>
      <w:bookmarkEnd w:id="1222"/>
    </w:p>
    <w:p>
      <w:pPr>
        <w:rPr>
          <w:lang w:eastAsia="ja-JP"/>
        </w:rPr>
      </w:pPr>
      <w:r>
        <w:rPr>
          <w:lang w:eastAsia="ja-JP"/>
        </w:rPr>
        <w:t>FFS.</w:t>
      </w:r>
    </w:p>
    <w:p>
      <w:pPr>
        <w:pStyle w:val="3"/>
      </w:pPr>
      <w:bookmarkStart w:id="1223" w:name="_Toc232582188"/>
      <w:bookmarkStart w:id="1224" w:name="_Toc12211"/>
      <w:r>
        <w:t>G.2</w:t>
      </w:r>
      <w:r>
        <w:tab/>
      </w:r>
      <w:r>
        <w:t>Statistical testing of receiver characteristics</w:t>
      </w:r>
      <w:bookmarkEnd w:id="1223"/>
      <w:bookmarkEnd w:id="1224"/>
    </w:p>
    <w:p>
      <w:pPr>
        <w:pStyle w:val="4"/>
      </w:pPr>
      <w:bookmarkStart w:id="1225" w:name="_Toc29968"/>
      <w:bookmarkStart w:id="1226" w:name="_Toc232582189"/>
      <w:r>
        <w:t>G.2.1</w:t>
      </w:r>
      <w:r>
        <w:tab/>
      </w:r>
      <w:r>
        <w:t>General</w:t>
      </w:r>
      <w:bookmarkEnd w:id="1225"/>
      <w:bookmarkEnd w:id="1226"/>
    </w:p>
    <w:p>
      <w:r>
        <w:t>The test of receiver characteristics is two fold.</w:t>
      </w:r>
    </w:p>
    <w:p>
      <w:pPr>
        <w:pStyle w:val="111"/>
      </w:pPr>
      <w:r>
        <w:t>1.</w:t>
      </w:r>
      <w:r>
        <w:tab/>
      </w:r>
      <w:r>
        <w:t>A signal or a combination of signals is offered to the RX port(s) of the receiver.</w:t>
      </w:r>
    </w:p>
    <w:p>
      <w:pPr>
        <w:pStyle w:val="111"/>
      </w:pPr>
      <w:r>
        <w:t>2.</w:t>
      </w:r>
      <w:r>
        <w:tab/>
      </w:r>
      <w:r>
        <w:t>The ability of the receiver to demodulate /decode this signal is verified by measuring the throughput.</w:t>
      </w:r>
    </w:p>
    <w:p>
      <w:r>
        <w:t>In (2) is the statistical aspect of the test and is treated here.</w:t>
      </w:r>
    </w:p>
    <w:p>
      <w:r>
        <w:t>The minimum requirement for all receiver tests is &gt;95% of the maximum throughput.</w:t>
      </w:r>
    </w:p>
    <w:p>
      <w:r>
        <w:t xml:space="preserve">All receiver tests are performed in static propagation conditions. No fading conditions are applied. </w:t>
      </w:r>
    </w:p>
    <w:p>
      <w:pPr>
        <w:pStyle w:val="4"/>
      </w:pPr>
      <w:bookmarkStart w:id="1227" w:name="_Toc5911"/>
      <w:bookmarkStart w:id="1228" w:name="_Toc232582190"/>
      <w:r>
        <w:t>G.2.2</w:t>
      </w:r>
      <w:r>
        <w:tab/>
      </w:r>
      <w:r>
        <w:t>Mapping throughput to error ratio</w:t>
      </w:r>
      <w:bookmarkEnd w:id="1227"/>
      <w:bookmarkEnd w:id="1228"/>
    </w:p>
    <w:p>
      <w:pPr>
        <w:pStyle w:val="111"/>
      </w:pPr>
      <w:r>
        <w:t>a)</w:t>
      </w:r>
      <w:r>
        <w:tab/>
      </w:r>
      <w:r>
        <w:t>The measured information bit throughput R is defined as the sum (in kilobits) of the information bit payloads successfully received during the test interval, divided by the duration of the test interval (in seconds).</w:t>
      </w:r>
    </w:p>
    <w:p>
      <w:pPr>
        <w:pStyle w:val="111"/>
      </w:pPr>
      <w:r>
        <w:t>b)</w:t>
      </w:r>
      <w:r>
        <w:tab/>
      </w:r>
      <w:r>
        <w:t>In measurement practice the UE indicates successfully received information bit payload by signalling an ACK to the SS.</w:t>
      </w:r>
      <w:r>
        <w:br w:type="textWrapping"/>
      </w:r>
      <w:r>
        <w:t>If payload is received, but damaged and cannot be decoded, the UE signals a NACK.</w:t>
      </w:r>
    </w:p>
    <w:p>
      <w:pPr>
        <w:pStyle w:val="111"/>
      </w:pPr>
      <w:r>
        <w:t>c)</w:t>
      </w:r>
      <w:r>
        <w:tab/>
      </w:r>
      <w:r>
        <w:t>Only the ACK and NACK signals, not the data bits received, are accessible to the SS.</w:t>
      </w:r>
      <w:r>
        <w:br w:type="textWrapping"/>
      </w:r>
      <w:r>
        <w:t>The number of bits is known in the SS from knowledge of what payload was sent.</w:t>
      </w:r>
    </w:p>
    <w:p>
      <w:pPr>
        <w:pStyle w:val="111"/>
      </w:pPr>
      <w:r>
        <w:t>d)</w:t>
      </w:r>
      <w:r>
        <w:tab/>
      </w:r>
      <w:r>
        <w:t>For the reference measurement channel, applied for testing, the number of bits is different in different subframes, however in a radio frame it is fixed during one test.</w:t>
      </w:r>
    </w:p>
    <w:p>
      <w:pPr>
        <w:pStyle w:val="111"/>
      </w:pPr>
      <w:r>
        <w:t>e)</w:t>
      </w:r>
      <w:r>
        <w:tab/>
      </w:r>
      <w:r>
        <w:t>The time in the measurement interval is composed of successfully received subframes (ACK), unsuccessfully received subframes (NACK) and no reception at all (DTX-subframes).</w:t>
      </w:r>
    </w:p>
    <w:p>
      <w:pPr>
        <w:pStyle w:val="111"/>
      </w:pPr>
      <w:r>
        <w:t>f)</w:t>
      </w:r>
      <w:r>
        <w:tab/>
      </w:r>
      <w:r>
        <w:t>DTX-subframes may occur regularly according the applicable reference measurement channel (regDTX).</w:t>
      </w:r>
      <w:r>
        <w:br w:type="textWrapping"/>
      </w:r>
      <w:r>
        <w:t>In real live networks this is the time when other UEs are served. In TDD these are the UL and special subframes.</w:t>
      </w:r>
      <w:r>
        <w:br w:type="textWrapping"/>
      </w:r>
      <w:r>
        <w:t>regDTX vary from test to test but are fixed within the test.</w:t>
      </w:r>
    </w:p>
    <w:p>
      <w:pPr>
        <w:pStyle w:val="111"/>
      </w:pPr>
      <w:r>
        <w:t>g)</w:t>
      </w:r>
      <w:r>
        <w:tab/>
      </w:r>
      <w:r>
        <w:t>Additional DTX-subframes occur statistically when the UE is not responding ACK or NACK where it should. (statDTX)</w:t>
      </w:r>
      <w:r>
        <w:br w:type="textWrapping"/>
      </w:r>
      <w:r>
        <w:t>This may happen when the UE was not expecting data or decided that the data were not intended for it.</w:t>
      </w:r>
    </w:p>
    <w:p>
      <w:r>
        <w:t>The pass / fail decision is done by observing the:</w:t>
      </w:r>
    </w:p>
    <w:p>
      <w:pPr>
        <w:pStyle w:val="111"/>
      </w:pPr>
      <w:r>
        <w:t>-</w:t>
      </w:r>
      <w:r>
        <w:tab/>
      </w:r>
      <w:r>
        <w:t>number of NACKs</w:t>
      </w:r>
    </w:p>
    <w:p>
      <w:pPr>
        <w:pStyle w:val="111"/>
      </w:pPr>
      <w:r>
        <w:t>-</w:t>
      </w:r>
      <w:r>
        <w:tab/>
      </w:r>
      <w:r>
        <w:t>number of ACKs and</w:t>
      </w:r>
    </w:p>
    <w:p>
      <w:pPr>
        <w:pStyle w:val="111"/>
      </w:pPr>
      <w:r>
        <w:t>-</w:t>
      </w:r>
      <w:r>
        <w:tab/>
      </w:r>
      <w:r>
        <w:t>number of statDTXs (regDTX is implicitly known to the SS)</w:t>
      </w:r>
    </w:p>
    <w:p>
      <w:r>
        <w:t xml:space="preserve">The ratio </w:t>
      </w:r>
      <w:r>
        <w:rPr>
          <w:rFonts w:ascii="Courier New" w:hAnsi="Courier New"/>
          <w:sz w:val="18"/>
          <w:szCs w:val="18"/>
        </w:rPr>
        <w:t>(NACK + statDTX)/(NACK+ statDTX + ACK)</w:t>
      </w:r>
      <w:r>
        <w:t>is the Error Ratio (ER). Taking into account the time consumed by the ACK, NACK, and DTX-TTIs (regular and statistical), ER can be mapped unambiguously to throughput for any single reference measurement channel test.</w:t>
      </w:r>
    </w:p>
    <w:p>
      <w:pPr>
        <w:pStyle w:val="4"/>
      </w:pPr>
      <w:bookmarkStart w:id="1229" w:name="_Toc13789"/>
      <w:bookmarkStart w:id="1230" w:name="_Toc232582191"/>
      <w:r>
        <w:t>G.2.3</w:t>
      </w:r>
      <w:r>
        <w:tab/>
      </w:r>
      <w:r>
        <w:t>Design of the test</w:t>
      </w:r>
      <w:bookmarkEnd w:id="1229"/>
      <w:bookmarkEnd w:id="1230"/>
    </w:p>
    <w:p>
      <w:r>
        <w:t>The test is defined by the following design principles (see clause G.x, Theory….):</w:t>
      </w:r>
    </w:p>
    <w:p>
      <w:pPr>
        <w:pStyle w:val="111"/>
      </w:pPr>
      <w:r>
        <w:t>1.</w:t>
      </w:r>
      <w:r>
        <w:tab/>
      </w:r>
      <w:r>
        <w:t>The early decision concept is applied.</w:t>
      </w:r>
    </w:p>
    <w:p>
      <w:pPr>
        <w:pStyle w:val="111"/>
      </w:pPr>
      <w:r>
        <w:t>2.</w:t>
      </w:r>
      <w:r>
        <w:tab/>
      </w:r>
      <w:r>
        <w:t>A second limit is introduced: Bad DUT factor M&gt;1</w:t>
      </w:r>
    </w:p>
    <w:p>
      <w:pPr>
        <w:pStyle w:val="111"/>
      </w:pPr>
      <w:r>
        <w:t>3.</w:t>
      </w:r>
      <w:r>
        <w:tab/>
      </w:r>
      <w:r>
        <w:t>To decide the test pass:</w:t>
      </w:r>
    </w:p>
    <w:p>
      <w:pPr>
        <w:pStyle w:val="122"/>
      </w:pPr>
      <w:r>
        <w:t>Supplier risk is applied based on the Bad DUT quality</w:t>
      </w:r>
    </w:p>
    <w:p>
      <w:pPr>
        <w:pStyle w:val="122"/>
      </w:pPr>
      <w:r>
        <w:t>To decide the test fail</w:t>
      </w:r>
    </w:p>
    <w:p>
      <w:pPr>
        <w:pStyle w:val="122"/>
      </w:pPr>
      <w:r>
        <w:t>Customer Risk is applied based on the specified DUT quality</w:t>
      </w:r>
    </w:p>
    <w:p>
      <w:r>
        <w:t>The test is defined by the following parameters:</w:t>
      </w:r>
    </w:p>
    <w:p>
      <w:pPr>
        <w:pStyle w:val="111"/>
      </w:pPr>
      <w:r>
        <w:t>1.</w:t>
      </w:r>
      <w:r>
        <w:tab/>
      </w:r>
      <w:r>
        <w:t>Limit ER = 0.05 (Throughput limit = 95%)</w:t>
      </w:r>
    </w:p>
    <w:p>
      <w:pPr>
        <w:pStyle w:val="111"/>
      </w:pPr>
      <w:r>
        <w:t>2.</w:t>
      </w:r>
      <w:r>
        <w:tab/>
      </w:r>
      <w:r>
        <w:t>Bad DUT factor M=1.5 (selectivity)</w:t>
      </w:r>
    </w:p>
    <w:p>
      <w:pPr>
        <w:pStyle w:val="111"/>
      </w:pPr>
      <w:r>
        <w:t>3.</w:t>
      </w:r>
      <w:r>
        <w:tab/>
      </w:r>
      <w:r>
        <w:t>Confidence level CL = 95% (for specified DUT and Bad DUT-quality)</w:t>
      </w:r>
    </w:p>
    <w:p>
      <w:pPr>
        <w:pStyle w:val="4"/>
      </w:pPr>
      <w:bookmarkStart w:id="1231" w:name="_Toc232582192"/>
      <w:bookmarkStart w:id="1232" w:name="_Toc31088"/>
      <w:r>
        <w:t>G.2.4</w:t>
      </w:r>
      <w:r>
        <w:tab/>
      </w:r>
      <w:r>
        <w:t>Numerical definition of the pass fail limits</w:t>
      </w:r>
      <w:bookmarkEnd w:id="1231"/>
      <w:bookmarkEnd w:id="1232"/>
    </w:p>
    <w:p>
      <w:pPr>
        <w:pStyle w:val="113"/>
        <w:rPr>
          <w:lang w:eastAsia="ko-KR"/>
        </w:rPr>
      </w:pPr>
      <w:r>
        <w:t>Table G.2.4-1: pass fail limits</w:t>
      </w:r>
    </w:p>
    <w:tbl>
      <w:tblPr>
        <w:tblStyle w:val="89"/>
        <w:tblW w:w="6854" w:type="dxa"/>
        <w:jc w:val="center"/>
        <w:tblLayout w:type="autofit"/>
        <w:tblCellMar>
          <w:top w:w="0" w:type="dxa"/>
          <w:left w:w="108" w:type="dxa"/>
          <w:bottom w:w="0" w:type="dxa"/>
          <w:right w:w="108" w:type="dxa"/>
        </w:tblCellMar>
      </w:tblPr>
      <w:tblGrid>
        <w:gridCol w:w="427"/>
        <w:gridCol w:w="517"/>
        <w:gridCol w:w="517"/>
        <w:gridCol w:w="427"/>
        <w:gridCol w:w="617"/>
        <w:gridCol w:w="617"/>
        <w:gridCol w:w="517"/>
        <w:gridCol w:w="617"/>
        <w:gridCol w:w="617"/>
        <w:gridCol w:w="697"/>
        <w:gridCol w:w="617"/>
        <w:gridCol w:w="667"/>
      </w:tblGrid>
      <w:tr>
        <w:tblPrEx>
          <w:tblCellMar>
            <w:top w:w="0" w:type="dxa"/>
            <w:left w:w="108" w:type="dxa"/>
            <w:bottom w:w="0" w:type="dxa"/>
            <w:right w:w="108" w:type="dxa"/>
          </w:tblCellMar>
        </w:tblPrEx>
        <w:trPr>
          <w:trHeight w:val="285" w:hRule="atLeast"/>
          <w:jc w:val="center"/>
        </w:trPr>
        <w:tc>
          <w:tcPr>
            <w:tcW w:w="427" w:type="dxa"/>
            <w:tcBorders>
              <w:top w:val="single" w:color="auto" w:sz="4" w:space="0"/>
              <w:left w:val="single" w:color="auto" w:sz="4" w:space="0"/>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42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5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c>
          <w:tcPr>
            <w:tcW w:w="69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ne</w:t>
            </w:r>
          </w:p>
        </w:tc>
        <w:tc>
          <w:tcPr>
            <w:tcW w:w="61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p</w:t>
            </w:r>
          </w:p>
        </w:tc>
        <w:tc>
          <w:tcPr>
            <w:tcW w:w="667" w:type="dxa"/>
            <w:tcBorders>
              <w:top w:val="single" w:color="auto" w:sz="4" w:space="0"/>
              <w:left w:val="nil"/>
              <w:bottom w:val="single" w:color="auto" w:sz="8" w:space="0"/>
              <w:right w:val="single" w:color="auto" w:sz="4" w:space="0"/>
            </w:tcBorders>
            <w:shd w:val="clear" w:color="auto" w:fill="auto"/>
          </w:tcPr>
          <w:p>
            <w:pPr>
              <w:spacing w:after="0"/>
              <w:jc w:val="center"/>
              <w:rPr>
                <w:rFonts w:ascii="Arial" w:hAnsi="Arial" w:cs="Arial"/>
                <w:b/>
                <w:bCs/>
                <w:sz w:val="18"/>
                <w:szCs w:val="18"/>
                <w:lang w:eastAsia="zh-CN"/>
              </w:rPr>
            </w:pPr>
            <w:r>
              <w:rPr>
                <w:rFonts w:ascii="Arial" w:hAnsi="Arial" w:cs="Arial"/>
                <w:b/>
                <w:bCs/>
                <w:sz w:val="18"/>
                <w:szCs w:val="18"/>
                <w:lang w:eastAsia="zh-CN"/>
              </w:rPr>
              <w:t>ns</w:t>
            </w:r>
            <w:r>
              <w:rPr>
                <w:rFonts w:ascii="Arial" w:hAnsi="Arial" w:cs="Arial"/>
                <w:b/>
                <w:bCs/>
                <w:sz w:val="18"/>
                <w:szCs w:val="18"/>
                <w:vertAlign w:val="subscript"/>
                <w:lang w:eastAsia="zh-CN"/>
              </w:rPr>
              <w:t>f</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NA</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1366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1148</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1828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NA</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1381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1166</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1965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1845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1980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1863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548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1200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1995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1881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2010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1899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1234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1916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858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596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1252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2039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1934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2054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1952</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1487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1286</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2069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1969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905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1502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2084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1987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278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1321</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2005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1532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1338</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2113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2023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100</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1547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1355</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2128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2040</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332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1562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1373</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2143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2058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983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1577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2158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2076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1592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2172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1607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1425</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2187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2111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167</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1623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2202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2129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418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793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1637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2217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2147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195</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810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1652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2231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2165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209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1076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1667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1494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2246</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2183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1682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2261</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2201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1106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860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1697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1529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2275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2218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503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1122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877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1712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1547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2290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2236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519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268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894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1727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1564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2305</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2254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536</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283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1153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911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1742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1582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2320</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2272</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552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1168</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928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1757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1599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2334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2290</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569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1183</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944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1772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1617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2349</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2308</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585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1199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961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1787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1634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2364</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2326</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602</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343</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1214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978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1802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1652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2378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2344</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618</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359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1229</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995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1669</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2393</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2361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634</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374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1244</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1012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1832</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1687</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148</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2408</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2379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32</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650</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389</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1260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1029</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1847</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1704</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149</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2422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2397</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667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405</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1275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1046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1861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1722</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150</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2437</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2415</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683</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421</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1290</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1063</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112</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1876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1740</w:t>
            </w:r>
          </w:p>
        </w:tc>
        <w:tc>
          <w:tcPr>
            <w:tcW w:w="69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151</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2452</w:t>
            </w:r>
          </w:p>
        </w:tc>
        <w:tc>
          <w:tcPr>
            <w:tcW w:w="66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2433</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35</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699</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436</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1305</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1080</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1891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1757</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152</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2466</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2451</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36</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715</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452</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1321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1097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114</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1906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1775</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153*)</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NA</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2469</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37</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731</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468</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1114</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115</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1921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1793</w:t>
            </w:r>
          </w:p>
        </w:tc>
        <w:tc>
          <w:tcPr>
            <w:tcW w:w="69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c>
          <w:tcPr>
            <w:tcW w:w="61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c>
          <w:tcPr>
            <w:tcW w:w="667" w:type="dxa"/>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w:t>
            </w:r>
          </w:p>
        </w:tc>
      </w:tr>
      <w:tr>
        <w:tblPrEx>
          <w:tblCellMar>
            <w:top w:w="0" w:type="dxa"/>
            <w:left w:w="108" w:type="dxa"/>
            <w:bottom w:w="0" w:type="dxa"/>
            <w:right w:w="108" w:type="dxa"/>
          </w:tblCellMar>
        </w:tblPrEx>
        <w:trPr>
          <w:trHeight w:val="255" w:hRule="atLeast"/>
          <w:jc w:val="center"/>
        </w:trPr>
        <w:tc>
          <w:tcPr>
            <w:tcW w:w="427" w:type="dxa"/>
            <w:tcBorders>
              <w:top w:val="nil"/>
              <w:left w:val="single" w:color="auto" w:sz="4" w:space="0"/>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38</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747</w:t>
            </w:r>
          </w:p>
        </w:tc>
        <w:tc>
          <w:tcPr>
            <w:tcW w:w="5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484</w:t>
            </w:r>
          </w:p>
        </w:tc>
        <w:tc>
          <w:tcPr>
            <w:tcW w:w="42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77</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1351</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1131</w:t>
            </w:r>
          </w:p>
        </w:tc>
        <w:tc>
          <w:tcPr>
            <w:tcW w:w="5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116</w:t>
            </w:r>
          </w:p>
        </w:tc>
        <w:tc>
          <w:tcPr>
            <w:tcW w:w="617" w:type="dxa"/>
            <w:tcBorders>
              <w:top w:val="nil"/>
              <w:left w:val="nil"/>
              <w:bottom w:val="single" w:color="auto" w:sz="4" w:space="0"/>
              <w:right w:val="single" w:color="auto" w:sz="4"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1936</w:t>
            </w:r>
          </w:p>
        </w:tc>
        <w:tc>
          <w:tcPr>
            <w:tcW w:w="617" w:type="dxa"/>
            <w:tcBorders>
              <w:top w:val="nil"/>
              <w:left w:val="nil"/>
              <w:bottom w:val="single" w:color="auto" w:sz="4" w:space="0"/>
              <w:right w:val="single" w:color="auto" w:sz="8" w:space="0"/>
            </w:tcBorders>
            <w:shd w:val="clear" w:color="auto" w:fill="auto"/>
            <w:vAlign w:val="bottom"/>
          </w:tcPr>
          <w:p>
            <w:pPr>
              <w:spacing w:after="0"/>
              <w:jc w:val="center"/>
              <w:rPr>
                <w:rFonts w:ascii="Arial" w:hAnsi="Arial" w:cs="Arial"/>
                <w:sz w:val="18"/>
                <w:szCs w:val="18"/>
                <w:lang w:eastAsia="zh-CN"/>
              </w:rPr>
            </w:pPr>
            <w:r>
              <w:rPr>
                <w:rFonts w:ascii="Arial" w:hAnsi="Arial" w:cs="Arial"/>
                <w:sz w:val="18"/>
                <w:szCs w:val="18"/>
                <w:lang w:eastAsia="zh-CN"/>
              </w:rPr>
              <w:t>1810</w:t>
            </w:r>
          </w:p>
        </w:tc>
        <w:tc>
          <w:tcPr>
            <w:tcW w:w="1981" w:type="dxa"/>
            <w:gridSpan w:val="3"/>
            <w:tcBorders>
              <w:top w:val="nil"/>
              <w:left w:val="nil"/>
              <w:bottom w:val="single" w:color="auto" w:sz="4" w:space="0"/>
              <w:right w:val="single" w:color="auto" w:sz="4" w:space="0"/>
            </w:tcBorders>
            <w:shd w:val="clear" w:color="auto" w:fill="auto"/>
          </w:tcPr>
          <w:p>
            <w:pPr>
              <w:spacing w:after="0"/>
              <w:jc w:val="center"/>
              <w:rPr>
                <w:rFonts w:ascii="Arial" w:hAnsi="Arial" w:cs="Arial"/>
                <w:sz w:val="18"/>
                <w:szCs w:val="18"/>
                <w:lang w:eastAsia="zh-CN"/>
              </w:rPr>
            </w:pPr>
            <w:r>
              <w:rPr>
                <w:rFonts w:ascii="Arial" w:hAnsi="Arial" w:cs="Arial"/>
                <w:sz w:val="18"/>
                <w:szCs w:val="18"/>
                <w:lang w:eastAsia="zh-CN"/>
              </w:rPr>
              <w:t>*) note 2 in G.2.5</w:t>
            </w:r>
          </w:p>
        </w:tc>
      </w:tr>
    </w:tbl>
    <w:p>
      <w:pPr>
        <w:pStyle w:val="108"/>
      </w:pPr>
    </w:p>
    <w:p>
      <w:pPr>
        <w:pStyle w:val="100"/>
      </w:pPr>
      <w:r>
        <w:t>NOTE 1:</w:t>
      </w:r>
      <w:r>
        <w:tab/>
      </w:r>
      <w:r>
        <w:t>The first column is the number of errors (ne = number of NACK + statDTX)</w:t>
      </w:r>
    </w:p>
    <w:p>
      <w:pPr>
        <w:pStyle w:val="100"/>
      </w:pPr>
      <w:r>
        <w:t>NOTE 2:</w:t>
      </w:r>
      <w:r>
        <w:tab/>
      </w:r>
      <w:r>
        <w:t>The second column is the number of samples for the pass limit (ns</w:t>
      </w:r>
      <w:r>
        <w:rPr>
          <w:vertAlign w:val="subscript"/>
        </w:rPr>
        <w:t>p</w:t>
      </w:r>
      <w:r>
        <w:t>, ns=Number of Samples= number of</w:t>
      </w:r>
      <w:r>
        <w:rPr>
          <w:rFonts w:ascii="Courier New" w:hAnsi="Courier New"/>
          <w:sz w:val="18"/>
          <w:szCs w:val="18"/>
        </w:rPr>
        <w:t xml:space="preserve"> NACK + statDTX + ACK</w:t>
      </w:r>
      <w:r>
        <w:t>)</w:t>
      </w:r>
    </w:p>
    <w:p>
      <w:pPr>
        <w:pStyle w:val="100"/>
      </w:pPr>
      <w:r>
        <w:t>NOTE 3:</w:t>
      </w:r>
      <w:r>
        <w:tab/>
      </w:r>
      <w:r>
        <w:t>The third column is the number of samples for the fail limit (ns</w:t>
      </w:r>
      <w:r>
        <w:rPr>
          <w:vertAlign w:val="subscript"/>
        </w:rPr>
        <w:t>f</w:t>
      </w:r>
      <w:r>
        <w:t>)</w:t>
      </w:r>
    </w:p>
    <w:p>
      <w:pPr>
        <w:pStyle w:val="4"/>
      </w:pPr>
      <w:bookmarkStart w:id="1233" w:name="_Toc950"/>
      <w:bookmarkStart w:id="1234" w:name="_Toc232582193"/>
      <w:r>
        <w:t>G.2.5</w:t>
      </w:r>
      <w:r>
        <w:tab/>
      </w:r>
      <w:r>
        <w:t>Pass fail decision rules</w:t>
      </w:r>
      <w:bookmarkEnd w:id="1233"/>
      <w:bookmarkEnd w:id="1234"/>
    </w:p>
    <w:p>
      <w:r>
        <w:t>The pass fail decision rules apply for a single test, comprising one component in the test vector. The over all Pass /Fail conditions are defined in clause G.2.6and G.2A.6</w:t>
      </w:r>
    </w:p>
    <w:p>
      <w:r>
        <w:t>Having observed   0  errors, pass the test at      67+    samples,                                                 otherwise continue</w:t>
      </w:r>
    </w:p>
    <w:p>
      <w:r>
        <w:t>Having observed   1  error,   pass the test at     95+  otherwise continue</w:t>
      </w:r>
    </w:p>
    <w:p>
      <w:r>
        <w:t>Having observed   2  errors,  pass the test at     119+  samples, fail the test at       2- samples,  otherwise continue</w:t>
      </w:r>
    </w:p>
    <w:p>
      <w:r>
        <w:t xml:space="preserve">                                                                           Etc. etc.</w:t>
      </w:r>
    </w:p>
    <w:p>
      <w:r>
        <w:t>Having observed 151 errors,  pass the test at  2452+  samples, fail the test at 2433- samples,  otherwise continue</w:t>
      </w:r>
    </w:p>
    <w:p>
      <w:r>
        <w:t xml:space="preserve">Having observed 152 errors,  pass the test at  2466+  samples, fail the test at 2451- samples.                                                  </w:t>
      </w:r>
    </w:p>
    <w:p>
      <w:r>
        <w:t>Where x+ means: x or more,        x- means x or less</w:t>
      </w:r>
    </w:p>
    <w:p>
      <w:pPr>
        <w:pStyle w:val="100"/>
      </w:pPr>
      <w:r>
        <w:t>NOTE 1:</w:t>
      </w:r>
      <w:r>
        <w:tab/>
      </w:r>
      <w:r>
        <w:t>an ideal DUT passes after 67 samples. The maximum test time is 2466 samples.</w:t>
      </w:r>
    </w:p>
    <w:p>
      <w:pPr>
        <w:pStyle w:val="100"/>
      </w:pPr>
      <w:r>
        <w:t>NOTE 2:</w:t>
      </w:r>
      <w:r>
        <w:tab/>
      </w:r>
      <w:r>
        <w:t>It is allowed to deviate from the early decision concept  by  postponing  the decision (pass/fail or continue). Postponing the decision to or beyond the end of Table G.2.4-1 requires a pass fail decision against the test limit: pass the DUT for ER&lt;0.0618, otherwise fail.</w:t>
      </w:r>
    </w:p>
    <w:p>
      <w:pPr>
        <w:pStyle w:val="3"/>
      </w:pPr>
      <w:bookmarkStart w:id="1235" w:name="_Toc2006"/>
      <w:r>
        <w:t>G.3</w:t>
      </w:r>
      <w:r>
        <w:tab/>
      </w:r>
      <w:r>
        <w:t>Statistical testing of Performance Requirements with throughput</w:t>
      </w:r>
      <w:bookmarkEnd w:id="1235"/>
    </w:p>
    <w:p>
      <w:pPr>
        <w:pStyle w:val="4"/>
      </w:pPr>
      <w:bookmarkStart w:id="1236" w:name="_Toc232582196"/>
      <w:bookmarkStart w:id="1237" w:name="_Toc27859"/>
      <w:r>
        <w:t>G.3.1</w:t>
      </w:r>
      <w:r>
        <w:tab/>
      </w:r>
      <w:r>
        <w:t>General</w:t>
      </w:r>
      <w:bookmarkEnd w:id="1236"/>
      <w:bookmarkEnd w:id="1237"/>
    </w:p>
    <w:p>
      <w:r>
        <w:t>The test of receiver performance characteristics is two fold.</w:t>
      </w:r>
    </w:p>
    <w:p>
      <w:pPr>
        <w:pStyle w:val="111"/>
      </w:pPr>
      <w:r>
        <w:t>1.</w:t>
      </w:r>
      <w:r>
        <w:tab/>
      </w:r>
      <w:r>
        <w:t>A signal or a combination of signals is offered to the RX port(s) of the receiver.</w:t>
      </w:r>
    </w:p>
    <w:p>
      <w:pPr>
        <w:pStyle w:val="111"/>
      </w:pPr>
      <w:r>
        <w:t>2.</w:t>
      </w:r>
      <w:r>
        <w:tab/>
      </w:r>
      <w:r>
        <w:t>The ability of the receiver to demodulate /decode this signal is verified by measuring the throughput.</w:t>
      </w:r>
    </w:p>
    <w:p>
      <w:r>
        <w:t>In (2) is the statistical aspect of the test and is treated here.</w:t>
      </w:r>
    </w:p>
    <w:p>
      <w:r>
        <w:t>The minimum requirement for all receiver performance tests is either 70% or 30% of the maximum throughput.</w:t>
      </w:r>
    </w:p>
    <w:p>
      <w:r>
        <w:t>All receiver performance tests are performed in fading conditions. In addition to the statistical considerations, this requires the definition of a minimum test time.</w:t>
      </w:r>
    </w:p>
    <w:p>
      <w:pPr>
        <w:pStyle w:val="4"/>
      </w:pPr>
      <w:bookmarkStart w:id="1238" w:name="_Toc6962"/>
      <w:bookmarkStart w:id="1239" w:name="_Toc232582197"/>
      <w:r>
        <w:t>G.3.2</w:t>
      </w:r>
      <w:r>
        <w:tab/>
      </w:r>
      <w:r>
        <w:t>Mapping throughput to error ratio</w:t>
      </w:r>
      <w:bookmarkEnd w:id="1238"/>
      <w:bookmarkEnd w:id="1239"/>
    </w:p>
    <w:p>
      <w:r>
        <w:t>G.2.2 applies</w:t>
      </w:r>
    </w:p>
    <w:p>
      <w:pPr>
        <w:pStyle w:val="4"/>
      </w:pPr>
      <w:bookmarkStart w:id="1240" w:name="_Toc232582198"/>
      <w:bookmarkStart w:id="1241" w:name="_Toc9150"/>
      <w:r>
        <w:t>G.3.3</w:t>
      </w:r>
      <w:r>
        <w:tab/>
      </w:r>
      <w:r>
        <w:t>Design of the test</w:t>
      </w:r>
      <w:bookmarkEnd w:id="1240"/>
      <w:bookmarkEnd w:id="1241"/>
    </w:p>
    <w:p>
      <w:r>
        <w:t>The test is defined by the following design principles (see clause G.x, Theory….):</w:t>
      </w:r>
    </w:p>
    <w:p>
      <w:pPr>
        <w:pStyle w:val="111"/>
      </w:pPr>
      <w:r>
        <w:t>1.</w:t>
      </w:r>
      <w:r>
        <w:tab/>
      </w:r>
      <w:r>
        <w:t>The standard concept is applied. (not the early decision concept)</w:t>
      </w:r>
    </w:p>
    <w:p>
      <w:pPr>
        <w:pStyle w:val="111"/>
      </w:pPr>
      <w:r>
        <w:t>2.</w:t>
      </w:r>
      <w:r>
        <w:tab/>
      </w:r>
      <w:r>
        <w:t>A second limit is introduced: The second limit is different, whether 30% or 70% throughput is tested.</w:t>
      </w:r>
    </w:p>
    <w:p>
      <w:pPr>
        <w:pStyle w:val="111"/>
      </w:pPr>
      <w:r>
        <w:t>3.</w:t>
      </w:r>
      <w:r>
        <w:tab/>
      </w:r>
      <w:r>
        <w:t>To decide the test pass:</w:t>
      </w:r>
    </w:p>
    <w:p>
      <w:pPr>
        <w:pStyle w:val="122"/>
      </w:pPr>
      <w:r>
        <w:t>Supplier risk is applied based on the Bad DUT quality</w:t>
      </w:r>
    </w:p>
    <w:p>
      <w:pPr>
        <w:pStyle w:val="122"/>
      </w:pPr>
      <w:r>
        <w:t>To decide the test fail:</w:t>
      </w:r>
    </w:p>
    <w:p>
      <w:pPr>
        <w:pStyle w:val="122"/>
      </w:pPr>
      <w:r>
        <w:t>Customer Risk is applied based on the specified DUT quality</w:t>
      </w:r>
    </w:p>
    <w:p>
      <w:r>
        <w:t>The test is defined by the following parameters:</w:t>
      </w:r>
    </w:p>
    <w:p>
      <w:pPr>
        <w:pStyle w:val="111"/>
      </w:pPr>
      <w:r>
        <w:t>1a) Limit Error Ratio = 0.3 (in case 70% Throughput is tested) or</w:t>
      </w:r>
    </w:p>
    <w:p>
      <w:pPr>
        <w:pStyle w:val="111"/>
      </w:pPr>
      <w:r>
        <w:t>1b) Limit Throughput = 0.3 (in case 30% Throughput is tested)</w:t>
      </w:r>
    </w:p>
    <w:p>
      <w:pPr>
        <w:pStyle w:val="111"/>
      </w:pPr>
      <w:r>
        <w:t>2a) Bad DUT factor M=1.378 (selectivity)</w:t>
      </w:r>
    </w:p>
    <w:p>
      <w:pPr>
        <w:pStyle w:val="111"/>
      </w:pPr>
      <w:r>
        <w:t>2b) Bad DUT factor m=0.692 (selectivity)</w:t>
      </w:r>
    </w:p>
    <w:p>
      <w:pPr>
        <w:pStyle w:val="122"/>
      </w:pPr>
      <w:r>
        <w:t>justification see: TS 34.121 Clause F.6.3.3</w:t>
      </w:r>
    </w:p>
    <w:p>
      <w:pPr>
        <w:pStyle w:val="111"/>
      </w:pPr>
      <w:r>
        <w:t>3) Confidence level CL = 95% (for specified DUT and Bad DUT-quality)</w:t>
      </w:r>
    </w:p>
    <w:p>
      <w:pPr>
        <w:pStyle w:val="4"/>
      </w:pPr>
      <w:bookmarkStart w:id="1242" w:name="_Toc3083"/>
      <w:bookmarkStart w:id="1243" w:name="_Toc232582199"/>
      <w:r>
        <w:t>G.3.4</w:t>
      </w:r>
      <w:r>
        <w:tab/>
      </w:r>
      <w:r>
        <w:t>Pass Fail limit</w:t>
      </w:r>
      <w:bookmarkEnd w:id="1242"/>
      <w:bookmarkEnd w:id="1243"/>
    </w:p>
    <w:p>
      <w:r>
        <w:t>Testing Throughput = 30%, then the test limit is</w:t>
      </w:r>
    </w:p>
    <w:p>
      <w:r>
        <w:t xml:space="preserve">Number of successes (ACK) / number of samples </w:t>
      </w:r>
      <w:r>
        <w:rPr>
          <w:rFonts w:hint="eastAsia"/>
        </w:rPr>
        <w:t>≥</w:t>
      </w:r>
      <w:r>
        <w:t xml:space="preserve"> 59 / 233 </w:t>
      </w:r>
    </w:p>
    <w:p>
      <w:r>
        <w:t>Testing Throughput = 70% then the test limit is</w:t>
      </w:r>
    </w:p>
    <w:p>
      <w:r>
        <w:t xml:space="preserve">Number of fails (NACK and statDTX) / number of samples </w:t>
      </w:r>
      <w:r>
        <w:rPr>
          <w:rFonts w:hint="eastAsia"/>
        </w:rPr>
        <w:t>≤</w:t>
      </w:r>
      <w:r>
        <w:t xml:space="preserve"> 66 / 184 </w:t>
      </w:r>
    </w:p>
    <w:p>
      <w:r>
        <w:t>We have to distinguish 3 cases:</w:t>
      </w:r>
    </w:p>
    <w:p>
      <w:pPr>
        <w:pStyle w:val="111"/>
      </w:pPr>
      <w:r>
        <w:t>a)</w:t>
      </w:r>
      <w:r>
        <w:tab/>
      </w:r>
      <w:r>
        <w:t>The duration for the number of samples (233 or 184) is greater than the minimum test time:</w:t>
      </w:r>
    </w:p>
    <w:p>
      <w:pPr>
        <w:pStyle w:val="111"/>
      </w:pPr>
      <w:r>
        <w:t>Then the number of samples (233 or 184) is predefined and the decision is done according to the number of events (59 successes or 66 fails)</w:t>
      </w:r>
    </w:p>
    <w:p>
      <w:pPr>
        <w:pStyle w:val="111"/>
      </w:pPr>
      <w:r>
        <w:t>b)</w:t>
      </w:r>
      <w:r>
        <w:tab/>
      </w:r>
      <w:r>
        <w:t>Since subframe 0 and 5 contain less bits than the remaining subframes, it is allowed to predefine a number of samples contained in an integer number of frames. In this case test-limit-ratio applies.</w:t>
      </w:r>
    </w:p>
    <w:p>
      <w:pPr>
        <w:pStyle w:val="111"/>
      </w:pPr>
      <w:r>
        <w:t>c)</w:t>
      </w:r>
      <w:r>
        <w:tab/>
      </w:r>
      <w:r>
        <w:t>The minimum test time is greater than the duration for the number of samples:</w:t>
      </w:r>
    </w:p>
    <w:p>
      <w:pPr>
        <w:pStyle w:val="111"/>
      </w:pPr>
      <w:r>
        <w:t>The minimum test time is predefined and the decision is done comparing the measured ratio at that instant against the test-limit-ratio.</w:t>
      </w:r>
    </w:p>
    <w:p>
      <w:pPr>
        <w:pStyle w:val="100"/>
      </w:pPr>
      <w:r>
        <w:t>NOTE:</w:t>
      </w:r>
      <w:r>
        <w:tab/>
      </w:r>
      <w:r>
        <w:t>The test time for most of the tests is governed by the Minimum Test Time</w:t>
      </w:r>
    </w:p>
    <w:p>
      <w:pPr>
        <w:pStyle w:val="4"/>
      </w:pPr>
      <w:bookmarkStart w:id="1244" w:name="_Toc232582200"/>
      <w:bookmarkStart w:id="1245" w:name="_Toc22146"/>
      <w:r>
        <w:t>G.3.5</w:t>
      </w:r>
      <w:r>
        <w:tab/>
      </w:r>
      <w:r>
        <w:t>Minimum Test time</w:t>
      </w:r>
      <w:bookmarkEnd w:id="1244"/>
      <w:bookmarkEnd w:id="1245"/>
    </w:p>
    <w:p>
      <w:r>
        <w:t>If a pass fail decision in G.3.4 can be achieved earlier than the minimum test time, then the test shall not be decided, but continued until the minimum test time is elapsed.</w:t>
      </w:r>
    </w:p>
    <w:p>
      <w:r>
        <w:t>The tables below contain the minimum number of subframes for FDD.</w:t>
      </w:r>
    </w:p>
    <w:p>
      <w:r>
        <w:t xml:space="preserve">By simulations the </w:t>
      </w:r>
      <w:r>
        <w:rPr>
          <w:u w:val="single"/>
        </w:rPr>
        <w:t>m</w:t>
      </w:r>
      <w:r>
        <w:t xml:space="preserve">inimum </w:t>
      </w:r>
      <w:r>
        <w:rPr>
          <w:u w:val="single"/>
        </w:rPr>
        <w:t>n</w:t>
      </w:r>
      <w:r>
        <w:t xml:space="preserve">umber of </w:t>
      </w:r>
      <w:r>
        <w:rPr>
          <w:u w:val="single"/>
        </w:rPr>
        <w:t>a</w:t>
      </w:r>
      <w:r>
        <w:t xml:space="preserve">ctive </w:t>
      </w:r>
      <w:r>
        <w:rPr>
          <w:u w:val="single"/>
        </w:rPr>
        <w:t>s</w:t>
      </w:r>
      <w:r>
        <w:t>ubframes (carrying DL payload) was derived (MNAS),</w:t>
      </w:r>
    </w:p>
    <w:p>
      <w:r>
        <w:t>then adding inactive subframes to the active ones (e.g. subframe 5 contains no DL payload. For TDD additional subframes contain no DL payload)</w:t>
      </w:r>
    </w:p>
    <w:p>
      <w:r>
        <w:t>then rounding up to full thousand and</w:t>
      </w:r>
    </w:p>
    <w:p>
      <w:r>
        <w:t xml:space="preserve">then adding a </w:t>
      </w:r>
      <w:r>
        <w:rPr>
          <w:u w:val="single"/>
        </w:rPr>
        <w:t>b</w:t>
      </w:r>
      <w:r>
        <w:t>ias of 1000 (BMNSF).</w:t>
      </w:r>
    </w:p>
    <w:p>
      <w:pPr>
        <w:pStyle w:val="9"/>
      </w:pPr>
      <w:r>
        <w:t>Simulation method to derive minimum test time:</w:t>
      </w:r>
    </w:p>
    <w:p>
      <w:r>
        <w:t xml:space="preserve">With a level, corresponding a throughput at the test limit (here 30% or 70% of the max. throughput) the preliminary throughput versus time converges towards the final throughput. The allowance of ± 0.2 dB around the above mentioned level is predefined by RAN5 to find the minimum test time. The allowance of ±0.2 dB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HST-scenarios and scenarios with MNAS </w:t>
      </w:r>
      <w:r>
        <w:rPr>
          <w:rFonts w:hint="eastAsia"/>
        </w:rPr>
        <w:t>≥</w:t>
      </w:r>
      <w:r>
        <w:t xml:space="preserve"> 50000 are derived differently.</w:t>
      </w:r>
    </w:p>
    <w:p>
      <w:pPr>
        <w:pStyle w:val="113"/>
      </w:pPr>
      <w:bookmarkStart w:id="1246" w:name="_MON_1417085723"/>
      <w:bookmarkEnd w:id="1246"/>
      <w:bookmarkStart w:id="1247" w:name="_MON_1365603979"/>
      <w:bookmarkEnd w:id="1247"/>
      <w:r>
        <w:object>
          <v:shape id="_x0000_i1242" o:spt="75" type="#_x0000_t75" style="height:293.45pt;width:540.55pt;" o:ole="t" filled="f" o:preferrelative="t" stroked="f" coordsize="21600,21600">
            <v:path/>
            <v:fill on="f" focussize="0,0"/>
            <v:stroke on="f" joinstyle="miter"/>
            <v:imagedata r:id="rId360" o:title=""/>
            <o:lock v:ext="edit" aspectratio="t"/>
            <w10:wrap type="none"/>
            <w10:anchorlock/>
          </v:shape>
          <o:OLEObject Type="Embed" ProgID="Word.Document.8" ShapeID="_x0000_i1242" DrawAspect="Content" ObjectID="_1468075942" r:id="rId359">
            <o:LockedField>false</o:LockedField>
          </o:OLEObject>
        </w:object>
      </w:r>
    </w:p>
    <w:p>
      <w:pPr>
        <w:pStyle w:val="113"/>
      </w:pPr>
      <w:r>
        <w:t>Figure G.3.5-1: Simulation method to derive minimum test time</w:t>
      </w:r>
    </w:p>
    <w:p/>
    <w:p>
      <w:pPr>
        <w:pStyle w:val="113"/>
        <w:rPr>
          <w:rFonts w:eastAsia="PMingLiU"/>
          <w:lang w:eastAsia="ja-JP"/>
        </w:rPr>
      </w:pPr>
      <w:bookmarkStart w:id="1248" w:name="OLE_LINK3"/>
      <w:r>
        <w:t>Table G.3.5-1</w:t>
      </w:r>
      <w:bookmarkEnd w:id="1248"/>
      <w:bookmarkStart w:id="1249" w:name="_Toc232582201"/>
      <w:r>
        <w:t>: Minimum Test time</w:t>
      </w:r>
      <w:r>
        <w:rPr>
          <w:rFonts w:eastAsia="宋体"/>
          <w:lang w:eastAsia="zh-CN"/>
        </w:rPr>
        <w:t xml:space="preserve"> for PDSCH </w:t>
      </w:r>
      <w:r>
        <w:rPr>
          <w:lang w:eastAsia="zh-TW"/>
        </w:rPr>
        <w:t xml:space="preserve">for UE Category </w:t>
      </w:r>
      <w:r>
        <w:rPr>
          <w:lang w:eastAsia="ja-JP"/>
        </w:rPr>
        <w:t>NB1</w:t>
      </w:r>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restart"/>
          </w:tcPr>
          <w:p>
            <w:pPr>
              <w:pStyle w:val="104"/>
              <w:rPr>
                <w:lang w:eastAsia="ja-JP"/>
              </w:rPr>
            </w:pPr>
            <w:r>
              <w:rPr>
                <w:lang w:eastAsia="zh-TW"/>
              </w:rPr>
              <w:t>Clause 8.</w:t>
            </w:r>
            <w:r>
              <w:rPr>
                <w:lang w:eastAsia="ja-JP"/>
              </w:rPr>
              <w:t>12.1.1.2</w:t>
            </w:r>
          </w:p>
          <w:p>
            <w:pPr>
              <w:pStyle w:val="104"/>
              <w:rPr>
                <w:lang w:eastAsia="zh-CN"/>
              </w:rPr>
            </w:pPr>
            <w:r>
              <w:rPr>
                <w:lang w:eastAsia="zh-CN"/>
              </w:rPr>
              <w:t>Test</w:t>
            </w:r>
          </w:p>
          <w:p>
            <w:pPr>
              <w:pStyle w:val="104"/>
              <w:rPr>
                <w:lang w:eastAsia="zh-CN"/>
              </w:rPr>
            </w:pPr>
            <w:r>
              <w:rPr>
                <w:lang w:eastAsia="zh-CN"/>
              </w:rPr>
              <w:t>No</w:t>
            </w:r>
          </w:p>
        </w:tc>
        <w:tc>
          <w:tcPr>
            <w:tcW w:w="1370" w:type="pct"/>
            <w:vMerge w:val="restart"/>
          </w:tcPr>
          <w:p>
            <w:pPr>
              <w:pStyle w:val="104"/>
              <w:rPr>
                <w:lang w:eastAsia="zh-CN"/>
              </w:rPr>
            </w:pPr>
            <w:r>
              <w:rPr>
                <w:lang w:eastAsia="zh-CN"/>
              </w:rPr>
              <w:t>Demodulation scenario</w:t>
            </w:r>
          </w:p>
          <w:p>
            <w:pPr>
              <w:pStyle w:val="104"/>
              <w:rPr>
                <w:rFonts w:cs="Arial"/>
                <w:lang w:eastAsia="zh-CN"/>
              </w:rPr>
            </w:pPr>
            <w:r>
              <w:rPr>
                <w:rFonts w:cs="Arial"/>
                <w:lang w:eastAsia="zh-CN"/>
              </w:rPr>
              <w:t>(info only)</w:t>
            </w:r>
          </w:p>
        </w:tc>
        <w:tc>
          <w:tcPr>
            <w:tcW w:w="1026" w:type="pct"/>
            <w:vMerge w:val="restart"/>
          </w:tcPr>
          <w:p>
            <w:pPr>
              <w:pStyle w:val="104"/>
              <w:rPr>
                <w:lang w:eastAsia="zh-CN"/>
              </w:rPr>
            </w:pPr>
            <w:r>
              <w:rPr>
                <w:lang w:eastAsia="zh-CN"/>
              </w:rPr>
              <w:t>MNAS</w:t>
            </w:r>
          </w:p>
          <w:p>
            <w:pPr>
              <w:pStyle w:val="104"/>
              <w:rPr>
                <w:lang w:eastAsia="zh-CN"/>
              </w:rPr>
            </w:pPr>
            <w:r>
              <w:rPr>
                <w:lang w:eastAsia="zh-CN"/>
              </w:rPr>
              <w:t>(Simulation)</w:t>
            </w:r>
          </w:p>
        </w:tc>
        <w:tc>
          <w:tcPr>
            <w:tcW w:w="1243" w:type="pct"/>
            <w:gridSpan w:val="2"/>
          </w:tcPr>
          <w:p>
            <w:pPr>
              <w:pStyle w:val="104"/>
              <w:rPr>
                <w:rFonts w:cs="Arial"/>
                <w:lang w:eastAsia="zh-CN"/>
              </w:rPr>
            </w:pPr>
            <w:r>
              <w:rPr>
                <w:rFonts w:cs="Arial"/>
                <w:lang w:eastAsia="zh-CN"/>
              </w:rPr>
              <w:t>MNSF (Min No Sub Frames,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continue"/>
          </w:tcPr>
          <w:p>
            <w:pPr>
              <w:pStyle w:val="104"/>
              <w:rPr>
                <w:lang w:eastAsia="zh-CN"/>
              </w:rPr>
            </w:pPr>
          </w:p>
        </w:tc>
        <w:tc>
          <w:tcPr>
            <w:tcW w:w="1370" w:type="pct"/>
            <w:vMerge w:val="continue"/>
          </w:tcPr>
          <w:p>
            <w:pPr>
              <w:pStyle w:val="104"/>
              <w:rPr>
                <w:lang w:eastAsia="zh-CN"/>
              </w:rPr>
            </w:pPr>
          </w:p>
        </w:tc>
        <w:tc>
          <w:tcPr>
            <w:tcW w:w="1026" w:type="pct"/>
            <w:vMerge w:val="continue"/>
          </w:tcPr>
          <w:p>
            <w:pPr>
              <w:pStyle w:val="104"/>
              <w:rPr>
                <w:lang w:eastAsia="zh-CN"/>
              </w:rPr>
            </w:pPr>
          </w:p>
        </w:tc>
        <w:tc>
          <w:tcPr>
            <w:tcW w:w="642" w:type="pct"/>
          </w:tcPr>
          <w:p>
            <w:pPr>
              <w:pStyle w:val="104"/>
              <w:rPr>
                <w:lang w:eastAsia="zh-CN"/>
              </w:rPr>
            </w:pPr>
            <w:r>
              <w:rPr>
                <w:lang w:eastAsia="zh-TW"/>
              </w:rPr>
              <w:t>HD-</w:t>
            </w:r>
            <w:r>
              <w:rPr>
                <w:lang w:eastAsia="zh-CN"/>
              </w:rPr>
              <w:t>FDD</w:t>
            </w:r>
          </w:p>
        </w:tc>
        <w:tc>
          <w:tcPr>
            <w:tcW w:w="601" w:type="pct"/>
          </w:tcPr>
          <w:p>
            <w:pPr>
              <w:pStyle w:val="104"/>
              <w:rPr>
                <w:lang w:eastAsia="zh-CN"/>
              </w:rPr>
            </w:pPr>
            <w:r>
              <w:rPr>
                <w:lang w:eastAsia="zh-CN"/>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1</w:t>
            </w:r>
          </w:p>
        </w:tc>
        <w:tc>
          <w:tcPr>
            <w:tcW w:w="1370" w:type="pct"/>
          </w:tcPr>
          <w:p>
            <w:pPr>
              <w:pStyle w:val="105"/>
              <w:rPr>
                <w:lang w:eastAsia="ja-JP"/>
              </w:rPr>
            </w:pPr>
            <w:r>
              <w:rPr>
                <w:rFonts w:cs="Arial"/>
              </w:rPr>
              <w:t>R.NB.3 FDD</w:t>
            </w:r>
          </w:p>
          <w:p>
            <w:pPr>
              <w:pStyle w:val="105"/>
            </w:pPr>
            <w:r>
              <w:t>(</w:t>
            </w:r>
            <w:r>
              <w:rPr>
                <w:lang w:eastAsia="ja-JP"/>
              </w:rPr>
              <w:t>200kHz, QPSK,1/2</w:t>
            </w:r>
            <w:r>
              <w:t>)</w:t>
            </w:r>
          </w:p>
          <w:p>
            <w:pPr>
              <w:pStyle w:val="105"/>
            </w:pPr>
            <w:r>
              <w:t>(</w:t>
            </w:r>
            <w:r>
              <w:rPr>
                <w:lang w:eastAsia="ja-JP"/>
              </w:rPr>
              <w:t>1</w:t>
            </w:r>
            <w:r>
              <w:t>x1)</w:t>
            </w:r>
          </w:p>
          <w:p>
            <w:pPr>
              <w:pStyle w:val="105"/>
            </w:pPr>
            <w:r>
              <w:t>E</w:t>
            </w:r>
            <w:r>
              <w:rPr>
                <w:lang w:eastAsia="ja-JP"/>
              </w:rPr>
              <w:t>PA5</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3466000</w:t>
            </w:r>
          </w:p>
        </w:tc>
        <w:tc>
          <w:tcPr>
            <w:tcW w:w="601" w:type="pct"/>
          </w:tcPr>
          <w:p>
            <w:pPr>
              <w:pStyle w:val="105"/>
            </w:pPr>
            <w: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2</w:t>
            </w:r>
          </w:p>
        </w:tc>
        <w:tc>
          <w:tcPr>
            <w:tcW w:w="1370" w:type="pct"/>
          </w:tcPr>
          <w:p>
            <w:pPr>
              <w:pStyle w:val="105"/>
              <w:rPr>
                <w:lang w:eastAsia="ja-JP"/>
              </w:rPr>
            </w:pPr>
            <w:r>
              <w:rPr>
                <w:rFonts w:cs="Arial"/>
              </w:rPr>
              <w:t>R.NB.3 FDD</w:t>
            </w:r>
          </w:p>
          <w:p>
            <w:pPr>
              <w:pStyle w:val="105"/>
            </w:pPr>
            <w:r>
              <w:t>(</w:t>
            </w:r>
            <w:r>
              <w:rPr>
                <w:lang w:eastAsia="ja-JP"/>
              </w:rPr>
              <w:t>200kHz, QPSK,1/2</w:t>
            </w:r>
            <w:r>
              <w:t>)</w:t>
            </w:r>
          </w:p>
          <w:p>
            <w:pPr>
              <w:pStyle w:val="105"/>
            </w:pPr>
            <w:r>
              <w:t>(</w:t>
            </w:r>
            <w:r>
              <w:rPr>
                <w:lang w:eastAsia="ja-JP"/>
              </w:rPr>
              <w:t>1</w:t>
            </w:r>
            <w:r>
              <w:t>x1)</w:t>
            </w:r>
          </w:p>
          <w:p>
            <w:pPr>
              <w:pStyle w:val="105"/>
            </w:pPr>
            <w:r>
              <w:t>ETU1</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5544000</w:t>
            </w:r>
          </w:p>
        </w:tc>
        <w:tc>
          <w:tcPr>
            <w:tcW w:w="601" w:type="pct"/>
          </w:tcPr>
          <w:p>
            <w:pPr>
              <w:pStyle w:val="105"/>
              <w:rPr>
                <w:lang w:eastAsia="zh-TW"/>
              </w:rPr>
            </w:pPr>
            <w:r>
              <w:t>N/A</w:t>
            </w:r>
          </w:p>
        </w:tc>
      </w:tr>
    </w:tbl>
    <w:p/>
    <w:p>
      <w:pPr>
        <w:pStyle w:val="113"/>
        <w:rPr>
          <w:rFonts w:eastAsia="PMingLiU"/>
          <w:lang w:eastAsia="ja-JP"/>
        </w:rPr>
      </w:pPr>
      <w:r>
        <w:t>Table G.3.5-</w:t>
      </w:r>
      <w:r>
        <w:rPr>
          <w:rFonts w:hint="eastAsia" w:eastAsia="宋体"/>
          <w:lang w:val="en-US" w:eastAsia="zh-CN"/>
        </w:rPr>
        <w:t>2</w:t>
      </w:r>
      <w:r>
        <w:t>: Minimum Test time</w:t>
      </w:r>
      <w:r>
        <w:rPr>
          <w:rFonts w:eastAsia="宋体"/>
          <w:lang w:eastAsia="zh-CN"/>
        </w:rPr>
        <w:t xml:space="preserve"> for PDSCH </w:t>
      </w:r>
      <w:r>
        <w:rPr>
          <w:lang w:eastAsia="zh-TW"/>
        </w:rPr>
        <w:t xml:space="preserve">for UE Category </w:t>
      </w:r>
      <w:r>
        <w:rPr>
          <w:lang w:eastAsia="ja-JP"/>
        </w:rPr>
        <w:t>NB2</w:t>
      </w:r>
    </w:p>
    <w:tbl>
      <w:tblPr>
        <w:tblStyle w:val="89"/>
        <w:tblW w:w="402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57"/>
        <w:gridCol w:w="2172"/>
        <w:gridCol w:w="1627"/>
        <w:gridCol w:w="1018"/>
        <w:gridCol w:w="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restart"/>
          </w:tcPr>
          <w:p>
            <w:pPr>
              <w:pStyle w:val="104"/>
              <w:rPr>
                <w:lang w:eastAsia="ja-JP"/>
              </w:rPr>
            </w:pPr>
            <w:r>
              <w:rPr>
                <w:lang w:eastAsia="zh-TW"/>
              </w:rPr>
              <w:t>Clause 8.</w:t>
            </w:r>
            <w:r>
              <w:rPr>
                <w:lang w:eastAsia="ja-JP"/>
              </w:rPr>
              <w:t>12.1.1.3</w:t>
            </w:r>
          </w:p>
          <w:p>
            <w:pPr>
              <w:pStyle w:val="104"/>
              <w:rPr>
                <w:lang w:eastAsia="zh-CN"/>
              </w:rPr>
            </w:pPr>
            <w:r>
              <w:rPr>
                <w:lang w:eastAsia="zh-CN"/>
              </w:rPr>
              <w:t>Test</w:t>
            </w:r>
          </w:p>
          <w:p>
            <w:pPr>
              <w:pStyle w:val="104"/>
              <w:rPr>
                <w:lang w:eastAsia="zh-CN"/>
              </w:rPr>
            </w:pPr>
            <w:r>
              <w:rPr>
                <w:lang w:eastAsia="zh-CN"/>
              </w:rPr>
              <w:t>No</w:t>
            </w:r>
          </w:p>
        </w:tc>
        <w:tc>
          <w:tcPr>
            <w:tcW w:w="1370" w:type="pct"/>
            <w:vMerge w:val="restart"/>
          </w:tcPr>
          <w:p>
            <w:pPr>
              <w:pStyle w:val="104"/>
              <w:rPr>
                <w:lang w:eastAsia="zh-CN"/>
              </w:rPr>
            </w:pPr>
            <w:r>
              <w:rPr>
                <w:lang w:eastAsia="zh-CN"/>
              </w:rPr>
              <w:t>Demodulation scenario</w:t>
            </w:r>
          </w:p>
          <w:p>
            <w:pPr>
              <w:pStyle w:val="104"/>
              <w:rPr>
                <w:rFonts w:cs="Arial"/>
                <w:lang w:eastAsia="zh-CN"/>
              </w:rPr>
            </w:pPr>
            <w:r>
              <w:rPr>
                <w:rFonts w:cs="Arial"/>
                <w:lang w:eastAsia="zh-CN"/>
              </w:rPr>
              <w:t>(info only)</w:t>
            </w:r>
          </w:p>
        </w:tc>
        <w:tc>
          <w:tcPr>
            <w:tcW w:w="1026" w:type="pct"/>
            <w:vMerge w:val="restart"/>
          </w:tcPr>
          <w:p>
            <w:pPr>
              <w:pStyle w:val="104"/>
              <w:rPr>
                <w:lang w:eastAsia="zh-CN"/>
              </w:rPr>
            </w:pPr>
            <w:r>
              <w:rPr>
                <w:lang w:eastAsia="zh-CN"/>
              </w:rPr>
              <w:t>MNAS</w:t>
            </w:r>
          </w:p>
          <w:p>
            <w:pPr>
              <w:pStyle w:val="104"/>
              <w:rPr>
                <w:lang w:eastAsia="zh-CN"/>
              </w:rPr>
            </w:pPr>
            <w:r>
              <w:rPr>
                <w:lang w:eastAsia="zh-CN"/>
              </w:rPr>
              <w:t>(Simulation)</w:t>
            </w:r>
          </w:p>
        </w:tc>
        <w:tc>
          <w:tcPr>
            <w:tcW w:w="1244" w:type="pct"/>
            <w:gridSpan w:val="2"/>
          </w:tcPr>
          <w:p>
            <w:pPr>
              <w:pStyle w:val="104"/>
              <w:rPr>
                <w:rFonts w:cs="Arial"/>
                <w:lang w:eastAsia="zh-CN"/>
              </w:rPr>
            </w:pPr>
            <w:r>
              <w:rPr>
                <w:rFonts w:cs="Arial"/>
                <w:lang w:eastAsia="zh-CN"/>
              </w:rPr>
              <w:t>MNSF (Min No Sub Frames,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vMerge w:val="continue"/>
          </w:tcPr>
          <w:p>
            <w:pPr>
              <w:pStyle w:val="104"/>
              <w:rPr>
                <w:lang w:eastAsia="zh-CN"/>
              </w:rPr>
            </w:pPr>
          </w:p>
        </w:tc>
        <w:tc>
          <w:tcPr>
            <w:tcW w:w="1370" w:type="pct"/>
            <w:vMerge w:val="continue"/>
          </w:tcPr>
          <w:p>
            <w:pPr>
              <w:pStyle w:val="104"/>
              <w:rPr>
                <w:lang w:eastAsia="zh-CN"/>
              </w:rPr>
            </w:pPr>
          </w:p>
        </w:tc>
        <w:tc>
          <w:tcPr>
            <w:tcW w:w="1026" w:type="pct"/>
            <w:vMerge w:val="continue"/>
          </w:tcPr>
          <w:p>
            <w:pPr>
              <w:pStyle w:val="104"/>
              <w:rPr>
                <w:lang w:eastAsia="zh-CN"/>
              </w:rPr>
            </w:pPr>
          </w:p>
        </w:tc>
        <w:tc>
          <w:tcPr>
            <w:tcW w:w="642" w:type="pct"/>
          </w:tcPr>
          <w:p>
            <w:pPr>
              <w:pStyle w:val="104"/>
              <w:rPr>
                <w:lang w:eastAsia="zh-CN"/>
              </w:rPr>
            </w:pPr>
            <w:r>
              <w:rPr>
                <w:lang w:eastAsia="zh-TW"/>
              </w:rPr>
              <w:t>HD-</w:t>
            </w:r>
            <w:r>
              <w:rPr>
                <w:lang w:eastAsia="zh-CN"/>
              </w:rPr>
              <w:t>FDD</w:t>
            </w:r>
          </w:p>
        </w:tc>
        <w:tc>
          <w:tcPr>
            <w:tcW w:w="601" w:type="pct"/>
          </w:tcPr>
          <w:p>
            <w:pPr>
              <w:pStyle w:val="104"/>
              <w:rPr>
                <w:lang w:eastAsia="zh-CN"/>
              </w:rPr>
            </w:pPr>
            <w:r>
              <w:rPr>
                <w:lang w:eastAsia="zh-CN"/>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61" w:type="pct"/>
          </w:tcPr>
          <w:p>
            <w:pPr>
              <w:pStyle w:val="103"/>
              <w:jc w:val="center"/>
              <w:rPr>
                <w:lang w:eastAsia="ja-JP"/>
              </w:rPr>
            </w:pPr>
            <w:r>
              <w:rPr>
                <w:lang w:eastAsia="ja-JP"/>
              </w:rPr>
              <w:t>1</w:t>
            </w:r>
          </w:p>
        </w:tc>
        <w:tc>
          <w:tcPr>
            <w:tcW w:w="1370" w:type="pct"/>
          </w:tcPr>
          <w:p>
            <w:pPr>
              <w:pStyle w:val="105"/>
              <w:rPr>
                <w:lang w:eastAsia="ja-JP"/>
              </w:rPr>
            </w:pPr>
            <w:r>
              <w:rPr>
                <w:rFonts w:cs="Arial"/>
              </w:rPr>
              <w:t>R.NB.7 FDD</w:t>
            </w:r>
          </w:p>
          <w:p>
            <w:pPr>
              <w:pStyle w:val="105"/>
            </w:pPr>
            <w:r>
              <w:t>(</w:t>
            </w:r>
            <w:r>
              <w:rPr>
                <w:lang w:eastAsia="ja-JP"/>
              </w:rPr>
              <w:t>200kHz, QPSK,1/2</w:t>
            </w:r>
            <w:r>
              <w:t>)</w:t>
            </w:r>
          </w:p>
          <w:p>
            <w:pPr>
              <w:pStyle w:val="105"/>
            </w:pPr>
            <w:r>
              <w:t>(</w:t>
            </w:r>
            <w:r>
              <w:rPr>
                <w:lang w:eastAsia="ja-JP"/>
              </w:rPr>
              <w:t>1</w:t>
            </w:r>
            <w:r>
              <w:t>x1)</w:t>
            </w:r>
          </w:p>
          <w:p>
            <w:pPr>
              <w:pStyle w:val="105"/>
            </w:pPr>
            <w:r>
              <w:t>E</w:t>
            </w:r>
            <w:r>
              <w:rPr>
                <w:lang w:eastAsia="ja-JP"/>
              </w:rPr>
              <w:t>PA5</w:t>
            </w:r>
          </w:p>
        </w:tc>
        <w:tc>
          <w:tcPr>
            <w:tcW w:w="1026" w:type="pct"/>
          </w:tcPr>
          <w:p>
            <w:pPr>
              <w:pStyle w:val="105"/>
              <w:rPr>
                <w:rFonts w:cs="Arial"/>
                <w:lang w:eastAsia="ja-JP"/>
              </w:rPr>
            </w:pPr>
            <w:r>
              <w:rPr>
                <w:rFonts w:cs="Arial"/>
                <w:lang w:eastAsia="ja-JP"/>
              </w:rPr>
              <w:t>3609</w:t>
            </w:r>
          </w:p>
        </w:tc>
        <w:tc>
          <w:tcPr>
            <w:tcW w:w="642" w:type="pct"/>
          </w:tcPr>
          <w:p>
            <w:pPr>
              <w:pStyle w:val="105"/>
              <w:rPr>
                <w:lang w:eastAsia="ja-JP"/>
              </w:rPr>
            </w:pPr>
            <w:r>
              <w:rPr>
                <w:lang w:eastAsia="ja-JP"/>
              </w:rPr>
              <w:t>44000</w:t>
            </w:r>
          </w:p>
        </w:tc>
        <w:tc>
          <w:tcPr>
            <w:tcW w:w="601" w:type="pct"/>
          </w:tcPr>
          <w:p>
            <w:pPr>
              <w:pStyle w:val="105"/>
            </w:pPr>
            <w:r>
              <w:t>N/A</w:t>
            </w:r>
          </w:p>
        </w:tc>
      </w:tr>
    </w:tbl>
    <w:p>
      <w:pPr>
        <w:tabs>
          <w:tab w:val="left" w:pos="726"/>
        </w:tabs>
        <w:rPr>
          <w:lang w:eastAsia="ja-JP"/>
        </w:rPr>
      </w:pPr>
    </w:p>
    <w:bookmarkEnd w:id="1249"/>
    <w:p>
      <w:pPr>
        <w:pStyle w:val="3"/>
        <w:rPr>
          <w:rFonts w:eastAsia="宋体"/>
          <w:lang w:val="en-US" w:eastAsia="zh-CN"/>
        </w:rPr>
      </w:pPr>
      <w:bookmarkStart w:id="1250" w:name="_Toc4467"/>
      <w:r>
        <w:t>G.</w:t>
      </w:r>
      <w:r>
        <w:rPr>
          <w:rFonts w:hint="eastAsia" w:eastAsia="宋体"/>
          <w:lang w:val="en-US" w:eastAsia="zh-CN"/>
        </w:rPr>
        <w:t>4</w:t>
      </w:r>
      <w:r>
        <w:tab/>
      </w:r>
      <w:r>
        <w:rPr>
          <w:rFonts w:hint="eastAsia" w:eastAsia="宋体"/>
          <w:lang w:val="en-US" w:eastAsia="zh-CN"/>
        </w:rPr>
        <w:t>[FFS]</w:t>
      </w:r>
      <w:bookmarkEnd w:id="1250"/>
    </w:p>
    <w:p/>
    <w:p>
      <w:pPr>
        <w:pStyle w:val="3"/>
        <w:rPr>
          <w:rFonts w:eastAsia="宋体"/>
          <w:lang w:val="en-US" w:eastAsia="zh-CN"/>
        </w:rPr>
      </w:pPr>
      <w:bookmarkStart w:id="1251" w:name="_Toc25683"/>
      <w:r>
        <w:t>G.</w:t>
      </w:r>
      <w:r>
        <w:rPr>
          <w:rFonts w:hint="eastAsia" w:eastAsia="宋体"/>
          <w:lang w:val="en-US" w:eastAsia="zh-CN"/>
        </w:rPr>
        <w:t>5</w:t>
      </w:r>
      <w:r>
        <w:tab/>
      </w:r>
      <w:r>
        <w:rPr>
          <w:rFonts w:hint="eastAsia" w:eastAsia="宋体"/>
          <w:lang w:val="en-US" w:eastAsia="zh-CN"/>
        </w:rPr>
        <w:t>[FFS]</w:t>
      </w:r>
      <w:bookmarkEnd w:id="1251"/>
    </w:p>
    <w:p/>
    <w:p>
      <w:pPr>
        <w:pStyle w:val="3"/>
        <w:rPr>
          <w:rFonts w:eastAsia="宋体"/>
          <w:lang w:val="en-US" w:eastAsia="zh-CN"/>
        </w:rPr>
      </w:pPr>
      <w:bookmarkStart w:id="1252" w:name="_Toc10383"/>
      <w:r>
        <w:t>G.</w:t>
      </w:r>
      <w:r>
        <w:rPr>
          <w:rFonts w:hint="eastAsia" w:eastAsia="宋体"/>
          <w:lang w:val="en-US" w:eastAsia="zh-CN"/>
        </w:rPr>
        <w:t>6</w:t>
      </w:r>
      <w:r>
        <w:tab/>
      </w:r>
      <w:r>
        <w:rPr>
          <w:rFonts w:hint="eastAsia" w:eastAsia="宋体"/>
          <w:lang w:val="en-US" w:eastAsia="zh-CN"/>
        </w:rPr>
        <w:t>[FFS]</w:t>
      </w:r>
      <w:bookmarkEnd w:id="1252"/>
    </w:p>
    <w:p/>
    <w:p/>
    <w:p>
      <w:pPr>
        <w:pStyle w:val="3"/>
      </w:pPr>
      <w:bookmarkStart w:id="1253" w:name="_Toc3446"/>
      <w:r>
        <w:t>G.7</w:t>
      </w:r>
      <w:r>
        <w:tab/>
      </w:r>
      <w:r>
        <w:t>Theory to derive the numbers in Table G.2.4-1 (Informative)</w:t>
      </w:r>
      <w:bookmarkEnd w:id="1253"/>
    </w:p>
    <w:p>
      <w:pPr>
        <w:pStyle w:val="112"/>
      </w:pPr>
      <w:r>
        <w:t>Editor's note:</w:t>
      </w:r>
      <w:r>
        <w:tab/>
      </w:r>
      <w:r>
        <w:t>This clause of the Annex G is for information only and it described the background theory and information to derive the entries in the table G.2.4-1.</w:t>
      </w:r>
    </w:p>
    <w:p>
      <w:pPr>
        <w:pStyle w:val="4"/>
      </w:pPr>
      <w:bookmarkStart w:id="1254" w:name="_Toc232582203"/>
      <w:bookmarkStart w:id="1255" w:name="_Toc20832"/>
      <w:r>
        <w:t>G.7.1</w:t>
      </w:r>
      <w:r>
        <w:tab/>
      </w:r>
      <w:r>
        <w:t>Error Ratio (ER)</w:t>
      </w:r>
      <w:bookmarkEnd w:id="1254"/>
      <w:bookmarkEnd w:id="1255"/>
    </w:p>
    <w:p>
      <w:r>
        <w:t>The Error Ratio (ER) is defined as the ratio of number of errors (ne) to all results, number of samples (ns).</w:t>
      </w:r>
    </w:p>
    <w:p>
      <w:r>
        <w:t>(1-ER is the success ratio).</w:t>
      </w:r>
    </w:p>
    <w:p>
      <w:pPr>
        <w:pStyle w:val="4"/>
      </w:pPr>
      <w:bookmarkStart w:id="1256" w:name="_Toc232582204"/>
      <w:bookmarkStart w:id="1257" w:name="_Toc22390"/>
      <w:r>
        <w:t>G.7.2</w:t>
      </w:r>
      <w:r>
        <w:tab/>
      </w:r>
      <w:r>
        <w:t>Test Design</w:t>
      </w:r>
      <w:bookmarkEnd w:id="1256"/>
      <w:bookmarkEnd w:id="1257"/>
    </w:p>
    <w:p>
      <w:r>
        <w:t>A statistical test is characterised by:</w:t>
      </w:r>
    </w:p>
    <w:p>
      <w:r>
        <w:t>Test-time, Selectivity and Confidence level.</w:t>
      </w:r>
    </w:p>
    <w:p>
      <w:pPr>
        <w:pStyle w:val="4"/>
      </w:pPr>
      <w:bookmarkStart w:id="1258" w:name="_Toc4776"/>
      <w:bookmarkStart w:id="1259" w:name="_Toc232582205"/>
      <w:r>
        <w:t>G.7.3</w:t>
      </w:r>
      <w:r>
        <w:tab/>
      </w:r>
      <w:r>
        <w:t>Confidence level</w:t>
      </w:r>
      <w:bookmarkEnd w:id="1258"/>
      <w:bookmarkEnd w:id="1259"/>
    </w:p>
    <w:p>
      <w:r>
        <w:t>The outcome of a statistical test is a decision. This decision may be correct or in-correct. The Confidence Level CL describes the probability that the decision is a correct one. The complement is the wrong decision probability (risk) D = 1-CL</w:t>
      </w:r>
    </w:p>
    <w:p>
      <w:pPr>
        <w:pStyle w:val="4"/>
      </w:pPr>
      <w:bookmarkStart w:id="1260" w:name="_Toc232582206"/>
      <w:bookmarkStart w:id="1261" w:name="_Toc28644"/>
      <w:r>
        <w:t>G.7.4</w:t>
      </w:r>
      <w:r>
        <w:tab/>
      </w:r>
      <w:r>
        <w:t>Introduction: Supplier Risk versus Customer Risk</w:t>
      </w:r>
      <w:bookmarkEnd w:id="1260"/>
      <w:bookmarkEnd w:id="1261"/>
    </w:p>
    <w:p>
      <w:r>
        <w:t>There are two targets of decision:</w:t>
      </w:r>
    </w:p>
    <w:p>
      <w:pPr>
        <w:pStyle w:val="111"/>
      </w:pPr>
      <w:r>
        <w:t>(a)</w:t>
      </w:r>
      <w:r>
        <w:tab/>
      </w:r>
      <w:r>
        <w:t>A measurement on the pass-limit shows, that the DUT has the specified quality or is better with probability CL (CL e.g.95%) This shall lead to a "pass decision"</w:t>
      </w:r>
    </w:p>
    <w:p>
      <w:pPr>
        <w:pStyle w:val="111"/>
      </w:pPr>
      <w:r>
        <w:tab/>
      </w:r>
      <w:r>
        <w:t>The pass-limit is on the good side of the specified DUT-quality. A more stringent CL (CL e.g.99%) shifts the pass-limit farer into the good direction. Given the quality of the DUTs is distributed, a greater CL passes less and better DUTs.</w:t>
      </w:r>
    </w:p>
    <w:p>
      <w:pPr>
        <w:pStyle w:val="111"/>
      </w:pPr>
      <w:r>
        <w:tab/>
      </w:r>
      <w:r>
        <w:t>A measurement on the bad side of the pass-limit is simply “not pass” (undecided or artificial fail).</w:t>
      </w:r>
    </w:p>
    <w:p>
      <w:pPr>
        <w:pStyle w:val="122"/>
      </w:pPr>
      <w:r>
        <w:t>(aa)</w:t>
      </w:r>
      <w:r>
        <w:tab/>
      </w:r>
      <w:r>
        <w:t>Complementary:</w:t>
      </w:r>
    </w:p>
    <w:p>
      <w:pPr>
        <w:pStyle w:val="122"/>
      </w:pPr>
      <w:r>
        <w:tab/>
      </w:r>
      <w:r>
        <w:t>A measurement on the fail-limit shows, that the DUT is worse than the specified quality with probability CL.</w:t>
      </w:r>
    </w:p>
    <w:p>
      <w:pPr>
        <w:pStyle w:val="122"/>
      </w:pPr>
      <w:r>
        <w:tab/>
      </w:r>
      <w:r>
        <w:t>The fail-limit is on the bad side of the specified DUT-quality. A more stringent CL shifts the fail-limit farer into the bad direction. Given the quality of the DUTs is distributed, a greater CL fails less and worse DUTs.</w:t>
      </w:r>
    </w:p>
    <w:p>
      <w:pPr>
        <w:pStyle w:val="122"/>
      </w:pPr>
      <w:r>
        <w:tab/>
      </w:r>
      <w:r>
        <w:t>A measurement on the good side of the fail-limit is simply “not fail”.</w:t>
      </w:r>
    </w:p>
    <w:p>
      <w:pPr>
        <w:pStyle w:val="111"/>
      </w:pPr>
      <w:r>
        <w:t>(b)</w:t>
      </w:r>
      <w:r>
        <w:tab/>
      </w:r>
      <w:r>
        <w:t>A DUT, known to have the specified quality, shall be measured and decided pass with probability CL. This leads to the test limit.</w:t>
      </w:r>
    </w:p>
    <w:p>
      <w:pPr>
        <w:pStyle w:val="111"/>
      </w:pPr>
      <w:r>
        <w:tab/>
      </w:r>
      <w:r>
        <w:t>For CL e.g. 95%, the test limit is on the bad side of the specified DUT-quality. CL e.g.99% shifts the pass-limit farer into the bad direction. Given the DUT-quality is distributed, a greater CL passes more and worse DUTs.</w:t>
      </w:r>
    </w:p>
    <w:p>
      <w:pPr>
        <w:pStyle w:val="122"/>
      </w:pPr>
      <w:r>
        <w:t>(bb)</w:t>
      </w:r>
      <w:r>
        <w:tab/>
      </w:r>
      <w:r>
        <w:t>A DUT, known to be an (ε</w:t>
      </w:r>
      <w:r>
        <w:rPr/>
        <w:sym w:font="Wingdings" w:char="00E0"/>
      </w:r>
      <w:r>
        <w:t>0) beyond the specified quality, shall be measured and decided fail with probability CL.</w:t>
      </w:r>
    </w:p>
    <w:p>
      <w:pPr>
        <w:pStyle w:val="122"/>
      </w:pPr>
      <w:r>
        <w:tab/>
      </w:r>
      <w:r>
        <w:t>For CL e.g.95%, the test limit is on the good side of the specified DUT-quality.</w:t>
      </w:r>
    </w:p>
    <w:p>
      <w:pPr>
        <w:pStyle w:val="100"/>
      </w:pPr>
      <w:r>
        <w:t>NOTE 1:</w:t>
      </w:r>
      <w:r>
        <w:tab/>
      </w:r>
      <w:r>
        <w:t>The different sense for CL in (a), (aa) versus (b), (bb).</w:t>
      </w:r>
    </w:p>
    <w:p>
      <w:pPr>
        <w:pStyle w:val="100"/>
      </w:pPr>
      <w:r>
        <w:t>NOTE 2:</w:t>
      </w:r>
      <w:r>
        <w:tab/>
      </w:r>
      <w:r>
        <w:t>For constant CL in all 4 bullets (a) is equivalent to (bb) and (aa) is equivalent to (b).</w:t>
      </w:r>
    </w:p>
    <w:p>
      <w:pPr>
        <w:pStyle w:val="4"/>
      </w:pPr>
      <w:bookmarkStart w:id="1262" w:name="_Toc232582207"/>
      <w:bookmarkStart w:id="1263" w:name="_Toc1572"/>
      <w:r>
        <w:t>G.7.5</w:t>
      </w:r>
      <w:r>
        <w:tab/>
      </w:r>
      <w:r>
        <w:t>Supplier Risk versus Customer Risk</w:t>
      </w:r>
      <w:bookmarkEnd w:id="1262"/>
      <w:bookmarkEnd w:id="1263"/>
    </w:p>
    <w:p>
      <w:r>
        <w:t>The table below summarizes the different targets of decision.</w:t>
      </w:r>
    </w:p>
    <w:p>
      <w:pPr>
        <w:pStyle w:val="113"/>
      </w:pPr>
      <w:r>
        <w:t>Table G.X.5-1: Equivalent statements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4"/>
        <w:gridCol w:w="2880"/>
        <w:gridCol w:w="2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4"/>
              <w:rPr>
                <w:lang w:eastAsia="zh-CN"/>
              </w:rPr>
            </w:pPr>
          </w:p>
        </w:tc>
        <w:tc>
          <w:tcPr>
            <w:tcW w:w="5760" w:type="dxa"/>
            <w:gridSpan w:val="2"/>
            <w:shd w:val="clear" w:color="auto" w:fill="auto"/>
          </w:tcPr>
          <w:p>
            <w:pPr>
              <w:pStyle w:val="104"/>
              <w:rPr>
                <w:lang w:eastAsia="ko-KR"/>
              </w:rPr>
            </w:pPr>
            <w:r>
              <w:rPr>
                <w:lang w:eastAsia="zh-CN"/>
              </w:rPr>
              <w:t>Equivalent statements, using different cause-to-effect-directions,</w:t>
            </w:r>
          </w:p>
          <w:p>
            <w:pPr>
              <w:pStyle w:val="104"/>
              <w:rPr>
                <w:lang w:eastAsia="ko-KR"/>
              </w:rPr>
            </w:pPr>
            <w:r>
              <w:rPr>
                <w:lang w:eastAsia="zh-CN"/>
              </w:rPr>
              <w:t xml:space="preserve"> and assuming CL = constant &gt;1/2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cause-to-effect-directions</w:t>
            </w:r>
          </w:p>
        </w:tc>
        <w:tc>
          <w:tcPr>
            <w:tcW w:w="2880" w:type="dxa"/>
            <w:shd w:val="clear" w:color="auto" w:fill="auto"/>
          </w:tcPr>
          <w:p>
            <w:pPr>
              <w:pStyle w:val="105"/>
              <w:rPr>
                <w:lang w:eastAsia="ko-KR"/>
              </w:rPr>
            </w:pPr>
            <w:r>
              <w:t xml:space="preserve">Known measurement result </w:t>
            </w:r>
            <w:r>
              <w:rPr/>
              <w:sym w:font="Wingdings" w:char="00E0"/>
            </w:r>
            <w:r>
              <w:t xml:space="preserve"> estimation of the DUT’s quality</w:t>
            </w:r>
          </w:p>
        </w:tc>
        <w:tc>
          <w:tcPr>
            <w:tcW w:w="2880" w:type="dxa"/>
            <w:shd w:val="clear" w:color="auto" w:fill="auto"/>
          </w:tcPr>
          <w:p>
            <w:pPr>
              <w:pStyle w:val="105"/>
              <w:rPr>
                <w:lang w:eastAsia="ko-KR"/>
              </w:rPr>
            </w:pPr>
            <w:r>
              <w:t xml:space="preserve">Known DUT’s quality </w:t>
            </w:r>
            <w:r>
              <w:rPr/>
              <w:sym w:font="Wingdings" w:char="00E0"/>
            </w:r>
            <w:r>
              <w:t xml:space="preserve"> estimation of the measurement’s outcome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Supplier Risk</w:t>
            </w:r>
          </w:p>
        </w:tc>
        <w:tc>
          <w:tcPr>
            <w:tcW w:w="2880" w:type="dxa"/>
            <w:shd w:val="clear" w:color="auto" w:fill="E6E6E6"/>
          </w:tcPr>
          <w:p>
            <w:pPr>
              <w:pStyle w:val="105"/>
              <w:rPr>
                <w:lang w:eastAsia="ko-KR"/>
              </w:rPr>
            </w:pPr>
            <w:r>
              <w:t>A measurement on the pass-limit shows, that the DUT has the specified quality or is better (a)</w:t>
            </w:r>
          </w:p>
        </w:tc>
        <w:tc>
          <w:tcPr>
            <w:tcW w:w="2880" w:type="dxa"/>
            <w:shd w:val="clear" w:color="auto" w:fill="auto"/>
          </w:tcPr>
          <w:p>
            <w:pPr>
              <w:pStyle w:val="105"/>
              <w:rPr>
                <w:lang w:eastAsia="ko-KR"/>
              </w:rPr>
            </w:pPr>
            <w:r>
              <w:t>A DUT, known to have an (ε</w:t>
            </w:r>
            <w:r>
              <w:rPr/>
              <w:sym w:font="Wingdings" w:char="00E0"/>
            </w:r>
            <w:r>
              <w:t>0) beyond the specified DUT-quality, shall be measured and decided fail (bb)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94" w:type="dxa"/>
            <w:shd w:val="clear" w:color="auto" w:fill="auto"/>
          </w:tcPr>
          <w:p>
            <w:pPr>
              <w:pStyle w:val="103"/>
              <w:overflowPunct w:val="0"/>
              <w:autoSpaceDE w:val="0"/>
              <w:autoSpaceDN w:val="0"/>
              <w:adjustRightInd w:val="0"/>
              <w:textAlignment w:val="baseline"/>
              <w:rPr>
                <w:lang w:eastAsia="ko-KR"/>
              </w:rPr>
            </w:pPr>
            <w:r>
              <w:t>Customer Risk</w:t>
            </w:r>
          </w:p>
        </w:tc>
        <w:tc>
          <w:tcPr>
            <w:tcW w:w="2880" w:type="dxa"/>
            <w:shd w:val="clear" w:color="auto" w:fill="auto"/>
          </w:tcPr>
          <w:p>
            <w:pPr>
              <w:pStyle w:val="105"/>
              <w:rPr>
                <w:lang w:eastAsia="ko-KR"/>
              </w:rPr>
            </w:pPr>
            <w:r>
              <w:t>A measurement on the fail-limit shall shows, that the DUT is worse than the specified quality (aa)</w:t>
            </w:r>
          </w:p>
        </w:tc>
        <w:tc>
          <w:tcPr>
            <w:tcW w:w="2880" w:type="dxa"/>
            <w:shd w:val="clear" w:color="auto" w:fill="E6E6E6"/>
          </w:tcPr>
          <w:p>
            <w:pPr>
              <w:pStyle w:val="105"/>
              <w:rPr>
                <w:lang w:eastAsia="ko-KR"/>
              </w:rPr>
            </w:pPr>
            <w:r>
              <w:t>A DUT, known to have the specified quality, shall be measured and decided pass (b)</w:t>
            </w:r>
          </w:p>
        </w:tc>
      </w:tr>
    </w:tbl>
    <w:p>
      <w:pPr>
        <w:rPr>
          <w:lang w:eastAsia="ko-KR"/>
        </w:rPr>
      </w:pPr>
    </w:p>
    <w:p>
      <w:r>
        <w:t>The shaded area shown the direct interpretation of Supplier Risk and Customer Risk.</w:t>
      </w:r>
    </w:p>
    <w:p>
      <w:r>
        <w:t>The same statements can be based on other DUT-quality-definitions.</w:t>
      </w:r>
    </w:p>
    <w:p>
      <w:pPr>
        <w:pStyle w:val="4"/>
      </w:pPr>
      <w:bookmarkStart w:id="1264" w:name="_Toc27192"/>
      <w:bookmarkStart w:id="1265" w:name="_Toc232582208"/>
      <w:r>
        <w:t>G.7.6</w:t>
      </w:r>
      <w:r>
        <w:tab/>
      </w:r>
      <w:r>
        <w:t>Introduction: Standard test versus early decision concept</w:t>
      </w:r>
      <w:bookmarkEnd w:id="1264"/>
      <w:bookmarkEnd w:id="1265"/>
    </w:p>
    <w:p>
      <w:r>
        <w:t>In standard statistical tests, a certain number of results (ns) is predefined in advance to the test. After ns results the number of bad results (ne) is counted and the error ratio (ER) is calculated by ne/ns.</w:t>
      </w:r>
    </w:p>
    <w:p>
      <w:r>
        <w:t>Applying statistical theory, a decision limit can be designed, against which the calculated ER is compared to derive the decision. Such a limit is one decision point and is characterised by:</w:t>
      </w:r>
    </w:p>
    <w:p>
      <w:pPr>
        <w:pStyle w:val="111"/>
      </w:pPr>
      <w:r>
        <w:t>-</w:t>
      </w:r>
      <w:r>
        <w:tab/>
      </w:r>
      <w:r>
        <w:t>D: the wrong decision probability (a predefined parameter)</w:t>
      </w:r>
    </w:p>
    <w:p>
      <w:pPr>
        <w:pStyle w:val="111"/>
      </w:pPr>
      <w:r>
        <w:t>-</w:t>
      </w:r>
      <w:r>
        <w:tab/>
      </w:r>
      <w:r>
        <w:t>ns: the number of results (a fixed predefined parameter)</w:t>
      </w:r>
    </w:p>
    <w:p>
      <w:pPr>
        <w:pStyle w:val="111"/>
      </w:pPr>
      <w:r>
        <w:t>-</w:t>
      </w:r>
      <w:r>
        <w:tab/>
      </w:r>
      <w:r>
        <w:t>ne: the number of bad results (the limit based on just ns)</w:t>
      </w:r>
    </w:p>
    <w:p>
      <w:r>
        <w:t>In the formula for the limit, D and ns can be understood as variable parameter and variable. However the standard test execution requires fixed ns and D. The property of such a test is: It discriminate between two states only, depending on the test design:</w:t>
      </w:r>
    </w:p>
    <w:p>
      <w:pPr>
        <w:pStyle w:val="111"/>
      </w:pPr>
      <w:r>
        <w:t>-</w:t>
      </w:r>
      <w:r>
        <w:tab/>
      </w:r>
      <w:r>
        <w:t>pass (with CL) / undecided           (undecided in the sense: finally undecided)</w:t>
      </w:r>
    </w:p>
    <w:p>
      <w:pPr>
        <w:pStyle w:val="111"/>
      </w:pPr>
      <w:r>
        <w:t>-</w:t>
      </w:r>
      <w:r>
        <w:tab/>
      </w:r>
      <w:r>
        <w:t>fail (with CL) / undecided            (undecided in the sense: finally undecided)</w:t>
      </w:r>
    </w:p>
    <w:p>
      <w:pPr>
        <w:pStyle w:val="111"/>
      </w:pPr>
      <w:r>
        <w:t>-</w:t>
      </w:r>
      <w:r>
        <w:tab/>
      </w:r>
      <w:r>
        <w:t>pass(with CL)  / fail (with CL)     (however against two limits).</w:t>
      </w:r>
    </w:p>
    <w:p>
      <w:r>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pPr>
        <w:pStyle w:val="111"/>
      </w:pPr>
      <w:r>
        <w:t>-</w:t>
      </w:r>
      <w:r>
        <w:tab/>
      </w:r>
      <w:r>
        <w:t>D: the wrong decision probability (a predefined parameter)</w:t>
      </w:r>
    </w:p>
    <w:p>
      <w:pPr>
        <w:pStyle w:val="111"/>
      </w:pPr>
      <w:r>
        <w:t>-</w:t>
      </w:r>
      <w:r>
        <w:tab/>
      </w:r>
      <w:r>
        <w:t>ns: the number of results (a variable parameter)</w:t>
      </w:r>
    </w:p>
    <w:p>
      <w:pPr>
        <w:pStyle w:val="111"/>
      </w:pPr>
      <w:r>
        <w:t>-</w:t>
      </w:r>
      <w:r>
        <w:tab/>
      </w:r>
      <w:r>
        <w:t>ne: the number of bad results (the limit. It varies together with ns)</w:t>
      </w:r>
    </w:p>
    <w:p>
      <w:r>
        <w:t>To avoid a “final undecided” in the standard test, a second limit must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pPr>
        <w:pStyle w:val="4"/>
      </w:pPr>
      <w:bookmarkStart w:id="1266" w:name="_Toc232582209"/>
      <w:bookmarkStart w:id="1267" w:name="_Toc30581"/>
      <w:r>
        <w:t>G.7.7</w:t>
      </w:r>
      <w:r>
        <w:tab/>
      </w:r>
      <w:r>
        <w:t>Standard test versus early decision concept</w:t>
      </w:r>
      <w:bookmarkEnd w:id="1266"/>
      <w:bookmarkEnd w:id="1267"/>
    </w:p>
    <w:p>
      <w:r>
        <w:t>For Supplier Risk:</w:t>
      </w:r>
    </w:p>
    <w:p>
      <w:r>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r>
        <w:t>For Customer Risk:</w:t>
      </w:r>
    </w:p>
    <w:p>
      <w:r>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pPr>
        <w:pStyle w:val="4"/>
      </w:pPr>
      <w:bookmarkStart w:id="1268" w:name="_Toc22918"/>
      <w:bookmarkStart w:id="1269" w:name="_Toc232582210"/>
      <w:r>
        <w:t>G.7.8</w:t>
      </w:r>
      <w:r>
        <w:tab/>
      </w:r>
      <w:r>
        <w:t>Selectivity</w:t>
      </w:r>
      <w:bookmarkEnd w:id="1268"/>
      <w:bookmarkEnd w:id="1269"/>
    </w:p>
    <w:p>
      <w:r>
        <w:t>There is no statistical test which can discriminate between a limit DUT and a DUT which is an (ε</w:t>
      </w:r>
      <w:r>
        <w:rPr/>
        <w:sym w:font="Wingdings" w:char="00E0"/>
      </w:r>
      <w:r>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r>
        <w:t>For CL&gt;1/2, a (measurement-result = specified-DUT-quality), generates undecided in test “supplier risk against pass limit” (a, from above) and also in the test “customer risk against the fail limit “ (aa)</w:t>
      </w:r>
    </w:p>
    <w:p>
      <w:r>
        <w:t>For CL&gt;1/2, a DUT, known to be on the limit, will be decided pass for the test “customer risk against pass limit” (b) and also “supplier risk against fail limit” (bb).</w:t>
      </w:r>
    </w:p>
    <w:p>
      <w:pPr>
        <w:rPr>
          <w:sz w:val="24"/>
          <w:szCs w:val="24"/>
        </w:rPr>
      </w:pPr>
      <w:r>
        <w:t>This overlap or undecided area is not a fault or a contradiction, however it can be avoided by introducing a Bad or a Good DUT quality according to</w:t>
      </w:r>
      <w:r>
        <w:rPr>
          <w:sz w:val="24"/>
          <w:szCs w:val="24"/>
        </w:rPr>
        <w:t>:</w:t>
      </w:r>
    </w:p>
    <w:p>
      <w:pPr>
        <w:pStyle w:val="111"/>
      </w:pPr>
      <w:r>
        <w:t>-</w:t>
      </w:r>
      <w:r>
        <w:tab/>
      </w:r>
      <w:r>
        <w:t>Bad DUT quality: specified DUT-quality * M (M&gt;1)</w:t>
      </w:r>
    </w:p>
    <w:p>
      <w:pPr>
        <w:pStyle w:val="111"/>
      </w:pPr>
      <w:r>
        <w:t>-</w:t>
      </w:r>
      <w:r>
        <w:tab/>
      </w:r>
      <w:r>
        <w:t>Good DUT quality: specified DUT-quality * m (m&lt;1)</w:t>
      </w:r>
    </w:p>
    <w:p>
      <w:r>
        <w:t>Using e.g. M&gt;1 and CL=95% the test for different DUT qualities yield different pass probabilities:</w:t>
      </w:r>
    </w:p>
    <w:p>
      <w:pPr>
        <w:pStyle w:val="113"/>
      </w:pPr>
      <w:bookmarkStart w:id="1270" w:name="_MON_1293025206"/>
      <w:bookmarkEnd w:id="1270"/>
      <w:bookmarkStart w:id="1271" w:name="_MON_1293177945"/>
      <w:bookmarkEnd w:id="1271"/>
      <w:bookmarkStart w:id="1272" w:name="_MON_1293037291"/>
      <w:bookmarkEnd w:id="1272"/>
      <w:r>
        <w:object>
          <v:shape id="_x0000_i1243" o:spt="75" type="#_x0000_t75" style="height:226.35pt;width:482.2pt;" o:ole="t" filled="f" o:preferrelative="t" stroked="f" coordsize="21600,21600">
            <v:path/>
            <v:fill on="f" focussize="0,0"/>
            <v:stroke on="f" joinstyle="miter"/>
            <v:imagedata r:id="rId362" o:title=""/>
            <o:lock v:ext="edit" aspectratio="t"/>
            <w10:wrap type="none"/>
            <w10:anchorlock/>
          </v:shape>
          <o:OLEObject Type="Embed" ProgID="Word.Document.8" ShapeID="_x0000_i1243" DrawAspect="Content" ObjectID="_1468075943" r:id="rId361">
            <o:LockedField>false</o:LockedField>
          </o:OLEObject>
        </w:object>
      </w:r>
    </w:p>
    <w:p>
      <w:pPr>
        <w:pStyle w:val="120"/>
      </w:pPr>
      <w:r>
        <w:t>Figure G.X.8-1: Pass probability versus DUT quality</w:t>
      </w:r>
    </w:p>
    <w:p/>
    <w:p>
      <w:pPr>
        <w:pStyle w:val="4"/>
      </w:pPr>
      <w:bookmarkStart w:id="1273" w:name="_Toc13161"/>
      <w:bookmarkStart w:id="1274" w:name="_Toc232582211"/>
      <w:r>
        <w:t>G.7.9</w:t>
      </w:r>
      <w:r>
        <w:tab/>
      </w:r>
      <w:r>
        <w:t>Design of the test</w:t>
      </w:r>
      <w:bookmarkEnd w:id="1273"/>
      <w:bookmarkEnd w:id="1274"/>
    </w:p>
    <w:p>
      <w:r>
        <w:t>The receiver characteristic test are defined by the following design principles:</w:t>
      </w:r>
    </w:p>
    <w:p>
      <w:pPr>
        <w:pStyle w:val="111"/>
      </w:pPr>
      <w:r>
        <w:t>1.</w:t>
      </w:r>
      <w:r>
        <w:tab/>
      </w:r>
      <w:r>
        <w:t>The early decision concept is applied.</w:t>
      </w:r>
    </w:p>
    <w:p>
      <w:pPr>
        <w:pStyle w:val="111"/>
      </w:pPr>
      <w:r>
        <w:t>2.</w:t>
      </w:r>
      <w:r>
        <w:tab/>
      </w:r>
      <w:r>
        <w:t>A second limit is introduced: Bad DUT factor M&gt;1</w:t>
      </w:r>
    </w:p>
    <w:p>
      <w:pPr>
        <w:pStyle w:val="111"/>
      </w:pPr>
      <w:r>
        <w:t>3.</w:t>
      </w:r>
      <w:r>
        <w:tab/>
      </w:r>
      <w:r>
        <w:t>To decide the test pass:</w:t>
      </w:r>
    </w:p>
    <w:p>
      <w:pPr>
        <w:pStyle w:val="122"/>
        <w:rPr>
          <w:b/>
        </w:rPr>
      </w:pPr>
      <w:r>
        <w:tab/>
      </w:r>
      <w:r>
        <w:t>Supplier risk is applied based on the Bad DUT quality</w:t>
      </w:r>
    </w:p>
    <w:p>
      <w:pPr>
        <w:pStyle w:val="122"/>
      </w:pPr>
      <w:r>
        <w:tab/>
      </w:r>
      <w:r>
        <w:t>To decide the test fail</w:t>
      </w:r>
    </w:p>
    <w:p>
      <w:pPr>
        <w:pStyle w:val="122"/>
      </w:pPr>
      <w:r>
        <w:tab/>
      </w:r>
      <w:r>
        <w:t>Customer Risk is applied based on the specified DUT quality</w:t>
      </w:r>
    </w:p>
    <w:p>
      <w:r>
        <w:t>The receiver characteristic test are defined by the following parameters:</w:t>
      </w:r>
    </w:p>
    <w:p>
      <w:pPr>
        <w:pStyle w:val="111"/>
      </w:pPr>
      <w:r>
        <w:t>1.</w:t>
      </w:r>
      <w:r>
        <w:tab/>
      </w:r>
      <w:r>
        <w:t>Limit ER = 0.05</w:t>
      </w:r>
    </w:p>
    <w:p>
      <w:pPr>
        <w:pStyle w:val="111"/>
      </w:pPr>
      <w:r>
        <w:t>2.</w:t>
      </w:r>
      <w:r>
        <w:tab/>
      </w:r>
      <w:r>
        <w:t>Bad DUT factor M=1.5 (selectivity)</w:t>
      </w:r>
    </w:p>
    <w:p>
      <w:pPr>
        <w:pStyle w:val="111"/>
      </w:pPr>
      <w:r>
        <w:t>3.</w:t>
      </w:r>
      <w:r>
        <w:tab/>
      </w:r>
      <w:r>
        <w:t>Confidence level CL = 95% (for specified DUT and Bad DUT-quality)</w:t>
      </w:r>
    </w:p>
    <w:p>
      <w:r>
        <w:t>This has the following consequences:</w:t>
      </w:r>
    </w:p>
    <w:p>
      <w:pPr>
        <w:pStyle w:val="111"/>
      </w:pPr>
      <w:r>
        <w:t>1.</w:t>
      </w:r>
      <w:r>
        <w:tab/>
      </w:r>
      <w:r>
        <w:t>A measurement on the fail limit is connected with 2 equivalent statements:</w:t>
      </w:r>
    </w:p>
    <w:tbl>
      <w:tblPr>
        <w:tblStyle w:val="89"/>
        <w:tblW w:w="0" w:type="auto"/>
        <w:jc w:val="center"/>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Layout w:type="autofit"/>
        <w:tblCellMar>
          <w:top w:w="0" w:type="dxa"/>
          <w:left w:w="108" w:type="dxa"/>
          <w:bottom w:w="0" w:type="dxa"/>
          <w:right w:w="108" w:type="dxa"/>
        </w:tblCellMar>
      </w:tblPr>
      <w:tblGrid>
        <w:gridCol w:w="4137"/>
        <w:gridCol w:w="3785"/>
      </w:tblGrid>
      <w:tr>
        <w:tblPrEx>
          <w:tblBorders>
            <w:top w:val="single" w:color="auto" w:sz="4" w:space="0"/>
            <w:left w:val="single" w:color="auto" w:sz="18" w:space="0"/>
            <w:bottom w:val="single" w:color="auto" w:sz="4" w:space="0"/>
            <w:right w:val="single" w:color="auto" w:sz="4" w:space="0"/>
            <w:insideH w:val="single" w:color="auto" w:sz="18" w:space="0"/>
            <w:insideV w:val="single" w:color="auto" w:sz="18" w:space="0"/>
          </w:tblBorders>
          <w:tblCellMar>
            <w:top w:w="0" w:type="dxa"/>
            <w:left w:w="108" w:type="dxa"/>
            <w:bottom w:w="0" w:type="dxa"/>
            <w:right w:w="108" w:type="dxa"/>
          </w:tblCellMar>
        </w:tblPrEx>
        <w:trPr>
          <w:jc w:val="center"/>
        </w:trPr>
        <w:tc>
          <w:tcPr>
            <w:tcW w:w="4137" w:type="dxa"/>
            <w:tcBorders>
              <w:top w:val="single" w:color="auto" w:sz="4" w:space="0"/>
              <w:left w:val="single" w:color="auto" w:sz="2" w:space="0"/>
              <w:bottom w:val="single" w:color="auto" w:sz="4" w:space="0"/>
              <w:right w:val="single" w:color="auto" w:sz="2" w:space="0"/>
            </w:tcBorders>
            <w:shd w:val="clear" w:color="auto" w:fill="auto"/>
          </w:tcPr>
          <w:p>
            <w:pPr>
              <w:pStyle w:val="103"/>
              <w:rPr>
                <w:lang w:eastAsia="ko-KR"/>
              </w:rPr>
            </w:pPr>
            <w:r>
              <w:t>A measurement on the fail-limit shows, that the DUT is worse than the specified DUT-quality</w:t>
            </w:r>
          </w:p>
        </w:tc>
        <w:tc>
          <w:tcPr>
            <w:tcW w:w="3785" w:type="dxa"/>
            <w:tcBorders>
              <w:top w:val="single" w:color="auto" w:sz="4" w:space="0"/>
              <w:left w:val="single" w:color="auto" w:sz="2" w:space="0"/>
              <w:bottom w:val="single" w:color="auto" w:sz="4" w:space="0"/>
              <w:right w:val="single" w:color="auto" w:sz="4" w:space="0"/>
            </w:tcBorders>
            <w:shd w:val="clear" w:color="auto" w:fill="auto"/>
          </w:tcPr>
          <w:p>
            <w:pPr>
              <w:pStyle w:val="103"/>
              <w:rPr>
                <w:lang w:eastAsia="ko-KR"/>
              </w:rPr>
            </w:pPr>
            <w:r>
              <w:t>A DUT, known have the specified quality, shall be measured and decided pass</w:t>
            </w:r>
          </w:p>
        </w:tc>
      </w:tr>
    </w:tbl>
    <w:p>
      <w:pPr>
        <w:pStyle w:val="111"/>
      </w:pPr>
    </w:p>
    <w:p>
      <w:pPr>
        <w:pStyle w:val="111"/>
      </w:pPr>
      <w:r>
        <w:t>2.</w:t>
      </w:r>
      <w:r>
        <w:tab/>
      </w:r>
      <w:r>
        <w:t>A measurement on the pass limit is connected with the complementary statements: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21"/>
        <w:gridCol w:w="37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1" w:type="dxa"/>
            <w:tcBorders>
              <w:top w:val="single" w:color="auto" w:sz="4" w:space="0"/>
              <w:left w:val="single" w:color="auto" w:sz="2" w:space="0"/>
              <w:bottom w:val="single" w:color="auto" w:sz="4" w:space="0"/>
              <w:right w:val="single" w:color="auto" w:sz="2" w:space="0"/>
            </w:tcBorders>
            <w:shd w:val="clear" w:color="auto" w:fill="auto"/>
          </w:tcPr>
          <w:p>
            <w:pPr>
              <w:pStyle w:val="103"/>
              <w:rPr>
                <w:lang w:eastAsia="ko-KR"/>
              </w:rPr>
            </w:pPr>
            <w:r>
              <w:t>A measurement on the pass limit shows, that the DUT is better than the Bad DUT-quality.</w:t>
            </w:r>
          </w:p>
        </w:tc>
        <w:tc>
          <w:tcPr>
            <w:tcW w:w="3731" w:type="dxa"/>
            <w:tcBorders>
              <w:top w:val="single" w:color="auto" w:sz="4" w:space="0"/>
              <w:left w:val="single" w:color="auto" w:sz="2" w:space="0"/>
              <w:bottom w:val="single" w:color="auto" w:sz="4" w:space="0"/>
              <w:right w:val="single" w:color="auto" w:sz="4" w:space="0"/>
            </w:tcBorders>
            <w:shd w:val="clear" w:color="auto" w:fill="auto"/>
          </w:tcPr>
          <w:p>
            <w:pPr>
              <w:pStyle w:val="103"/>
              <w:rPr>
                <w:lang w:eastAsia="ko-KR"/>
              </w:rPr>
            </w:pPr>
            <w:r>
              <w:t>A DUT, known to have the Bad DUT quality, shall be measured and decided fail</w:t>
            </w:r>
          </w:p>
        </w:tc>
      </w:tr>
    </w:tbl>
    <w:p>
      <w:pPr>
        <w:pStyle w:val="111"/>
      </w:pPr>
    </w:p>
    <w:p>
      <w:pPr>
        <w:pStyle w:val="111"/>
        <w:rPr>
          <w:lang w:eastAsia="ko-KR"/>
        </w:rPr>
      </w:pPr>
      <w:r>
        <w:tab/>
      </w:r>
      <w:r>
        <w:t>The left column is used to decide the measurement.</w:t>
      </w:r>
    </w:p>
    <w:p>
      <w:pPr>
        <w:pStyle w:val="111"/>
      </w:pPr>
      <w:r>
        <w:tab/>
      </w:r>
      <w:r>
        <w:t>The right column is used to verify the design of the test by simulation.</w:t>
      </w:r>
    </w:p>
    <w:p>
      <w:pPr>
        <w:pStyle w:val="111"/>
      </w:pPr>
      <w:r>
        <w:tab/>
      </w:r>
      <w:r>
        <w:t>The simulation is based on the two fulcrums A and B only in Figure G.x.8-1</w:t>
      </w:r>
    </w:p>
    <w:p>
      <w:pPr>
        <w:pStyle w:val="111"/>
      </w:pPr>
      <w:r>
        <w:t>3.</w:t>
      </w:r>
      <w:r>
        <w:tab/>
      </w:r>
      <w:r>
        <w:t>Test time</w:t>
      </w:r>
    </w:p>
    <w:p>
      <w:pPr>
        <w:pStyle w:val="111"/>
      </w:pPr>
      <w:r>
        <w:tab/>
      </w:r>
      <w:r>
        <w:t>The minimum and maximum test time is fixed.</w:t>
      </w:r>
    </w:p>
    <w:p>
      <w:pPr>
        <w:pStyle w:val="111"/>
      </w:pPr>
      <w:r>
        <w:tab/>
      </w:r>
      <w:r>
        <w:t>The average test time is a function of the DUT’s quality.</w:t>
      </w:r>
    </w:p>
    <w:p>
      <w:pPr>
        <w:pStyle w:val="111"/>
      </w:pPr>
      <w:r>
        <w:tab/>
      </w:r>
      <w:r>
        <w:t>The individual test time is not predictable.</w:t>
      </w:r>
    </w:p>
    <w:p>
      <w:pPr>
        <w:pStyle w:val="111"/>
      </w:pPr>
      <w:r>
        <w:t>4.</w:t>
      </w:r>
      <w:r>
        <w:tab/>
      </w:r>
      <w:r>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pPr>
        <w:pStyle w:val="4"/>
      </w:pPr>
      <w:bookmarkStart w:id="1275" w:name="_Toc232582212"/>
      <w:bookmarkStart w:id="1276" w:name="_Toc3372"/>
      <w:r>
        <w:t>G.7.10</w:t>
      </w:r>
      <w:r>
        <w:tab/>
      </w:r>
      <w:r>
        <w:t>Simulation to derive the pass fail limits in Table G.2.4-1</w:t>
      </w:r>
      <w:bookmarkEnd w:id="1275"/>
      <w:bookmarkEnd w:id="1276"/>
    </w:p>
    <w:p>
      <w:r>
        <w:t>There is freedom to design the decision co-ordinates (ne,ns).</w:t>
      </w:r>
    </w:p>
    <w:p>
      <w:r>
        <w:t>The binomial distribution and its inverse is used to design the pass and fail limits. Note that this method is not unique and that other methods exist.</w:t>
      </w:r>
    </w:p>
    <w:p>
      <w:pPr>
        <w:pStyle w:val="95"/>
      </w:pPr>
      <w:r>
        <w:rPr>
          <w:lang w:eastAsia="en-GB"/>
        </w:rPr>
        <w:tab/>
      </w:r>
      <w:r>
        <w:rPr>
          <w:lang w:eastAsia="en-GB"/>
        </w:rPr>
        <w:object>
          <v:shape id="_x0000_i1244" o:spt="75" type="#_x0000_t75" style="height:115.1pt;width:262.9pt;" o:ole="t" filled="f" o:preferrelative="t" stroked="f" coordsize="21600,21600">
            <v:path/>
            <v:fill on="f" focussize="0,0"/>
            <v:stroke on="f" joinstyle="miter"/>
            <v:imagedata r:id="rId364" o:title=""/>
            <o:lock v:ext="edit" aspectratio="t"/>
            <w10:wrap type="none"/>
            <w10:anchorlock/>
          </v:shape>
          <o:OLEObject Type="Embed" ProgID="Mathcad" ShapeID="_x0000_i1244" DrawAspect="Content" ObjectID="_1468075944" r:id="rId363">
            <o:LockedField>false</o:LockedField>
          </o:OLEObject>
        </w:object>
      </w:r>
    </w:p>
    <w:p>
      <w:r>
        <w:t>Where</w:t>
      </w:r>
    </w:p>
    <w:p>
      <w:pPr>
        <w:pStyle w:val="111"/>
      </w:pPr>
      <w:r>
        <w:t>-</w:t>
      </w:r>
      <w:r>
        <w:tab/>
      </w:r>
      <w:r>
        <w:t>fail(..) is the error ratio for the fail limit</w:t>
      </w:r>
    </w:p>
    <w:p>
      <w:pPr>
        <w:pStyle w:val="111"/>
      </w:pPr>
      <w:r>
        <w:t>-</w:t>
      </w:r>
      <w:r>
        <w:tab/>
      </w:r>
      <w:r>
        <w:t>pass(..) is the error ratio for the pass limit</w:t>
      </w:r>
    </w:p>
    <w:p>
      <w:pPr>
        <w:pStyle w:val="111"/>
      </w:pPr>
      <w:r>
        <w:t>-</w:t>
      </w:r>
      <w:r>
        <w:tab/>
      </w:r>
      <w:r>
        <w:t>ER is the specified error ratio 0.05</w:t>
      </w:r>
    </w:p>
    <w:p>
      <w:pPr>
        <w:pStyle w:val="111"/>
      </w:pPr>
      <w:r>
        <w:t>-</w:t>
      </w:r>
      <w:r>
        <w:tab/>
      </w:r>
      <w:r>
        <w:t>ne is the number of bad results. This is the variable in both equations</w:t>
      </w:r>
    </w:p>
    <w:p>
      <w:pPr>
        <w:pStyle w:val="111"/>
      </w:pPr>
      <w:r>
        <w:t>-</w:t>
      </w:r>
      <w:r>
        <w:tab/>
      </w:r>
      <w:r>
        <w:t>M is the Bad DUT factor M=1.5</w:t>
      </w:r>
    </w:p>
    <w:p>
      <w:pPr>
        <w:pStyle w:val="111"/>
      </w:pPr>
      <w:r>
        <w:t>-</w:t>
      </w:r>
      <w:r>
        <w:tab/>
      </w:r>
      <w:r>
        <w:t>d</w:t>
      </w:r>
      <w:r>
        <w:rPr>
          <w:vertAlign w:val="subscript"/>
        </w:rPr>
        <w:t>f</w:t>
      </w:r>
      <w:r>
        <w:t xml:space="preserve"> is the wrong decision probability of a single (ne,ns) co-ordinate for the fail limit. </w:t>
      </w:r>
      <w:r>
        <w:br w:type="textWrapping"/>
      </w:r>
      <w:r>
        <w:tab/>
      </w:r>
      <w:r>
        <w:t>It is found by simulation to be d</w:t>
      </w:r>
      <w:r>
        <w:rPr>
          <w:vertAlign w:val="subscript"/>
        </w:rPr>
        <w:t>f</w:t>
      </w:r>
      <w:r>
        <w:t xml:space="preserve"> = 0.004</w:t>
      </w:r>
    </w:p>
    <w:p>
      <w:pPr>
        <w:pStyle w:val="111"/>
      </w:pPr>
      <w:r>
        <w:t>-</w:t>
      </w:r>
      <w:r>
        <w:tab/>
      </w:r>
      <w:r>
        <w:t>cl</w:t>
      </w:r>
      <w:r>
        <w:rPr>
          <w:vertAlign w:val="subscript"/>
        </w:rPr>
        <w:t>p</w:t>
      </w:r>
      <w:r>
        <w:t xml:space="preserve"> is the confidence level of a single (ne,ns) co-ordinate for the pass limit.</w:t>
      </w:r>
      <w:r>
        <w:br w:type="textWrapping"/>
      </w:r>
      <w:r>
        <w:t>It is found by simulation to be cl</w:t>
      </w:r>
      <w:r>
        <w:rPr>
          <w:vertAlign w:val="subscript"/>
        </w:rPr>
        <w:t>p</w:t>
      </w:r>
      <w:r>
        <w:t xml:space="preserve"> = 0.9975</w:t>
      </w:r>
    </w:p>
    <w:p>
      <w:pPr>
        <w:pStyle w:val="111"/>
      </w:pPr>
      <w:r>
        <w:t>-</w:t>
      </w:r>
      <w:r>
        <w:tab/>
      </w:r>
      <w:r>
        <w:t>qnbinom(..): The inverse cumulative function of the negative binomial distribution</w:t>
      </w:r>
    </w:p>
    <w:p>
      <w:r>
        <w:t>The simulation works as follows:</w:t>
      </w:r>
    </w:p>
    <w:p>
      <w:pPr>
        <w:pStyle w:val="111"/>
      </w:pPr>
      <w:r>
        <w:t>-</w:t>
      </w:r>
      <w:r>
        <w:tab/>
      </w:r>
      <w:r>
        <w:t>A large population of limit DUTs with true ER = 0.05 is decided against the pass and fail limits.</w:t>
      </w:r>
    </w:p>
    <w:p>
      <w:pPr>
        <w:pStyle w:val="111"/>
      </w:pPr>
      <w:r>
        <w:t>-</w:t>
      </w:r>
      <w:r>
        <w:tab/>
      </w:r>
      <w:r>
        <w:t>cl</w:t>
      </w:r>
      <w:r>
        <w:rPr>
          <w:vertAlign w:val="subscript"/>
        </w:rPr>
        <w:t xml:space="preserve">p    </w:t>
      </w:r>
      <w:r>
        <w:t>and d</w:t>
      </w:r>
      <w:r>
        <w:rPr>
          <w:vertAlign w:val="subscript"/>
        </w:rPr>
        <w:t>f</w:t>
      </w:r>
      <w:r>
        <w:t xml:space="preserve">   are tuned such that CL (95%) of the population passes and D (5%) of the population fails.</w:t>
      </w:r>
    </w:p>
    <w:p>
      <w:pPr>
        <w:pStyle w:val="111"/>
      </w:pPr>
      <w:r>
        <w:t>-</w:t>
      </w:r>
      <w:r>
        <w:tab/>
      </w:r>
      <w:r>
        <w:t>A population of Bad DUTs with true ER = M*0.05 is decided against the same pass and fail limits.</w:t>
      </w:r>
    </w:p>
    <w:p>
      <w:pPr>
        <w:pStyle w:val="111"/>
      </w:pPr>
      <w:r>
        <w:t>-</w:t>
      </w:r>
      <w:r>
        <w:tab/>
      </w:r>
      <w:r>
        <w:t>cl</w:t>
      </w:r>
      <w:r>
        <w:rPr>
          <w:vertAlign w:val="subscript"/>
        </w:rPr>
        <w:t xml:space="preserve">p    </w:t>
      </w:r>
      <w:r>
        <w:t>and d</w:t>
      </w:r>
      <w:r>
        <w:rPr>
          <w:vertAlign w:val="subscript"/>
        </w:rPr>
        <w:t>f</w:t>
      </w:r>
      <w:r>
        <w:t xml:space="preserve">   are tuned such that CL (95%) of the population fails and D (5%) of the population passes.</w:t>
      </w:r>
    </w:p>
    <w:p>
      <w:pPr>
        <w:pStyle w:val="111"/>
      </w:pPr>
      <w:r>
        <w:t>-</w:t>
      </w:r>
      <w:r>
        <w:tab/>
      </w:r>
      <w:r>
        <w:t>This procedure and the relationship to the measurement is justified in clause G.x.9. The number of DUTs decrease during the simulation, as the decided DUTs leave the population. That number decreases with an approximately exponential characteristics. After 169 bad results all DUTs of the population are decided.</w:t>
      </w:r>
    </w:p>
    <w:p>
      <w:pPr>
        <w:pStyle w:val="100"/>
      </w:pPr>
      <w:r>
        <w:t>NOTE:</w:t>
      </w:r>
      <w:r>
        <w:tab/>
      </w:r>
      <w:r>
        <w:t>The exponential decrease of the population is an optimal design goal for the decision co-ordinates (ne,ns), which can be achieved with other formulas or methods as well.</w:t>
      </w:r>
    </w:p>
    <w:p>
      <w:pPr>
        <w:pStyle w:val="11"/>
      </w:pPr>
      <w:bookmarkStart w:id="1277" w:name="_Toc21132"/>
      <w:r>
        <w:t>Annex H (</w:t>
      </w:r>
      <w:r>
        <w:rPr>
          <w:lang w:eastAsia="en-GB"/>
        </w:rPr>
        <w:t>normative</w:t>
      </w:r>
      <w:r>
        <w:t>):</w:t>
      </w:r>
      <w:r>
        <w:br w:type="textWrapping"/>
      </w:r>
      <w:r>
        <w:t>Uplink Physical Channels</w:t>
      </w:r>
      <w:bookmarkEnd w:id="1277"/>
    </w:p>
    <w:p>
      <w:pPr>
        <w:pStyle w:val="3"/>
      </w:pPr>
      <w:bookmarkStart w:id="1278" w:name="_Toc12197"/>
      <w:bookmarkStart w:id="1279" w:name="_Toc232582214"/>
      <w:r>
        <w:t>H.0</w:t>
      </w:r>
      <w:r>
        <w:tab/>
      </w:r>
      <w:r>
        <w:t>Uplink Signal Levels</w:t>
      </w:r>
      <w:bookmarkEnd w:id="1278"/>
      <w:bookmarkEnd w:id="1279"/>
    </w:p>
    <w:p>
      <w:pPr>
        <w:rPr>
          <w:lang w:eastAsia="ja-JP"/>
        </w:rPr>
      </w:pPr>
      <w:r>
        <w:rPr>
          <w:lang w:eastAsia="ja-JP"/>
        </w:rPr>
        <w:t>Uplink signal power is a UE figure, which is configured by the Test System by means of:</w:t>
      </w:r>
    </w:p>
    <w:p>
      <w:pPr>
        <w:pStyle w:val="111"/>
      </w:pPr>
      <w:r>
        <w:t>RRC messages (IE-s), such as:</w:t>
      </w:r>
    </w:p>
    <w:p>
      <w:pPr>
        <w:pStyle w:val="122"/>
      </w:pPr>
      <w:r>
        <w:t>-</w:t>
      </w:r>
      <w:r>
        <w:tab/>
      </w:r>
      <w:r>
        <w:t>IE-s affecting directly or indirectly the uplink power,</w:t>
      </w:r>
    </w:p>
    <w:p>
      <w:pPr>
        <w:pStyle w:val="111"/>
      </w:pPr>
      <w:r>
        <w:t>and L1/2 Power control commands (TPC).</w:t>
      </w:r>
    </w:p>
    <w:p>
      <w:pPr>
        <w:rPr>
          <w:lang w:eastAsia="ja-JP"/>
        </w:rPr>
      </w:pPr>
      <w:r>
        <w:rPr>
          <w:lang w:eastAsia="ja-JP"/>
        </w:rPr>
        <w:t>The uplink power settings are specified in the test case.</w:t>
      </w:r>
    </w:p>
    <w:p>
      <w:r>
        <w:rPr>
          <w:lang w:eastAsia="ja-JP"/>
        </w:rPr>
        <w:t>Otherwise, the uplink power settings result from</w:t>
      </w:r>
      <w:r>
        <w:t xml:space="preserve"> the default RRC messages described in 3GPP </w:t>
      </w:r>
      <w:r>
        <w:rPr>
          <w:rFonts w:hint="eastAsia" w:eastAsia="宋体"/>
          <w:lang w:eastAsia="zh-CN"/>
        </w:rPr>
        <w:t>TS 36.508 [12]</w:t>
      </w:r>
      <w:r>
        <w:t>, and appropriate TPC-s, which are sent to the UE to transmit with an UL power level necessary for maintaining the call during the test.</w:t>
      </w:r>
    </w:p>
    <w:p>
      <w:pPr>
        <w:pStyle w:val="4"/>
      </w:pPr>
      <w:bookmarkStart w:id="1280" w:name="_Toc24860"/>
      <w:r>
        <w:t>H.0.1</w:t>
      </w:r>
      <w:r>
        <w:tab/>
      </w:r>
      <w:r>
        <w:t>Uplink Signal Levels for NB1</w:t>
      </w:r>
      <w:bookmarkEnd w:id="1280"/>
    </w:p>
    <w:p>
      <w:pPr>
        <w:rPr>
          <w:lang w:eastAsia="ja-JP"/>
        </w:rPr>
      </w:pPr>
      <w:r>
        <w:rPr>
          <w:lang w:eastAsia="ja-JP"/>
        </w:rPr>
        <w:t>Uplink signal power is a UE figure, which is configured by the Test System by means of:</w:t>
      </w:r>
    </w:p>
    <w:p>
      <w:pPr>
        <w:pStyle w:val="111"/>
      </w:pPr>
      <w:r>
        <w:t>RRC messages (IE-s), such as:</w:t>
      </w:r>
    </w:p>
    <w:p>
      <w:pPr>
        <w:pStyle w:val="122"/>
      </w:pPr>
      <w:r>
        <w:t>-</w:t>
      </w:r>
      <w:r>
        <w:tab/>
      </w:r>
      <w:r>
        <w:rPr>
          <w:color w:val="000000"/>
        </w:rPr>
        <w:t>NPUSCH-ConfigCommon-NB</w:t>
      </w:r>
    </w:p>
    <w:p>
      <w:pPr>
        <w:pStyle w:val="122"/>
        <w:rPr>
          <w:color w:val="000000"/>
        </w:rPr>
      </w:pPr>
      <w:r>
        <w:t>-</w:t>
      </w:r>
      <w:r>
        <w:tab/>
      </w:r>
      <w:r>
        <w:rPr>
          <w:color w:val="000000"/>
        </w:rPr>
        <w:t>NPUSCH-ConfigDedicated-NB</w:t>
      </w:r>
    </w:p>
    <w:p>
      <w:pPr>
        <w:pStyle w:val="122"/>
      </w:pPr>
      <w:r>
        <w:t>-</w:t>
      </w:r>
      <w:r>
        <w:tab/>
      </w:r>
      <w:r>
        <w:t>UplinkPowerControl-NB</w:t>
      </w:r>
    </w:p>
    <w:p>
      <w:pPr>
        <w:pStyle w:val="122"/>
      </w:pPr>
      <w:r>
        <w:t>-</w:t>
      </w:r>
      <w:r>
        <w:tab/>
      </w:r>
      <w:r>
        <w:t>Other IE-s affecting directly or indirectly the uplink power,</w:t>
      </w:r>
    </w:p>
    <w:p>
      <w:pPr>
        <w:rPr>
          <w:lang w:eastAsia="ja-JP"/>
        </w:rPr>
      </w:pPr>
      <w:r>
        <w:rPr>
          <w:lang w:eastAsia="ja-JP"/>
        </w:rPr>
        <w:t>The uplink power settings are specified in the test case.</w:t>
      </w:r>
    </w:p>
    <w:p>
      <w:pPr>
        <w:rPr>
          <w:lang w:eastAsia="ja-JP"/>
        </w:rPr>
      </w:pPr>
      <w:r>
        <w:rPr>
          <w:lang w:eastAsia="ja-JP"/>
        </w:rPr>
        <w:t>Otherwise, the uplink power settings result from</w:t>
      </w:r>
      <w:r>
        <w:t xml:space="preserve"> the default RRC messages described in 3GPP </w:t>
      </w:r>
      <w:r>
        <w:rPr>
          <w:rFonts w:hint="eastAsia" w:eastAsia="宋体"/>
          <w:lang w:eastAsia="zh-CN"/>
        </w:rPr>
        <w:t>TS 36.508 [12]</w:t>
      </w:r>
      <w:r>
        <w:t>, which are sent to the UE to transmit with an UL power level necessary for maintaining the call during the test.</w:t>
      </w:r>
    </w:p>
    <w:p>
      <w:pPr>
        <w:pStyle w:val="3"/>
      </w:pPr>
      <w:bookmarkStart w:id="1281" w:name="_Toc232582215"/>
      <w:bookmarkStart w:id="1282" w:name="_Toc16668"/>
      <w:r>
        <w:t>H.1</w:t>
      </w:r>
      <w:r>
        <w:tab/>
      </w:r>
      <w:r>
        <w:t>General</w:t>
      </w:r>
      <w:bookmarkEnd w:id="1281"/>
      <w:bookmarkEnd w:id="1282"/>
    </w:p>
    <w:p>
      <w:pPr>
        <w:rPr>
          <w:rFonts w:eastAsia="宋体" w:cs="v5.0.0"/>
          <w:lang w:eastAsia="zh-CN"/>
        </w:rPr>
      </w:pPr>
      <w:r>
        <w:rPr>
          <w:rFonts w:cs="v5.0.0"/>
        </w:rPr>
        <w:t xml:space="preserve">This annex specifies the uplink physical channels that are needed for setting a connection and channels that are needed during a connection. Table </w:t>
      </w:r>
      <w:r>
        <w:rPr>
          <w:rFonts w:cs="v5.0.0"/>
          <w:lang w:eastAsia="ja-JP"/>
        </w:rPr>
        <w:t>H.1-1</w:t>
      </w:r>
      <w:r>
        <w:rPr>
          <w:rFonts w:cs="v5.0.0"/>
        </w:rPr>
        <w:t xml:space="preserve"> describes the mapping of uplink physical channels and signals to physical resources for FDD. </w:t>
      </w:r>
    </w:p>
    <w:p>
      <w:pPr>
        <w:pStyle w:val="113"/>
        <w:rPr>
          <w:lang w:eastAsia="ja-JP"/>
        </w:rPr>
      </w:pPr>
      <w:r>
        <w:t xml:space="preserve">Table H.1-1: </w:t>
      </w:r>
      <w:r>
        <w:rPr>
          <w:lang w:eastAsia="ja-JP"/>
        </w:rPr>
        <w:t>M</w:t>
      </w:r>
      <w:r>
        <w:t xml:space="preserve">apping of </w:t>
      </w:r>
      <w:r>
        <w:rPr>
          <w:lang w:eastAsia="ja-JP"/>
        </w:rPr>
        <w:t>uplink</w:t>
      </w:r>
      <w:r>
        <w:t xml:space="preserve"> physical channels and signals to physical resources</w:t>
      </w:r>
      <w:r>
        <w:rPr>
          <w:lang w:eastAsia="ja-JP"/>
        </w:rPr>
        <w:t xml:space="preserve"> for FDD</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7"/>
        <w:gridCol w:w="2881"/>
        <w:gridCol w:w="311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7" w:type="dxa"/>
          </w:tcPr>
          <w:p>
            <w:pPr>
              <w:pStyle w:val="104"/>
              <w:rPr>
                <w:lang w:eastAsia="zh-CN"/>
              </w:rPr>
            </w:pPr>
            <w:r>
              <w:rPr>
                <w:lang w:eastAsia="zh-CN"/>
              </w:rPr>
              <w:t>Physical channel</w:t>
            </w:r>
          </w:p>
        </w:tc>
        <w:tc>
          <w:tcPr>
            <w:tcW w:w="2881" w:type="dxa"/>
          </w:tcPr>
          <w:p>
            <w:pPr>
              <w:pStyle w:val="104"/>
              <w:rPr>
                <w:lang w:eastAsia="zh-CN"/>
              </w:rPr>
            </w:pPr>
            <w:r>
              <w:rPr>
                <w:lang w:eastAsia="zh-CN"/>
              </w:rPr>
              <w:t>Time Domain Location</w:t>
            </w:r>
          </w:p>
        </w:tc>
        <w:tc>
          <w:tcPr>
            <w:tcW w:w="3118" w:type="dxa"/>
          </w:tcPr>
          <w:p>
            <w:pPr>
              <w:pStyle w:val="104"/>
              <w:rPr>
                <w:lang w:eastAsia="zh-CN"/>
              </w:rPr>
            </w:pPr>
            <w:r>
              <w:rPr>
                <w:lang w:eastAsia="zh-CN"/>
              </w:rPr>
              <w:t>Frequency Domain Location</w:t>
            </w:r>
          </w:p>
        </w:tc>
        <w:tc>
          <w:tcPr>
            <w:tcW w:w="2552" w:type="dxa"/>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7" w:type="dxa"/>
          </w:tcPr>
          <w:p>
            <w:pPr>
              <w:pStyle w:val="103"/>
            </w:pPr>
            <w:r>
              <w:rPr>
                <w:rFonts w:cs="v5.0.0"/>
              </w:rPr>
              <w:t>PRACH</w:t>
            </w:r>
          </w:p>
        </w:tc>
        <w:tc>
          <w:tcPr>
            <w:tcW w:w="2881" w:type="dxa"/>
          </w:tcPr>
          <w:p>
            <w:pPr>
              <w:pStyle w:val="103"/>
              <w:rPr>
                <w:lang w:eastAsia="ja-JP"/>
              </w:rPr>
            </w:pPr>
            <w:r>
              <w:rPr>
                <w:lang w:eastAsia="ja-JP"/>
              </w:rPr>
              <w:t xml:space="preserve">Allowed for the parameter </w:t>
            </w:r>
            <w:r>
              <w:rPr>
                <w:i/>
                <w:iCs/>
                <w:lang w:eastAsia="ja-JP"/>
              </w:rPr>
              <w:t>prach-Configuration Index</w:t>
            </w:r>
            <w:r>
              <w:rPr>
                <w:lang w:eastAsia="ja-JP"/>
              </w:rPr>
              <w:t xml:space="preserve"> provided by higher layers</w:t>
            </w:r>
          </w:p>
        </w:tc>
        <w:tc>
          <w:tcPr>
            <w:tcW w:w="3118" w:type="dxa"/>
          </w:tcPr>
          <w:p>
            <w:pPr>
              <w:pStyle w:val="103"/>
            </w:pPr>
            <w:r>
              <w:rPr>
                <w:lang w:eastAsia="ja-JP"/>
              </w:rPr>
              <w:t xml:space="preserve">Allowed for the parameter </w:t>
            </w:r>
            <w:r>
              <w:rPr>
                <w:i/>
                <w:iCs/>
                <w:lang w:eastAsia="ja-JP"/>
              </w:rPr>
              <w:t>prach-FrequencyOffset</w:t>
            </w:r>
            <w:r>
              <w:rPr>
                <w:lang w:eastAsia="ja-JP"/>
              </w:rPr>
              <w:t xml:space="preserve"> provided by higher layers</w:t>
            </w:r>
          </w:p>
        </w:tc>
        <w:tc>
          <w:tcPr>
            <w:tcW w:w="2552" w:type="dxa"/>
          </w:tcPr>
          <w:p>
            <w:pPr>
              <w:pStyle w:val="103"/>
              <w:rPr>
                <w:lang w:eastAsia="ja-JP"/>
              </w:rPr>
            </w:pPr>
            <w:r>
              <w:t>Mapping rule is specified in TS 36.211 [</w:t>
            </w:r>
            <w:r>
              <w:rPr>
                <w:rFonts w:hint="eastAsia" w:eastAsia="宋体"/>
                <w:lang w:val="en-US" w:eastAsia="zh-CN"/>
              </w:rPr>
              <w:t>3</w:t>
            </w:r>
            <w:r>
              <w:t>] Section 5.7.1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7" w:type="dxa"/>
          </w:tcPr>
          <w:p>
            <w:pPr>
              <w:pStyle w:val="103"/>
              <w:rPr>
                <w:lang w:eastAsia="ja-JP"/>
              </w:rPr>
            </w:pPr>
            <w:r>
              <w:rPr>
                <w:rFonts w:cs="v5.0.0"/>
                <w:snapToGrid w:val="0"/>
              </w:rPr>
              <w:t>DMRS</w:t>
            </w:r>
          </w:p>
        </w:tc>
        <w:tc>
          <w:tcPr>
            <w:tcW w:w="2881" w:type="dxa"/>
          </w:tcPr>
          <w:p>
            <w:pPr>
              <w:pStyle w:val="103"/>
              <w:rPr>
                <w:lang w:eastAsia="ja-JP"/>
              </w:rPr>
            </w:pPr>
            <w:r>
              <w:rPr>
                <w:lang w:eastAsia="ja-JP"/>
              </w:rPr>
              <w:t>For PUCCH:</w:t>
            </w:r>
          </w:p>
          <w:p>
            <w:pPr>
              <w:pStyle w:val="103"/>
              <w:rPr>
                <w:lang w:eastAsia="ja-JP"/>
              </w:rPr>
            </w:pPr>
            <w:r>
              <w:t>Symbol</w:t>
            </w:r>
            <w:r>
              <w:rPr>
                <w:lang w:eastAsia="ja-JP"/>
              </w:rPr>
              <w:t>s</w:t>
            </w:r>
            <w:r>
              <w:t xml:space="preserve"> </w:t>
            </w:r>
            <w:r>
              <w:rPr>
                <w:lang w:eastAsia="ja-JP"/>
              </w:rPr>
              <w:t>2 to 4</w:t>
            </w:r>
            <w:r>
              <w:t xml:space="preserve"> of </w:t>
            </w:r>
            <w:r>
              <w:rPr>
                <w:lang w:eastAsia="ja-JP"/>
              </w:rPr>
              <w:t xml:space="preserve">each </w:t>
            </w:r>
            <w:r>
              <w:t>slot</w:t>
            </w:r>
            <w:r>
              <w:rPr>
                <w:lang w:eastAsia="ja-JP"/>
              </w:rPr>
              <w:t xml:space="preserve"> (PUCCH format: 1, 1a, 1b)</w:t>
            </w:r>
          </w:p>
          <w:p>
            <w:pPr>
              <w:pStyle w:val="103"/>
              <w:rPr>
                <w:lang w:eastAsia="ja-JP"/>
              </w:rPr>
            </w:pPr>
          </w:p>
          <w:p>
            <w:pPr>
              <w:pStyle w:val="103"/>
              <w:rPr>
                <w:lang w:eastAsia="ja-JP"/>
              </w:rPr>
            </w:pPr>
            <w:r>
              <w:t xml:space="preserve">Symbol </w:t>
            </w:r>
            <w:r>
              <w:rPr>
                <w:lang w:eastAsia="ja-JP"/>
              </w:rPr>
              <w:t>1 and 5</w:t>
            </w:r>
            <w:r>
              <w:t xml:space="preserve"> of </w:t>
            </w:r>
            <w:r>
              <w:rPr>
                <w:lang w:eastAsia="ja-JP"/>
              </w:rPr>
              <w:t xml:space="preserve">each </w:t>
            </w:r>
            <w:r>
              <w:t>slot</w:t>
            </w:r>
            <w:r>
              <w:rPr>
                <w:lang w:eastAsia="ja-JP"/>
              </w:rPr>
              <w:t xml:space="preserve"> (PUCCH format: 2, 2a, 2b)</w:t>
            </w:r>
          </w:p>
          <w:p>
            <w:pPr>
              <w:pStyle w:val="103"/>
              <w:rPr>
                <w:lang w:eastAsia="ja-JP"/>
              </w:rPr>
            </w:pPr>
          </w:p>
          <w:p>
            <w:pPr>
              <w:pStyle w:val="103"/>
              <w:rPr>
                <w:lang w:eastAsia="ja-JP"/>
              </w:rPr>
            </w:pPr>
            <w:r>
              <w:rPr>
                <w:lang w:eastAsia="ja-JP"/>
              </w:rPr>
              <w:t>For PUSCH:</w:t>
            </w:r>
          </w:p>
          <w:p>
            <w:pPr>
              <w:pStyle w:val="103"/>
              <w:rPr>
                <w:lang w:eastAsia="ja-JP"/>
              </w:rPr>
            </w:pPr>
            <w:r>
              <w:t xml:space="preserve">Symbol </w:t>
            </w:r>
            <w:r>
              <w:rPr>
                <w:lang w:eastAsia="ja-JP"/>
              </w:rPr>
              <w:t>3</w:t>
            </w:r>
            <w:r>
              <w:t xml:space="preserve"> of </w:t>
            </w:r>
            <w:r>
              <w:rPr>
                <w:lang w:eastAsia="ja-JP"/>
              </w:rPr>
              <w:t xml:space="preserve">each </w:t>
            </w:r>
            <w:r>
              <w:t>slot</w:t>
            </w:r>
            <w:r>
              <w:rPr>
                <w:lang w:eastAsia="ja-JP"/>
              </w:rPr>
              <w:t xml:space="preserve"> </w:t>
            </w:r>
          </w:p>
        </w:tc>
        <w:tc>
          <w:tcPr>
            <w:tcW w:w="3118" w:type="dxa"/>
          </w:tcPr>
          <w:p>
            <w:pPr>
              <w:pStyle w:val="103"/>
              <w:rPr>
                <w:lang w:eastAsia="ja-JP"/>
              </w:rPr>
            </w:pPr>
            <w:r>
              <w:rPr>
                <w:lang w:eastAsia="ja-JP"/>
              </w:rPr>
              <w:t>Up</w:t>
            </w:r>
            <w:r>
              <w:t>link system bandwidth dependent</w:t>
            </w:r>
            <w:r>
              <w:rPr>
                <w:lang w:eastAsia="ja-JP"/>
              </w:rPr>
              <w:t>.</w:t>
            </w:r>
          </w:p>
        </w:tc>
        <w:tc>
          <w:tcPr>
            <w:tcW w:w="2552" w:type="dxa"/>
          </w:tcPr>
          <w:p>
            <w:pPr>
              <w:pStyle w:val="103"/>
            </w:pPr>
            <w:r>
              <w:t xml:space="preserve">Mapping rule </w:t>
            </w:r>
            <w:r>
              <w:rPr>
                <w:lang w:eastAsia="ja-JP"/>
              </w:rPr>
              <w:t xml:space="preserve">of DMRS for PUCCH </w:t>
            </w:r>
            <w:r>
              <w:t>is specified in TS 36.211 [</w:t>
            </w:r>
            <w:r>
              <w:rPr>
                <w:rFonts w:hint="eastAsia" w:eastAsia="宋体"/>
                <w:lang w:val="en-US" w:eastAsia="zh-CN"/>
              </w:rPr>
              <w:t>3</w:t>
            </w:r>
            <w:r>
              <w:t xml:space="preserve">] </w:t>
            </w:r>
            <w:r>
              <w:rPr>
                <w:lang w:eastAsia="ja-JP"/>
              </w:rPr>
              <w:t>5.5.2.2.2</w:t>
            </w:r>
          </w:p>
          <w:p>
            <w:pPr>
              <w:pStyle w:val="103"/>
              <w:rPr>
                <w:lang w:eastAsia="ja-JP"/>
              </w:rPr>
            </w:pPr>
          </w:p>
          <w:p>
            <w:pPr>
              <w:pStyle w:val="103"/>
              <w:rPr>
                <w:lang w:eastAsia="ja-JP"/>
              </w:rPr>
            </w:pPr>
            <w:r>
              <w:t xml:space="preserve">Mapping rule </w:t>
            </w:r>
            <w:r>
              <w:rPr>
                <w:lang w:eastAsia="ja-JP"/>
              </w:rPr>
              <w:t xml:space="preserve">of DMRS for PUSCH </w:t>
            </w:r>
            <w:r>
              <w:t>is specified in TS 36.211 [</w:t>
            </w:r>
            <w:r>
              <w:rPr>
                <w:rFonts w:hint="eastAsia" w:eastAsia="宋体"/>
                <w:lang w:val="en-US" w:eastAsia="zh-CN"/>
              </w:rPr>
              <w:t>3</w:t>
            </w:r>
            <w:r>
              <w:t xml:space="preserve">] </w:t>
            </w:r>
            <w:r>
              <w:rPr>
                <w:lang w:eastAsia="ja-JP"/>
              </w:rPr>
              <w:t>5.5.2.1.2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7" w:type="dxa"/>
          </w:tcPr>
          <w:p>
            <w:pPr>
              <w:pStyle w:val="103"/>
            </w:pPr>
            <w:r>
              <w:rPr>
                <w:rFonts w:cs="v5.0.0"/>
                <w:snapToGrid w:val="0"/>
              </w:rPr>
              <w:t>PUCCH</w:t>
            </w:r>
          </w:p>
        </w:tc>
        <w:tc>
          <w:tcPr>
            <w:tcW w:w="2881" w:type="dxa"/>
          </w:tcPr>
          <w:p>
            <w:pPr>
              <w:pStyle w:val="103"/>
            </w:pPr>
            <w:r>
              <w:rPr>
                <w:lang w:eastAsia="ja-JP"/>
              </w:rPr>
              <w:t>Slot 0 and 1 of each subframe</w:t>
            </w:r>
          </w:p>
        </w:tc>
        <w:tc>
          <w:tcPr>
            <w:tcW w:w="3118" w:type="dxa"/>
          </w:tcPr>
          <w:p>
            <w:pPr>
              <w:pStyle w:val="103"/>
            </w:pPr>
            <w:r>
              <w:rPr>
                <w:lang w:eastAsia="ja-JP"/>
              </w:rPr>
              <w:t>Each 12 subcarriers of both ends of the bandwidth</w:t>
            </w:r>
          </w:p>
        </w:tc>
        <w:tc>
          <w:tcPr>
            <w:tcW w:w="2552" w:type="dxa"/>
          </w:tcPr>
          <w:p>
            <w:pPr>
              <w:pStyle w:val="103"/>
              <w:rPr>
                <w:lang w:eastAsia="ja-JP"/>
              </w:rPr>
            </w:pPr>
            <w:r>
              <w:t>Mapping rule is specified in TS 36.211 [</w:t>
            </w:r>
            <w:r>
              <w:rPr>
                <w:rFonts w:hint="eastAsia" w:eastAsia="宋体"/>
                <w:lang w:val="en-US" w:eastAsia="zh-CN"/>
              </w:rPr>
              <w:t>3</w:t>
            </w:r>
            <w:r>
              <w:t xml:space="preserve">] Section </w:t>
            </w:r>
            <w:r>
              <w:rPr>
                <w:lang w:eastAsia="ja-JP"/>
              </w:rPr>
              <w:t>5</w:t>
            </w:r>
            <w:r>
              <w:t>.4.</w:t>
            </w:r>
            <w:r>
              <w:rPr>
                <w:lang w:eastAsia="ja-JP"/>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7" w:type="dxa"/>
          </w:tcPr>
          <w:p>
            <w:pPr>
              <w:pStyle w:val="103"/>
            </w:pPr>
            <w:r>
              <w:rPr>
                <w:rFonts w:cs="v5.0.0"/>
                <w:snapToGrid w:val="0"/>
              </w:rPr>
              <w:t>PUSCH</w:t>
            </w:r>
          </w:p>
        </w:tc>
        <w:tc>
          <w:tcPr>
            <w:tcW w:w="2881" w:type="dxa"/>
          </w:tcPr>
          <w:p>
            <w:pPr>
              <w:pStyle w:val="103"/>
              <w:rPr>
                <w:lang w:eastAsia="ja-JP"/>
              </w:rPr>
            </w:pPr>
            <w:r>
              <w:t xml:space="preserve">All remaining </w:t>
            </w:r>
            <w:r>
              <w:rPr>
                <w:lang w:eastAsia="ja-JP"/>
              </w:rPr>
              <w:t>SC-FDMA</w:t>
            </w:r>
            <w:r>
              <w:t xml:space="preserve"> symbols of each subframe not allocated to DMRS</w:t>
            </w:r>
          </w:p>
        </w:tc>
        <w:tc>
          <w:tcPr>
            <w:tcW w:w="3118" w:type="dxa"/>
          </w:tcPr>
          <w:p>
            <w:pPr>
              <w:pStyle w:val="103"/>
              <w:rPr>
                <w:lang w:eastAsia="ja-JP"/>
              </w:rPr>
            </w:pPr>
            <w:r>
              <w:rPr>
                <w:rFonts w:eastAsia="MS PGothic" w:cs="Arial"/>
              </w:rPr>
              <w:t>RBs allocated</w:t>
            </w:r>
            <w:r>
              <w:rPr>
                <w:rFonts w:eastAsia="MS PGothic" w:cs="Arial"/>
                <w:lang w:eastAsia="ja-JP"/>
              </w:rPr>
              <w:t xml:space="preserve"> a</w:t>
            </w:r>
            <w:r>
              <w:rPr>
                <w:rFonts w:eastAsia="MS PGothic" w:cs="Arial"/>
              </w:rPr>
              <w:t>ccording to Reference Measurement channel in Annex A.2</w:t>
            </w:r>
          </w:p>
        </w:tc>
        <w:tc>
          <w:tcPr>
            <w:tcW w:w="2552" w:type="dxa"/>
          </w:tcPr>
          <w:p>
            <w:pPr>
              <w:pStyle w:val="103"/>
            </w:pPr>
            <w:r>
              <w:t>Mapping rule is specified in TS 36.211 [</w:t>
            </w:r>
            <w:r>
              <w:rPr>
                <w:rFonts w:hint="eastAsia" w:eastAsia="宋体"/>
                <w:lang w:val="en-US" w:eastAsia="zh-CN"/>
              </w:rPr>
              <w:t>3</w:t>
            </w:r>
            <w:r>
              <w:t xml:space="preserve">] Section </w:t>
            </w:r>
            <w:r>
              <w:rPr>
                <w:lang w:eastAsia="ja-JP"/>
              </w:rPr>
              <w:t>5</w:t>
            </w:r>
            <w:r>
              <w:t>.4.</w:t>
            </w:r>
            <w:r>
              <w:rPr>
                <w:lang w:eastAsia="ja-JP"/>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7" w:type="dxa"/>
          </w:tcPr>
          <w:p>
            <w:pPr>
              <w:pStyle w:val="103"/>
              <w:rPr>
                <w:rFonts w:cs="v5.0.0"/>
                <w:snapToGrid w:val="0"/>
              </w:rPr>
            </w:pPr>
            <w:r>
              <w:rPr>
                <w:rFonts w:cs="v5.0.0"/>
                <w:snapToGrid w:val="0"/>
              </w:rPr>
              <w:t>SRS</w:t>
            </w:r>
          </w:p>
        </w:tc>
        <w:tc>
          <w:tcPr>
            <w:tcW w:w="2881" w:type="dxa"/>
          </w:tcPr>
          <w:p>
            <w:pPr>
              <w:pStyle w:val="103"/>
            </w:pPr>
            <w:r>
              <w:rPr>
                <w:lang w:eastAsia="ja-JP"/>
              </w:rPr>
              <w:t xml:space="preserve">Allowed for the cell-specific parameter </w:t>
            </w:r>
            <w:r>
              <w:rPr>
                <w:i/>
                <w:iCs/>
                <w:lang w:eastAsia="ja-JP"/>
              </w:rPr>
              <w:t xml:space="preserve">srs-BandwidthConfig </w:t>
            </w:r>
            <w:r>
              <w:rPr>
                <w:iCs/>
                <w:lang w:eastAsia="ja-JP"/>
              </w:rPr>
              <w:t xml:space="preserve">and the UE-specific parameter </w:t>
            </w:r>
            <w:r>
              <w:rPr>
                <w:i/>
                <w:iCs/>
                <w:lang w:eastAsia="ja-JP"/>
              </w:rPr>
              <w:t xml:space="preserve">srs-Bandwidth </w:t>
            </w:r>
            <w:r>
              <w:rPr>
                <w:lang w:eastAsia="ja-JP"/>
              </w:rPr>
              <w:t>provided by higher layers</w:t>
            </w:r>
          </w:p>
        </w:tc>
        <w:tc>
          <w:tcPr>
            <w:tcW w:w="3118" w:type="dxa"/>
          </w:tcPr>
          <w:p>
            <w:pPr>
              <w:pStyle w:val="103"/>
              <w:rPr>
                <w:rFonts w:eastAsia="MS PGothic" w:cs="Arial"/>
              </w:rPr>
            </w:pPr>
            <w:r>
              <w:rPr>
                <w:lang w:eastAsia="ja-JP"/>
              </w:rPr>
              <w:t xml:space="preserve">Allowed for the cell-specific parameter </w:t>
            </w:r>
            <w:r>
              <w:rPr>
                <w:i/>
                <w:lang w:eastAsia="zh-CN"/>
              </w:rPr>
              <w:t xml:space="preserve">srsMaxUpPt </w:t>
            </w:r>
            <w:r>
              <w:rPr>
                <w:lang w:eastAsia="zh-CN"/>
              </w:rPr>
              <w:t>and the UE-specific parameter</w:t>
            </w:r>
            <w:r>
              <w:rPr>
                <w:i/>
                <w:lang w:eastAsia="zh-CN"/>
              </w:rPr>
              <w:t xml:space="preserve"> </w:t>
            </w:r>
            <w:r>
              <w:rPr>
                <w:i/>
                <w:iCs/>
                <w:color w:val="000000"/>
              </w:rPr>
              <w:t xml:space="preserve">transmissionComb </w:t>
            </w:r>
            <w:r>
              <w:rPr>
                <w:iCs/>
                <w:color w:val="000000"/>
              </w:rPr>
              <w:t xml:space="preserve">or </w:t>
            </w:r>
            <w:r>
              <w:rPr>
                <w:i/>
                <w:iCs/>
                <w:color w:val="000000"/>
              </w:rPr>
              <w:t xml:space="preserve">transmissionComb-ap </w:t>
            </w:r>
            <w:r>
              <w:rPr>
                <w:lang w:eastAsia="ja-JP"/>
              </w:rPr>
              <w:t>provided by higher layers</w:t>
            </w:r>
          </w:p>
        </w:tc>
        <w:tc>
          <w:tcPr>
            <w:tcW w:w="2552" w:type="dxa"/>
          </w:tcPr>
          <w:p>
            <w:pPr>
              <w:pStyle w:val="103"/>
            </w:pPr>
            <w:r>
              <w:t>Mapping rule is specified in TS 36.211 [</w:t>
            </w:r>
            <w:r>
              <w:rPr>
                <w:rFonts w:hint="eastAsia" w:eastAsia="宋体"/>
                <w:lang w:val="en-US" w:eastAsia="zh-CN"/>
              </w:rPr>
              <w:t>3</w:t>
            </w:r>
            <w:r>
              <w:t xml:space="preserve">] Section </w:t>
            </w:r>
            <w:r>
              <w:rPr>
                <w:lang w:eastAsia="ja-JP"/>
              </w:rPr>
              <w:t>5</w:t>
            </w:r>
            <w:r>
              <w:t>.5.</w:t>
            </w:r>
            <w:r>
              <w:rPr>
                <w:lang w:eastAsia="ja-JP"/>
              </w:rPr>
              <w:t>3.2</w:t>
            </w:r>
          </w:p>
        </w:tc>
      </w:tr>
    </w:tbl>
    <w:p>
      <w:pPr>
        <w:rPr>
          <w:rFonts w:cs="v5.0.0"/>
          <w:lang w:eastAsia="ja-JP"/>
        </w:rPr>
      </w:pPr>
    </w:p>
    <w:p>
      <w:pPr>
        <w:pStyle w:val="4"/>
      </w:pPr>
      <w:bookmarkStart w:id="1283" w:name="_Toc6113"/>
      <w:r>
        <w:t>H.1.1</w:t>
      </w:r>
      <w:r>
        <w:tab/>
      </w:r>
      <w:r>
        <w:t>General for NB1</w:t>
      </w:r>
      <w:bookmarkEnd w:id="1283"/>
    </w:p>
    <w:p>
      <w:pPr>
        <w:rPr>
          <w:rFonts w:eastAsia="宋体" w:cs="v5.0.0"/>
          <w:lang w:eastAsia="zh-CN"/>
        </w:rPr>
      </w:pPr>
      <w:r>
        <w:rPr>
          <w:rFonts w:cs="v5.0.0"/>
        </w:rPr>
        <w:t xml:space="preserve">This annex specifies the uplink physical channels that are needed for setting a connection and channels that are needed during a connection. Table </w:t>
      </w:r>
      <w:r>
        <w:rPr>
          <w:rFonts w:cs="v5.0.0"/>
          <w:lang w:eastAsia="ja-JP"/>
        </w:rPr>
        <w:t>H.1.1-1</w:t>
      </w:r>
      <w:r>
        <w:rPr>
          <w:rFonts w:cs="v5.0.0"/>
        </w:rPr>
        <w:t xml:space="preserve"> describes the mapping of uplink physical channels and signals to physical resources for NB1 UE. </w:t>
      </w:r>
    </w:p>
    <w:p>
      <w:pPr>
        <w:pStyle w:val="113"/>
        <w:rPr>
          <w:lang w:eastAsia="ja-JP"/>
        </w:rPr>
      </w:pPr>
      <w:r>
        <w:t xml:space="preserve">Table H.1.1-1: </w:t>
      </w:r>
      <w:r>
        <w:rPr>
          <w:lang w:eastAsia="ja-JP"/>
        </w:rPr>
        <w:t>M</w:t>
      </w:r>
      <w:r>
        <w:t xml:space="preserve">apping of </w:t>
      </w:r>
      <w:r>
        <w:rPr>
          <w:lang w:eastAsia="ja-JP"/>
        </w:rPr>
        <w:t>uplink</w:t>
      </w:r>
      <w:r>
        <w:t xml:space="preserve"> physical channels and signals to physical resources</w:t>
      </w:r>
      <w:r>
        <w:rPr>
          <w:lang w:eastAsia="ja-JP"/>
        </w:rPr>
        <w:t xml:space="preserve"> for NB1</w:t>
      </w:r>
    </w:p>
    <w:tbl>
      <w:tblPr>
        <w:tblStyle w:val="8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
        <w:gridCol w:w="2881"/>
        <w:gridCol w:w="3118"/>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7" w:type="dxa"/>
          </w:tcPr>
          <w:p>
            <w:pPr>
              <w:pStyle w:val="104"/>
              <w:rPr>
                <w:lang w:eastAsia="zh-CN"/>
              </w:rPr>
            </w:pPr>
            <w:r>
              <w:rPr>
                <w:lang w:eastAsia="zh-CN"/>
              </w:rPr>
              <w:t>Physical channel</w:t>
            </w:r>
          </w:p>
        </w:tc>
        <w:tc>
          <w:tcPr>
            <w:tcW w:w="2881" w:type="dxa"/>
          </w:tcPr>
          <w:p>
            <w:pPr>
              <w:pStyle w:val="104"/>
              <w:rPr>
                <w:lang w:eastAsia="zh-CN"/>
              </w:rPr>
            </w:pPr>
            <w:r>
              <w:rPr>
                <w:lang w:eastAsia="zh-CN"/>
              </w:rPr>
              <w:t>Time Domain Location</w:t>
            </w:r>
          </w:p>
        </w:tc>
        <w:tc>
          <w:tcPr>
            <w:tcW w:w="3118" w:type="dxa"/>
          </w:tcPr>
          <w:p>
            <w:pPr>
              <w:pStyle w:val="104"/>
              <w:rPr>
                <w:lang w:eastAsia="zh-CN"/>
              </w:rPr>
            </w:pPr>
            <w:r>
              <w:rPr>
                <w:lang w:eastAsia="zh-CN"/>
              </w:rPr>
              <w:t>Frequency Domain Location</w:t>
            </w:r>
          </w:p>
        </w:tc>
        <w:tc>
          <w:tcPr>
            <w:tcW w:w="2552" w:type="dxa"/>
          </w:tcPr>
          <w:p>
            <w:pPr>
              <w:pStyle w:val="104"/>
              <w:rPr>
                <w:lang w:eastAsia="zh-CN"/>
              </w:rPr>
            </w:pPr>
            <w:r>
              <w:rPr>
                <w:lang w:eastAsia="zh-CN"/>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7" w:type="dxa"/>
          </w:tcPr>
          <w:p>
            <w:pPr>
              <w:pStyle w:val="103"/>
            </w:pPr>
            <w:r>
              <w:rPr>
                <w:rFonts w:cs="v5.0.0"/>
              </w:rPr>
              <w:t>NPRACH</w:t>
            </w:r>
          </w:p>
        </w:tc>
        <w:tc>
          <w:tcPr>
            <w:tcW w:w="2881" w:type="dxa"/>
          </w:tcPr>
          <w:p>
            <w:pPr>
              <w:pStyle w:val="103"/>
              <w:rPr>
                <w:lang w:eastAsia="ja-JP"/>
              </w:rPr>
            </w:pPr>
            <w:r>
              <w:rPr>
                <w:lang w:eastAsia="ja-JP"/>
              </w:rPr>
              <w:t>Allowed for the parameter n</w:t>
            </w:r>
            <w:r>
              <w:rPr>
                <w:i/>
                <w:iCs/>
                <w:lang w:eastAsia="ja-JP"/>
              </w:rPr>
              <w:t>prach-Configuration Index</w:t>
            </w:r>
            <w:r>
              <w:rPr>
                <w:lang w:eastAsia="ja-JP"/>
              </w:rPr>
              <w:t xml:space="preserve"> provided by higher layers</w:t>
            </w:r>
          </w:p>
        </w:tc>
        <w:tc>
          <w:tcPr>
            <w:tcW w:w="3118" w:type="dxa"/>
          </w:tcPr>
          <w:p>
            <w:pPr>
              <w:pStyle w:val="103"/>
            </w:pPr>
            <w:r>
              <w:rPr>
                <w:lang w:eastAsia="ja-JP"/>
              </w:rPr>
              <w:t xml:space="preserve">Allowed for the parameter </w:t>
            </w:r>
            <w:r>
              <w:rPr>
                <w:i/>
                <w:iCs/>
                <w:lang w:eastAsia="ja-JP"/>
              </w:rPr>
              <w:t xml:space="preserve">nprach-SubcarrierOffset </w:t>
            </w:r>
            <w:r>
              <w:rPr>
                <w:lang w:eastAsia="ja-JP"/>
              </w:rPr>
              <w:t>provided by higher layers</w:t>
            </w:r>
          </w:p>
        </w:tc>
        <w:tc>
          <w:tcPr>
            <w:tcW w:w="2552" w:type="dxa"/>
          </w:tcPr>
          <w:p>
            <w:pPr>
              <w:pStyle w:val="103"/>
              <w:rPr>
                <w:lang w:eastAsia="ja-JP"/>
              </w:rPr>
            </w:pPr>
            <w:r>
              <w:t>Mapping rule is specified in TS 36.211 [</w:t>
            </w:r>
            <w:r>
              <w:rPr>
                <w:rFonts w:hint="eastAsia" w:eastAsia="宋体"/>
                <w:lang w:val="en-US" w:eastAsia="zh-CN"/>
              </w:rPr>
              <w:t>3</w:t>
            </w:r>
            <w:r>
              <w:t>] Section 10.1.6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7" w:type="dxa"/>
          </w:tcPr>
          <w:p>
            <w:pPr>
              <w:pStyle w:val="103"/>
            </w:pPr>
            <w:r>
              <w:rPr>
                <w:rFonts w:cs="v5.0.0"/>
                <w:snapToGrid w:val="0"/>
              </w:rPr>
              <w:t>NPUSCH</w:t>
            </w:r>
          </w:p>
        </w:tc>
        <w:tc>
          <w:tcPr>
            <w:tcW w:w="2881" w:type="dxa"/>
          </w:tcPr>
          <w:p>
            <w:pPr>
              <w:pStyle w:val="103"/>
              <w:rPr>
                <w:lang w:eastAsia="ja-JP"/>
              </w:rPr>
            </w:pPr>
            <w:r>
              <w:t xml:space="preserve">All the </w:t>
            </w:r>
            <w:r>
              <w:rPr>
                <w:lang w:eastAsia="ja-JP"/>
              </w:rPr>
              <w:t>SC-FDMA</w:t>
            </w:r>
            <w:r>
              <w:t xml:space="preserve"> symbols of each subframe.</w:t>
            </w:r>
          </w:p>
        </w:tc>
        <w:tc>
          <w:tcPr>
            <w:tcW w:w="3118" w:type="dxa"/>
          </w:tcPr>
          <w:p>
            <w:pPr>
              <w:pStyle w:val="103"/>
              <w:rPr>
                <w:lang w:eastAsia="ja-JP"/>
              </w:rPr>
            </w:pPr>
            <w:r>
              <w:rPr>
                <w:rFonts w:eastAsia="MS PGothic" w:cs="Arial"/>
              </w:rPr>
              <w:t>RUs allocated</w:t>
            </w:r>
            <w:r>
              <w:rPr>
                <w:rFonts w:eastAsia="MS PGothic" w:cs="Arial"/>
                <w:lang w:eastAsia="ja-JP"/>
              </w:rPr>
              <w:t xml:space="preserve"> a</w:t>
            </w:r>
            <w:r>
              <w:rPr>
                <w:rFonts w:eastAsia="MS PGothic" w:cs="Arial"/>
              </w:rPr>
              <w:t>ccording to Reference Measurement channel in Annex A.2</w:t>
            </w:r>
          </w:p>
        </w:tc>
        <w:tc>
          <w:tcPr>
            <w:tcW w:w="2552" w:type="dxa"/>
          </w:tcPr>
          <w:p>
            <w:pPr>
              <w:pStyle w:val="103"/>
            </w:pPr>
            <w:r>
              <w:t>Mapping rule is specified in TS 36.211 [</w:t>
            </w:r>
            <w:r>
              <w:rPr>
                <w:rFonts w:hint="eastAsia" w:eastAsia="宋体"/>
                <w:lang w:val="en-US" w:eastAsia="zh-CN"/>
              </w:rPr>
              <w:t>3</w:t>
            </w:r>
            <w:r>
              <w:t xml:space="preserve">] Section </w:t>
            </w:r>
            <w:r>
              <w:rPr>
                <w:lang w:eastAsia="ja-JP"/>
              </w:rPr>
              <w:t>10.1.3</w:t>
            </w:r>
          </w:p>
        </w:tc>
      </w:tr>
    </w:tbl>
    <w:p/>
    <w:p>
      <w:pPr>
        <w:pStyle w:val="3"/>
      </w:pPr>
      <w:bookmarkStart w:id="1284" w:name="_Toc232582216"/>
      <w:bookmarkStart w:id="1285" w:name="_Toc29560"/>
      <w:r>
        <w:t>H.2</w:t>
      </w:r>
      <w:r>
        <w:tab/>
      </w:r>
      <w:r>
        <w:t>Set-up</w:t>
      </w:r>
      <w:bookmarkEnd w:id="1284"/>
      <w:bookmarkEnd w:id="1285"/>
    </w:p>
    <w:p>
      <w:pPr>
        <w:rPr>
          <w:rFonts w:cs="v5.0.0"/>
        </w:rPr>
      </w:pPr>
      <w:r>
        <w:rPr>
          <w:rFonts w:cs="v5.0.0"/>
        </w:rPr>
        <w:t>Table H.2-1 describes the uplink physical channels that are required for connection set up.</w:t>
      </w:r>
    </w:p>
    <w:p>
      <w:pPr>
        <w:pStyle w:val="113"/>
      </w:pPr>
      <w:r>
        <w:t>Table H.2-1: Uplink Physical Channels required for 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lang w:eastAsia="zh-CN"/>
              </w:rPr>
            </w:pPr>
            <w:r>
              <w:rPr>
                <w:lang w:eastAsia="zh-CN"/>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520" w:type="dxa"/>
            <w:tcBorders>
              <w:top w:val="nil"/>
            </w:tcBorders>
          </w:tcPr>
          <w:p>
            <w:pPr>
              <w:pStyle w:val="103"/>
              <w:ind w:firstLine="822"/>
              <w:rPr>
                <w:rFonts w:cs="v5.0.0"/>
              </w:rPr>
            </w:pPr>
            <w:r>
              <w:rPr>
                <w:rFonts w:cs="v5.0.0"/>
              </w:rPr>
              <w:t>PRACH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rPr>
            </w:pPr>
            <w:r>
              <w:rPr>
                <w:rFonts w:cs="v5.0.0"/>
                <w:snapToGrid w:val="0"/>
              </w:rPr>
              <w:t>DMRS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PUCCH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PUSCH</w:t>
            </w:r>
          </w:p>
        </w:tc>
      </w:tr>
    </w:tbl>
    <w:p/>
    <w:p>
      <w:pPr>
        <w:pStyle w:val="4"/>
      </w:pPr>
      <w:bookmarkStart w:id="1286" w:name="_Toc13425"/>
      <w:r>
        <w:t>H.2.1</w:t>
      </w:r>
      <w:r>
        <w:tab/>
      </w:r>
      <w:r>
        <w:t>Set-up for NB1</w:t>
      </w:r>
      <w:bookmarkEnd w:id="1286"/>
    </w:p>
    <w:p>
      <w:pPr>
        <w:rPr>
          <w:rFonts w:cs="v5.0.0"/>
        </w:rPr>
      </w:pPr>
      <w:r>
        <w:rPr>
          <w:rFonts w:cs="v5.0.0"/>
        </w:rPr>
        <w:t>Table H.2.1-1 describes the uplink physical channels that are required for connection set up.</w:t>
      </w:r>
    </w:p>
    <w:p>
      <w:pPr>
        <w:pStyle w:val="113"/>
      </w:pPr>
      <w:r>
        <w:t>Table H.2.1-1: Uplink Physical Channels required for connection set-up</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single" w:color="auto" w:sz="4" w:space="0"/>
              <w:left w:val="single" w:color="auto" w:sz="4" w:space="0"/>
              <w:bottom w:val="single" w:color="auto" w:sz="4" w:space="0"/>
              <w:right w:val="single" w:color="auto" w:sz="4" w:space="0"/>
            </w:tcBorders>
          </w:tcPr>
          <w:p>
            <w:pPr>
              <w:pStyle w:val="104"/>
              <w:rPr>
                <w:lang w:eastAsia="zh-CN"/>
              </w:rPr>
            </w:pPr>
            <w:r>
              <w:rPr>
                <w:lang w:eastAsia="zh-CN"/>
              </w:rPr>
              <w:t>Physical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Borders>
              <w:top w:val="nil"/>
            </w:tcBorders>
          </w:tcPr>
          <w:p>
            <w:pPr>
              <w:pStyle w:val="103"/>
              <w:ind w:firstLine="822"/>
              <w:rPr>
                <w:rFonts w:cs="v5.0.0"/>
              </w:rPr>
            </w:pPr>
            <w:r>
              <w:rPr>
                <w:rFonts w:cs="v5.0.0"/>
              </w:rPr>
              <w:t>NPRACH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2520" w:type="dxa"/>
          </w:tcPr>
          <w:p>
            <w:pPr>
              <w:pStyle w:val="103"/>
              <w:ind w:firstLine="822"/>
              <w:rPr>
                <w:rFonts w:cs="v5.0.0"/>
                <w:snapToGrid w:val="0"/>
              </w:rPr>
            </w:pPr>
            <w:r>
              <w:rPr>
                <w:rFonts w:cs="v5.0.0"/>
                <w:snapToGrid w:val="0"/>
              </w:rPr>
              <w:t>NPUSCH</w:t>
            </w:r>
          </w:p>
        </w:tc>
      </w:tr>
    </w:tbl>
    <w:p/>
    <w:p>
      <w:pPr>
        <w:pStyle w:val="3"/>
      </w:pPr>
      <w:bookmarkStart w:id="1287" w:name="_Toc23547"/>
      <w:bookmarkStart w:id="1288" w:name="_Toc232582217"/>
      <w:r>
        <w:t>H.3</w:t>
      </w:r>
      <w:r>
        <w:tab/>
      </w:r>
      <w:r>
        <w:t>Connection</w:t>
      </w:r>
      <w:bookmarkEnd w:id="1287"/>
      <w:bookmarkEnd w:id="1288"/>
    </w:p>
    <w:p>
      <w:pPr>
        <w:rPr>
          <w:rFonts w:cs="v5.0.0"/>
        </w:rPr>
      </w:pPr>
      <w:r>
        <w:rPr>
          <w:rFonts w:cs="v5.0.0"/>
        </w:rPr>
        <w:t>The following clauses describes the uplink physical channels that are transmitted during a connection i.e., when measurements are done.</w:t>
      </w:r>
    </w:p>
    <w:p>
      <w:pPr>
        <w:pStyle w:val="4"/>
      </w:pPr>
      <w:bookmarkStart w:id="1289" w:name="_Toc232582218"/>
      <w:bookmarkStart w:id="1290" w:name="_Toc13546"/>
      <w:r>
        <w:t>H.3.0</w:t>
      </w:r>
      <w:r>
        <w:tab/>
      </w:r>
      <w:r>
        <w:t>Measurement of Transmitter Characteristics</w:t>
      </w:r>
      <w:bookmarkEnd w:id="1289"/>
      <w:bookmarkEnd w:id="1290"/>
    </w:p>
    <w:p>
      <w:pPr>
        <w:rPr>
          <w:rFonts w:eastAsia="宋体"/>
        </w:rPr>
      </w:pPr>
      <w:r>
        <w:rPr>
          <w:rFonts w:eastAsia="宋体"/>
        </w:rPr>
        <w:t>As specified in the test case. Otherwise:</w:t>
      </w:r>
    </w:p>
    <w:p>
      <w:pPr>
        <w:pStyle w:val="111"/>
        <w:rPr>
          <w:rFonts w:eastAsia="宋体"/>
        </w:rPr>
      </w:pPr>
      <w:r>
        <w:rPr>
          <w:rFonts w:eastAsia="宋体"/>
        </w:rPr>
        <w:t>-</w:t>
      </w:r>
      <w:r>
        <w:rPr>
          <w:rFonts w:eastAsia="宋体"/>
        </w:rPr>
        <w:tab/>
      </w:r>
      <w:r>
        <w:rPr>
          <w:rFonts w:eastAsia="宋体"/>
        </w:rPr>
        <w:t>PUSCH + DMRS for PUSCH (and DMRS) measurements.</w:t>
      </w:r>
    </w:p>
    <w:p>
      <w:pPr>
        <w:pStyle w:val="111"/>
        <w:rPr>
          <w:rFonts w:eastAsia="宋体"/>
        </w:rPr>
      </w:pPr>
      <w:r>
        <w:rPr>
          <w:rFonts w:eastAsia="宋体"/>
        </w:rPr>
        <w:t>-</w:t>
      </w:r>
      <w:r>
        <w:rPr>
          <w:rFonts w:eastAsia="宋体"/>
        </w:rPr>
        <w:tab/>
      </w:r>
      <w:r>
        <w:rPr>
          <w:rFonts w:eastAsia="宋体"/>
        </w:rPr>
        <w:t>PUCCH + DMRS for PUCCH (and DMRS) measurements.</w:t>
      </w:r>
    </w:p>
    <w:p>
      <w:pPr>
        <w:pStyle w:val="111"/>
        <w:rPr>
          <w:rFonts w:eastAsia="宋体"/>
        </w:rPr>
      </w:pPr>
      <w:r>
        <w:rPr>
          <w:rFonts w:eastAsia="宋体"/>
        </w:rPr>
        <w:t>-</w:t>
      </w:r>
      <w:r>
        <w:rPr>
          <w:rFonts w:eastAsia="宋体"/>
        </w:rPr>
        <w:tab/>
      </w:r>
      <w:r>
        <w:rPr>
          <w:rFonts w:eastAsia="宋体"/>
        </w:rPr>
        <w:t>PRACH for PRACH measurements.</w:t>
      </w:r>
    </w:p>
    <w:p>
      <w:pPr>
        <w:pStyle w:val="111"/>
        <w:rPr>
          <w:rFonts w:eastAsia="宋体"/>
        </w:rPr>
      </w:pPr>
      <w:r>
        <w:rPr>
          <w:rFonts w:eastAsia="宋体"/>
        </w:rPr>
        <w:t>-</w:t>
      </w:r>
      <w:r>
        <w:rPr>
          <w:rFonts w:eastAsia="宋体"/>
        </w:rPr>
        <w:tab/>
      </w:r>
      <w:r>
        <w:rPr>
          <w:rFonts w:eastAsia="宋体"/>
        </w:rPr>
        <w:t>SRS for SRS measurements.</w:t>
      </w:r>
    </w:p>
    <w:p>
      <w:pPr>
        <w:pStyle w:val="4"/>
      </w:pPr>
      <w:bookmarkStart w:id="1291" w:name="_Toc20140"/>
      <w:bookmarkStart w:id="1292" w:name="_Toc232582219"/>
      <w:r>
        <w:t>H.3.1</w:t>
      </w:r>
      <w:r>
        <w:tab/>
      </w:r>
      <w:r>
        <w:t>Measurement of Receiver Characteristics</w:t>
      </w:r>
      <w:bookmarkEnd w:id="1291"/>
      <w:bookmarkEnd w:id="1292"/>
    </w:p>
    <w:p>
      <w:pPr>
        <w:rPr>
          <w:rFonts w:eastAsia="宋体"/>
        </w:rPr>
      </w:pPr>
      <w:r>
        <w:rPr>
          <w:rFonts w:eastAsia="宋体"/>
        </w:rPr>
        <w:t>As specified in the test case. Otherwise:</w:t>
      </w:r>
    </w:p>
    <w:p>
      <w:pPr>
        <w:numPr>
          <w:ilvl w:val="0"/>
          <w:numId w:val="14"/>
        </w:numPr>
        <w:rPr>
          <w:rFonts w:eastAsia="宋体"/>
        </w:rPr>
      </w:pPr>
      <w:r>
        <w:rPr>
          <w:rFonts w:eastAsia="宋体"/>
        </w:rPr>
        <w:t>PUSCH + DMRS for measurements with uplink interference configured.</w:t>
      </w:r>
    </w:p>
    <w:p>
      <w:pPr>
        <w:numPr>
          <w:ilvl w:val="0"/>
          <w:numId w:val="14"/>
        </w:numPr>
        <w:rPr>
          <w:rFonts w:eastAsia="宋体"/>
        </w:rPr>
      </w:pPr>
      <w:r>
        <w:rPr>
          <w:rFonts w:eastAsia="宋体"/>
        </w:rPr>
        <w:t>PUCCH + DMRS for measurements without uplink interference configured.</w:t>
      </w:r>
    </w:p>
    <w:p>
      <w:pPr>
        <w:pStyle w:val="4"/>
      </w:pPr>
      <w:bookmarkStart w:id="1293" w:name="_Toc6696"/>
      <w:bookmarkStart w:id="1294" w:name="_Toc232582220"/>
      <w:r>
        <w:t>H.3.2</w:t>
      </w:r>
      <w:r>
        <w:tab/>
      </w:r>
      <w:r>
        <w:t>Measurement of Performance Requirements</w:t>
      </w:r>
      <w:bookmarkEnd w:id="1293"/>
      <w:bookmarkEnd w:id="1294"/>
    </w:p>
    <w:p>
      <w:pPr>
        <w:rPr>
          <w:rFonts w:eastAsia="宋体"/>
        </w:rPr>
      </w:pPr>
      <w:r>
        <w:rPr>
          <w:rFonts w:eastAsia="宋体"/>
        </w:rPr>
        <w:t>As specified in the test case. Otherwise:</w:t>
      </w:r>
    </w:p>
    <w:p>
      <w:pPr>
        <w:numPr>
          <w:ilvl w:val="0"/>
          <w:numId w:val="14"/>
        </w:numPr>
        <w:rPr>
          <w:rFonts w:eastAsia="宋体"/>
        </w:rPr>
      </w:pPr>
      <w:r>
        <w:rPr>
          <w:rFonts w:eastAsia="宋体"/>
        </w:rPr>
        <w:t>PUCCH + DMRS for measurements without CSI feedback, or with CSI feedback in PUCCH mode.</w:t>
      </w:r>
    </w:p>
    <w:p>
      <w:pPr>
        <w:numPr>
          <w:ilvl w:val="0"/>
          <w:numId w:val="14"/>
        </w:numPr>
        <w:rPr>
          <w:rFonts w:eastAsia="宋体"/>
        </w:rPr>
      </w:pPr>
      <w:r>
        <w:rPr>
          <w:rFonts w:eastAsia="宋体"/>
        </w:rPr>
        <w:t>PUSCH + DMRS for measurements with CSI feedback in PUSCH mode.</w:t>
      </w:r>
    </w:p>
    <w:p>
      <w:pPr>
        <w:pStyle w:val="3"/>
      </w:pPr>
      <w:bookmarkStart w:id="1295" w:name="_Toc6683"/>
      <w:r>
        <w:t>H.4</w:t>
      </w:r>
      <w:r>
        <w:tab/>
      </w:r>
      <w:r>
        <w:t>Connection for NB1</w:t>
      </w:r>
      <w:bookmarkEnd w:id="1295"/>
    </w:p>
    <w:p>
      <w:pPr>
        <w:rPr>
          <w:rFonts w:cs="v5.0.0"/>
        </w:rPr>
      </w:pPr>
      <w:r>
        <w:rPr>
          <w:rFonts w:cs="v5.0.0"/>
        </w:rPr>
        <w:t>The following clauses describes the uplink physical channels that are transmitted during a connection i.e., when measurements are done.</w:t>
      </w:r>
    </w:p>
    <w:p>
      <w:pPr>
        <w:pStyle w:val="4"/>
      </w:pPr>
      <w:bookmarkStart w:id="1296" w:name="_Toc11520"/>
      <w:r>
        <w:t>H.4.0</w:t>
      </w:r>
      <w:r>
        <w:tab/>
      </w:r>
      <w:r>
        <w:t>Measurement of Transmitter Characteristics</w:t>
      </w:r>
      <w:bookmarkEnd w:id="1296"/>
    </w:p>
    <w:p>
      <w:pPr>
        <w:rPr>
          <w:rFonts w:eastAsia="宋体"/>
        </w:rPr>
      </w:pPr>
      <w:r>
        <w:rPr>
          <w:rFonts w:eastAsia="宋体"/>
        </w:rPr>
        <w:t>As specified in the test case. Otherwise:</w:t>
      </w:r>
    </w:p>
    <w:p>
      <w:pPr>
        <w:pStyle w:val="111"/>
        <w:rPr>
          <w:rFonts w:eastAsia="宋体"/>
        </w:rPr>
      </w:pPr>
      <w:r>
        <w:rPr>
          <w:rFonts w:eastAsia="宋体"/>
        </w:rPr>
        <w:t>-</w:t>
      </w:r>
      <w:r>
        <w:rPr>
          <w:rFonts w:eastAsia="宋体"/>
        </w:rPr>
        <w:tab/>
      </w:r>
      <w:r>
        <w:rPr>
          <w:rFonts w:eastAsia="宋体"/>
        </w:rPr>
        <w:t>NPUSCH for measurements.</w:t>
      </w:r>
    </w:p>
    <w:p>
      <w:pPr>
        <w:pStyle w:val="111"/>
        <w:rPr>
          <w:rFonts w:eastAsia="宋体"/>
        </w:rPr>
      </w:pPr>
      <w:r>
        <w:rPr>
          <w:rFonts w:eastAsia="宋体"/>
        </w:rPr>
        <w:t>-</w:t>
      </w:r>
      <w:r>
        <w:rPr>
          <w:rFonts w:eastAsia="宋体"/>
        </w:rPr>
        <w:tab/>
      </w:r>
      <w:r>
        <w:rPr>
          <w:rFonts w:eastAsia="宋体"/>
        </w:rPr>
        <w:t>NPRACH for PRACH measurements.</w:t>
      </w:r>
    </w:p>
    <w:p>
      <w:pPr>
        <w:pStyle w:val="4"/>
      </w:pPr>
      <w:bookmarkStart w:id="1297" w:name="_Toc20036"/>
      <w:r>
        <w:t>H.4.1</w:t>
      </w:r>
      <w:r>
        <w:tab/>
      </w:r>
      <w:r>
        <w:t>Measurement of Receiver Characteristics</w:t>
      </w:r>
      <w:bookmarkEnd w:id="1297"/>
    </w:p>
    <w:p>
      <w:pPr>
        <w:rPr>
          <w:rFonts w:eastAsia="宋体"/>
        </w:rPr>
      </w:pPr>
      <w:r>
        <w:rPr>
          <w:rFonts w:eastAsia="宋体"/>
        </w:rPr>
        <w:t>As specified in the test case. Otherwise:</w:t>
      </w:r>
    </w:p>
    <w:p>
      <w:pPr>
        <w:numPr>
          <w:ilvl w:val="0"/>
          <w:numId w:val="14"/>
        </w:numPr>
        <w:rPr>
          <w:rFonts w:eastAsia="宋体"/>
        </w:rPr>
      </w:pPr>
      <w:r>
        <w:rPr>
          <w:rFonts w:eastAsia="宋体"/>
        </w:rPr>
        <w:t>NPUSCH (format 2) for measurements.</w:t>
      </w:r>
    </w:p>
    <w:p>
      <w:pPr>
        <w:pStyle w:val="4"/>
      </w:pPr>
      <w:bookmarkStart w:id="1298" w:name="_Toc26126"/>
      <w:r>
        <w:t>H.4.2</w:t>
      </w:r>
      <w:r>
        <w:tab/>
      </w:r>
      <w:r>
        <w:t>Measurement of Performance Requirements</w:t>
      </w:r>
      <w:bookmarkEnd w:id="1298"/>
    </w:p>
    <w:p>
      <w:pPr>
        <w:rPr>
          <w:rFonts w:eastAsia="宋体"/>
        </w:rPr>
      </w:pPr>
      <w:r>
        <w:rPr>
          <w:rFonts w:eastAsia="宋体"/>
        </w:rPr>
        <w:t>As specified in the test case. Otherwise:</w:t>
      </w:r>
    </w:p>
    <w:p>
      <w:pPr>
        <w:numPr>
          <w:ilvl w:val="0"/>
          <w:numId w:val="14"/>
        </w:numPr>
        <w:rPr>
          <w:rFonts w:eastAsia="宋体"/>
        </w:rPr>
      </w:pPr>
      <w:r>
        <w:rPr>
          <w:rFonts w:eastAsia="宋体"/>
        </w:rPr>
        <w:t>NPUSCH (format 2) for measurements.</w:t>
      </w:r>
    </w:p>
    <w:p>
      <w:pPr>
        <w:pStyle w:val="11"/>
        <w:rPr>
          <w:rFonts w:eastAsia="宋体"/>
          <w:lang w:val="en-US" w:eastAsia="zh-CN"/>
        </w:rPr>
      </w:pPr>
      <w:r>
        <w:br w:type="page"/>
      </w:r>
      <w:bookmarkStart w:id="1299" w:name="_Toc20384"/>
      <w:r>
        <w:t>Annex I (</w:t>
      </w:r>
      <w:r>
        <w:rPr>
          <w:rFonts w:hint="eastAsia" w:eastAsia="宋体"/>
          <w:lang w:val="en-US" w:eastAsia="zh-CN"/>
        </w:rPr>
        <w:t>reserved</w:t>
      </w:r>
      <w:r>
        <w:t>):</w:t>
      </w:r>
      <w:bookmarkEnd w:id="1299"/>
    </w:p>
    <w:p/>
    <w:p>
      <w:pPr>
        <w:pStyle w:val="11"/>
        <w:rPr>
          <w:rFonts w:eastAsia="MS Mincho"/>
        </w:rPr>
      </w:pPr>
      <w:bookmarkStart w:id="1300" w:name="_Toc21769"/>
      <w:r>
        <w:rPr>
          <w:rFonts w:hint="eastAsia" w:eastAsia="宋体"/>
          <w:lang w:val="en-US" w:eastAsia="zh-CN"/>
        </w:rPr>
        <w:t>A</w:t>
      </w:r>
      <w:r>
        <w:t>nnex J (</w:t>
      </w:r>
      <w:r>
        <w:rPr>
          <w:rFonts w:hint="eastAsia" w:eastAsia="宋体"/>
          <w:lang w:val="en-US" w:eastAsia="zh-CN"/>
        </w:rPr>
        <w:t>reserved</w:t>
      </w:r>
      <w:r>
        <w:t>):</w:t>
      </w:r>
      <w:r>
        <w:br w:type="textWrapping"/>
      </w:r>
      <w:bookmarkEnd w:id="1300"/>
    </w:p>
    <w:p>
      <w:pPr>
        <w:pStyle w:val="11"/>
        <w:rPr>
          <w:rFonts w:eastAsia="MS Mincho"/>
        </w:rPr>
      </w:pPr>
      <w:bookmarkStart w:id="1301" w:name="_Toc16291"/>
      <w:r>
        <w:t>Annex K (normative):</w:t>
      </w:r>
      <w:r>
        <w:br w:type="textWrapping"/>
      </w:r>
      <w:r>
        <w:t>NB-IoT Test Frequencies</w:t>
      </w:r>
      <w:bookmarkEnd w:id="1301"/>
    </w:p>
    <w:p>
      <w:pPr>
        <w:pStyle w:val="3"/>
      </w:pPr>
      <w:bookmarkStart w:id="1302" w:name="_Toc3014"/>
      <w:r>
        <w:rPr>
          <w:rFonts w:eastAsia="MS Mincho"/>
        </w:rPr>
        <w:t>K</w:t>
      </w:r>
      <w:r>
        <w:t>.1</w:t>
      </w:r>
      <w:r>
        <w:tab/>
      </w:r>
      <w:r>
        <w:t>NB-IoT Test frequencies for TRx Tests</w:t>
      </w:r>
      <w:bookmarkEnd w:id="1302"/>
    </w:p>
    <w:p>
      <w:r>
        <w:t>Testing frequencies for all NB-IoT TRx test cases (sections 6 and 7 in TS 36.521-</w:t>
      </w:r>
      <w:r>
        <w:rPr>
          <w:rFonts w:hint="eastAsia" w:eastAsia="宋体"/>
          <w:lang w:val="en-US" w:eastAsia="zh-CN"/>
        </w:rPr>
        <w:t>4</w:t>
      </w:r>
      <w:r>
        <w:t>) should be selected across the bands UE supports from any of the following subclauses indicated by each test case.</w:t>
      </w:r>
    </w:p>
    <w:p>
      <w:r>
        <w:t>For transmitter test cases (section 6 in TS 36.521-</w:t>
      </w:r>
      <w:r>
        <w:rPr>
          <w:rFonts w:hint="eastAsia" w:eastAsia="宋体"/>
          <w:lang w:val="en-US" w:eastAsia="zh-CN"/>
        </w:rPr>
        <w:t>4</w:t>
      </w:r>
      <w:r>
        <w:t>), UL frequencies should be considered on the test frequency selection algorithm described above, while DL frequencies should be used for receiver test cases (section 7 in TS 36.521-</w:t>
      </w:r>
      <w:r>
        <w:rPr>
          <w:rFonts w:hint="eastAsia" w:eastAsia="宋体"/>
          <w:lang w:val="en-US" w:eastAsia="zh-CN"/>
        </w:rPr>
        <w:t>4</w:t>
      </w:r>
      <w:r>
        <w:t>).</w:t>
      </w:r>
    </w:p>
    <w:p>
      <w:r>
        <w:t>Refer to TS 36.508 [</w:t>
      </w:r>
      <w:r>
        <w:rPr>
          <w:rFonts w:hint="eastAsia" w:eastAsia="宋体"/>
          <w:lang w:val="en-US" w:eastAsia="zh-CN"/>
        </w:rPr>
        <w:t>12</w:t>
      </w:r>
      <w:r>
        <w:t>] section 8.1.3.1 for testing frequencies associated to each frequency band and each operation mode.</w:t>
      </w:r>
    </w:p>
    <w:p>
      <w:pPr>
        <w:pStyle w:val="4"/>
      </w:pPr>
      <w:bookmarkStart w:id="1303" w:name="_Toc20021"/>
      <w:r>
        <w:t>K.1.1</w:t>
      </w:r>
      <w:r>
        <w:tab/>
      </w:r>
      <w:r>
        <w:t>Test frequencies selection criteria 1</w:t>
      </w:r>
      <w:bookmarkEnd w:id="1303"/>
    </w:p>
    <w:p>
      <w:r>
        <w:t>Among all frequency bands ranges above 1GHz supported by the UE, testing points are defined as:</w:t>
      </w:r>
    </w:p>
    <w:p>
      <w:pPr>
        <w:pStyle w:val="111"/>
      </w:pPr>
      <w:r>
        <w:t>-</w:t>
      </w:r>
      <w:r>
        <w:tab/>
      </w:r>
      <w:r>
        <w:t>@ low range of the lowest supported band</w:t>
      </w:r>
    </w:p>
    <w:p>
      <w:pPr>
        <w:pStyle w:val="111"/>
      </w:pPr>
      <w:r>
        <w:t>-</w:t>
      </w:r>
      <w:r>
        <w:tab/>
      </w:r>
      <w:r>
        <w:t>@ high range of the highest supported band</w:t>
      </w:r>
    </w:p>
    <w:p>
      <w:pPr>
        <w:pStyle w:val="4"/>
      </w:pPr>
      <w:bookmarkStart w:id="1304" w:name="_Toc29268"/>
      <w:r>
        <w:t>K.1.2</w:t>
      </w:r>
      <w:r>
        <w:tab/>
      </w:r>
      <w:r>
        <w:t>Test frequencies selection criteria 2</w:t>
      </w:r>
      <w:bookmarkEnd w:id="1304"/>
    </w:p>
    <w:p>
      <w:r>
        <w:t>Among all frequency bands ranges above 1GHz supported by the UE, testing points are defined as:</w:t>
      </w:r>
    </w:p>
    <w:p>
      <w:pPr>
        <w:pStyle w:val="111"/>
      </w:pPr>
      <w:r>
        <w:t>-</w:t>
      </w:r>
      <w:r>
        <w:tab/>
      </w:r>
      <w:r>
        <w:t>@ low range of the lowest supported band</w:t>
      </w:r>
    </w:p>
    <w:p>
      <w:pPr>
        <w:pStyle w:val="111"/>
      </w:pPr>
      <w:r>
        <w:t>-</w:t>
      </w:r>
      <w:r>
        <w:tab/>
      </w:r>
      <w:r>
        <w:t>@ high range of the highest supported band</w:t>
      </w:r>
    </w:p>
    <w:p>
      <w:pPr>
        <w:pStyle w:val="111"/>
      </w:pPr>
      <w:r>
        <w:t>-</w:t>
      </w:r>
      <w:r>
        <w:tab/>
      </w:r>
      <w:r>
        <w:t>All mid range of all supported mid bands (supported bands between lowest supported band and highest supported band above 1GHz)</w:t>
      </w:r>
    </w:p>
    <w:p>
      <w:pPr>
        <w:pStyle w:val="4"/>
      </w:pPr>
      <w:bookmarkStart w:id="1305" w:name="_Toc25575"/>
      <w:r>
        <w:t>K.1.3</w:t>
      </w:r>
      <w:r>
        <w:tab/>
      </w:r>
      <w:r>
        <w:t>Test frequencies selection criteria 3</w:t>
      </w:r>
      <w:bookmarkEnd w:id="1305"/>
    </w:p>
    <w:p>
      <w:r>
        <w:t>Among all frequency bands ranges supported by the UE, testing points are defined as:</w:t>
      </w:r>
    </w:p>
    <w:p>
      <w:pPr>
        <w:pStyle w:val="111"/>
      </w:pPr>
      <w:r>
        <w:t>-</w:t>
      </w:r>
      <w:r>
        <w:tab/>
      </w:r>
      <w:r>
        <w:t>@ low range of each supported band</w:t>
      </w:r>
    </w:p>
    <w:p>
      <w:pPr>
        <w:pStyle w:val="111"/>
      </w:pPr>
      <w:r>
        <w:t>-</w:t>
      </w:r>
      <w:r>
        <w:tab/>
      </w:r>
      <w:r>
        <w:t>@ high range of each supported band</w:t>
      </w:r>
    </w:p>
    <w:p>
      <w:pPr>
        <w:pStyle w:val="3"/>
      </w:pPr>
      <w:bookmarkStart w:id="1306" w:name="_Toc21705"/>
      <w:r>
        <w:rPr>
          <w:rFonts w:eastAsia="MS Mincho"/>
        </w:rPr>
        <w:t>K</w:t>
      </w:r>
      <w:r>
        <w:t>.2</w:t>
      </w:r>
      <w:r>
        <w:tab/>
      </w:r>
      <w:r>
        <w:t>NB-IoT Test frequencies for Demodulation Tests</w:t>
      </w:r>
      <w:bookmarkEnd w:id="1306"/>
    </w:p>
    <w:p>
      <w:r>
        <w:t>Testing frequencies for all NB-IOT demodulation (Section 8 in TS 36.521-</w:t>
      </w:r>
      <w:r>
        <w:rPr>
          <w:rFonts w:hint="eastAsia" w:eastAsia="宋体"/>
          <w:lang w:val="en-US" w:eastAsia="zh-CN"/>
        </w:rPr>
        <w:t>4</w:t>
      </w:r>
      <w:r>
        <w:t>) should be selected across the bands UE supports from any of the following subclauses indicated by each test case.</w:t>
      </w:r>
    </w:p>
    <w:p>
      <w:r>
        <w:t>For NB-IOT demodulation (section 8 in TS 36.521-</w:t>
      </w:r>
      <w:r>
        <w:rPr>
          <w:rFonts w:hint="eastAsia" w:eastAsia="宋体"/>
          <w:lang w:val="en-US" w:eastAsia="zh-CN"/>
        </w:rPr>
        <w:t>4</w:t>
      </w:r>
      <w:r>
        <w:t>) DL frequencies should be used from the frequency selection algorithm described below.</w:t>
      </w:r>
    </w:p>
    <w:p>
      <w:r>
        <w:t>Refer to section 8.1.3.1 in TS 36.508 [</w:t>
      </w:r>
      <w:r>
        <w:rPr>
          <w:rFonts w:hint="eastAsia" w:eastAsia="宋体"/>
          <w:lang w:val="en-US" w:eastAsia="zh-CN"/>
        </w:rPr>
        <w:t>12</w:t>
      </w:r>
      <w:r>
        <w:t>] for testing frequencies associated to each frequency band and each operation mode.</w:t>
      </w:r>
    </w:p>
    <w:p>
      <w:pPr>
        <w:pStyle w:val="5"/>
      </w:pPr>
      <w:bookmarkStart w:id="1307" w:name="_Toc21245"/>
      <w:r>
        <w:t>K.2.1</w:t>
      </w:r>
      <w:r>
        <w:tab/>
      </w:r>
      <w:r>
        <w:t>Test frequencies selection criteria 1</w:t>
      </w:r>
      <w:bookmarkEnd w:id="1307"/>
    </w:p>
    <w:p>
      <w:r>
        <w:t>Among all frequency bands ranges supported by the UE, testing points are defined as:</w:t>
      </w:r>
    </w:p>
    <w:p>
      <w:pPr>
        <w:pStyle w:val="111"/>
      </w:pPr>
      <w:r>
        <w:t>-</w:t>
      </w:r>
      <w:r>
        <w:tab/>
      </w:r>
      <w:r>
        <w:t>@ mid range of any one of the NB1 and NB2 UE supported band</w:t>
      </w:r>
    </w:p>
    <w:p>
      <w:pPr>
        <w:pStyle w:val="11"/>
      </w:pPr>
      <w:bookmarkStart w:id="1308" w:name="_Toc16580"/>
      <w:r>
        <w:t xml:space="preserve">Annex </w:t>
      </w:r>
      <w:r>
        <w:rPr>
          <w:rFonts w:hint="eastAsia" w:eastAsia="宋体"/>
          <w:lang w:val="en-US" w:eastAsia="zh-CN"/>
        </w:rPr>
        <w:t>L</w:t>
      </w:r>
      <w:r>
        <w:t xml:space="preserve"> (informative):</w:t>
      </w:r>
      <w:bookmarkEnd w:id="1068"/>
      <w:bookmarkEnd w:id="1069"/>
      <w:r>
        <w:t xml:space="preserve"> </w:t>
      </w:r>
      <w:bookmarkStart w:id="1309" w:name="historyclause"/>
      <w:r>
        <w:t>Change history</w:t>
      </w:r>
      <w:bookmarkEnd w:id="1070"/>
      <w:bookmarkEnd w:id="1071"/>
      <w:bookmarkEnd w:id="1072"/>
      <w:bookmarkEnd w:id="1308"/>
      <w:bookmarkEnd w:id="1309"/>
    </w:p>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4"/>
              <w:rPr>
                <w:sz w:val="16"/>
              </w:rPr>
            </w:pPr>
            <w: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4"/>
              <w:rPr>
                <w:sz w:val="16"/>
                <w:szCs w:val="16"/>
              </w:rPr>
            </w:pPr>
            <w:r>
              <w:rPr>
                <w:sz w:val="16"/>
                <w:szCs w:val="16"/>
              </w:rPr>
              <w:t>Date</w:t>
            </w:r>
          </w:p>
        </w:tc>
        <w:tc>
          <w:tcPr>
            <w:tcW w:w="901" w:type="dxa"/>
            <w:shd w:val="pct10" w:color="auto" w:fill="FFFFFF"/>
          </w:tcPr>
          <w:p>
            <w:pPr>
              <w:pStyle w:val="104"/>
              <w:rPr>
                <w:sz w:val="16"/>
                <w:szCs w:val="16"/>
              </w:rPr>
            </w:pPr>
            <w:r>
              <w:rPr>
                <w:sz w:val="16"/>
                <w:szCs w:val="16"/>
              </w:rPr>
              <w:t>Meeting</w:t>
            </w:r>
          </w:p>
        </w:tc>
        <w:tc>
          <w:tcPr>
            <w:tcW w:w="1134" w:type="dxa"/>
            <w:shd w:val="pct10" w:color="auto" w:fill="FFFFFF"/>
          </w:tcPr>
          <w:p>
            <w:pPr>
              <w:pStyle w:val="104"/>
              <w:rPr>
                <w:sz w:val="16"/>
                <w:szCs w:val="16"/>
              </w:rPr>
            </w:pPr>
            <w:r>
              <w:rPr>
                <w:sz w:val="16"/>
                <w:szCs w:val="16"/>
              </w:rPr>
              <w:t>TDoc</w:t>
            </w:r>
          </w:p>
        </w:tc>
        <w:tc>
          <w:tcPr>
            <w:tcW w:w="567" w:type="dxa"/>
            <w:shd w:val="pct10" w:color="auto" w:fill="FFFFFF"/>
          </w:tcPr>
          <w:p>
            <w:pPr>
              <w:pStyle w:val="104"/>
              <w:rPr>
                <w:sz w:val="16"/>
                <w:szCs w:val="16"/>
              </w:rPr>
            </w:pPr>
            <w:r>
              <w:rPr>
                <w:sz w:val="16"/>
                <w:szCs w:val="16"/>
              </w:rPr>
              <w:t>CR</w:t>
            </w:r>
          </w:p>
        </w:tc>
        <w:tc>
          <w:tcPr>
            <w:tcW w:w="426" w:type="dxa"/>
            <w:shd w:val="pct10" w:color="auto" w:fill="FFFFFF"/>
          </w:tcPr>
          <w:p>
            <w:pPr>
              <w:pStyle w:val="104"/>
              <w:rPr>
                <w:sz w:val="16"/>
                <w:szCs w:val="16"/>
              </w:rPr>
            </w:pPr>
            <w:r>
              <w:rPr>
                <w:sz w:val="16"/>
                <w:szCs w:val="16"/>
              </w:rPr>
              <w:t>Rev</w:t>
            </w:r>
          </w:p>
        </w:tc>
        <w:tc>
          <w:tcPr>
            <w:tcW w:w="425" w:type="dxa"/>
            <w:shd w:val="pct10" w:color="auto" w:fill="FFFFFF"/>
          </w:tcPr>
          <w:p>
            <w:pPr>
              <w:pStyle w:val="104"/>
              <w:rPr>
                <w:sz w:val="16"/>
                <w:szCs w:val="16"/>
              </w:rPr>
            </w:pPr>
            <w:r>
              <w:rPr>
                <w:sz w:val="16"/>
                <w:szCs w:val="16"/>
              </w:rPr>
              <w:t>Cat</w:t>
            </w:r>
          </w:p>
        </w:tc>
        <w:tc>
          <w:tcPr>
            <w:tcW w:w="4678" w:type="dxa"/>
            <w:shd w:val="pct10" w:color="auto" w:fill="FFFFFF"/>
          </w:tcPr>
          <w:p>
            <w:pPr>
              <w:pStyle w:val="104"/>
              <w:rPr>
                <w:sz w:val="16"/>
                <w:szCs w:val="16"/>
              </w:rPr>
            </w:pPr>
            <w:r>
              <w:rPr>
                <w:sz w:val="16"/>
                <w:szCs w:val="16"/>
              </w:rPr>
              <w:t>Subject/Comment</w:t>
            </w:r>
          </w:p>
        </w:tc>
        <w:tc>
          <w:tcPr>
            <w:tcW w:w="708" w:type="dxa"/>
            <w:shd w:val="pct10" w:color="auto" w:fill="FFFFFF"/>
          </w:tcPr>
          <w:p>
            <w:pPr>
              <w:pStyle w:val="104"/>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eastAsia="zh-TW"/>
              </w:rPr>
            </w:pPr>
            <w:r>
              <w:rPr>
                <w:rFonts w:hint="eastAsia"/>
                <w:sz w:val="16"/>
                <w:szCs w:val="16"/>
                <w:lang w:val="en-US" w:eastAsia="zh-CN"/>
              </w:rPr>
              <w:t>TP to add Foreword and Introduction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1-3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4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R5-230409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TP to add clause 5 to TS 36.521-4</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w:t>
            </w:r>
            <w:r>
              <w:rPr>
                <w:sz w:val="16"/>
                <w:szCs w:val="16"/>
                <w:lang w:val="en-US" w:eastAsia="zh-TW"/>
              </w:rPr>
              <w:t>5</w:t>
            </w:r>
            <w:r>
              <w:rPr>
                <w:sz w:val="16"/>
                <w:szCs w:val="16"/>
                <w:lang w:eastAsia="zh-TW"/>
              </w:rPr>
              <w:t>-2</w:t>
            </w:r>
            <w:r>
              <w:rPr>
                <w:sz w:val="16"/>
                <w:szCs w:val="16"/>
                <w:lang w:val="en-US" w:eastAsia="zh-TW"/>
              </w:rPr>
              <w:t>3</w:t>
            </w:r>
            <w:r>
              <w:rPr>
                <w:rFonts w:hint="eastAsia" w:eastAsia="宋体"/>
                <w:sz w:val="16"/>
                <w:szCs w:val="16"/>
                <w:lang w:val="en-US" w:eastAsia="zh-CN"/>
              </w:rPr>
              <w:t>041</w:t>
            </w:r>
            <w:r>
              <w:rPr>
                <w:rFonts w:eastAsia="宋体"/>
                <w:sz w:val="16"/>
                <w:szCs w:val="16"/>
                <w:lang w:val="en-US" w:eastAsia="zh-CN"/>
              </w:rPr>
              <w:t>0</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Skeleton for TS 36.521-4 v0.1.0</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R5-231824</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Maximum input level for category M1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5</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Maximum input level for category NB1 and NB2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6</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Adjacent Channel Selectivity for category M1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R5-23182</w:t>
            </w:r>
            <w:r>
              <w:rPr>
                <w:sz w:val="16"/>
                <w:szCs w:val="16"/>
                <w:lang w:val="en-US" w:eastAsia="zh-TW"/>
              </w:rPr>
              <w:t>7</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New addition of RX test case of Adjacent Channel Selectivity for category NB1 and NB2 with NTN</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eastAsia="zh-TW"/>
              </w:rPr>
              <w:t>R5-231868</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Adding new test cases for 36.521-4 transmit power of category M1</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3</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98</w:t>
            </w:r>
          </w:p>
        </w:tc>
        <w:tc>
          <w:tcPr>
            <w:tcW w:w="1134" w:type="dxa"/>
            <w:shd w:val="solid" w:color="FFFFFF" w:fill="auto"/>
          </w:tcPr>
          <w:p>
            <w:pPr>
              <w:pStyle w:val="105"/>
              <w:rPr>
                <w:sz w:val="16"/>
                <w:szCs w:val="16"/>
                <w:lang w:val="en-US" w:eastAsia="zh-TW"/>
              </w:rPr>
            </w:pPr>
            <w:r>
              <w:rPr>
                <w:rFonts w:hint="eastAsia"/>
                <w:sz w:val="16"/>
                <w:szCs w:val="16"/>
                <w:lang w:val="en-US" w:eastAsia="zh-TW"/>
              </w:rPr>
              <w:t>R5-231869</w:t>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hint="eastAsia"/>
                <w:sz w:val="16"/>
                <w:szCs w:val="16"/>
                <w:lang w:val="en-US" w:eastAsia="zh-CN"/>
              </w:rPr>
              <w:t>Adding new test cases for 36.521-4 transmit power of category NB1 and NB2</w:t>
            </w:r>
          </w:p>
        </w:tc>
        <w:tc>
          <w:tcPr>
            <w:tcW w:w="708" w:type="dxa"/>
            <w:shd w:val="solid" w:color="FFFFFF" w:fill="auto"/>
          </w:tcPr>
          <w:p>
            <w:pPr>
              <w:pStyle w:val="105"/>
              <w:rPr>
                <w:sz w:val="16"/>
                <w:szCs w:val="16"/>
                <w:lang w:eastAsia="zh-TW"/>
              </w:rPr>
            </w:pPr>
            <w:r>
              <w:rPr>
                <w:rFonts w:hint="eastAsia"/>
                <w:sz w:val="16"/>
                <w:szCs w:val="16"/>
                <w:lang w:eastAsia="zh-TW"/>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"file:///D:\\工作\\项目资料\\2013-2017%20标准化会议\\2017-2019%203GPP标准化\\RAN5\\2018-2023%20RAN5会议\\%2399-2023年5月@Incheon,%20South%20Korea\\CMCC文稿-52篇\\%2336%25（+9%25）-R18%20LTE_IoT_NTN_req-UEConTest%20-%208篇\\Tdoc\\R5-232367.zip" </w:instrText>
            </w:r>
            <w:r>
              <w:fldChar w:fldCharType="separate"/>
            </w:r>
            <w:r>
              <w:rPr>
                <w:rFonts w:cs="Arial"/>
                <w:sz w:val="16"/>
                <w:szCs w:val="16"/>
                <w:lang w:val="en-US"/>
              </w:rPr>
              <w:t>R5-232367</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7.6A.2 In-band blocking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"file:///D:\\工作\\项目资料\\2013-2017%20标准化会议\\2017-2019%203GPP标准化\\RAN5\\2018-2023%20RAN5会议\\%2399-2023年5月@Incheon,%20South%20Korea\\CMCC文稿-52篇\\%2336%25（+9%25）-R18%20LTE_IoT_NTN_req-UEConTest%20-%208篇\\Tdoc\\R5-232368.zip" </w:instrText>
            </w:r>
            <w:r>
              <w:fldChar w:fldCharType="separate"/>
            </w:r>
            <w:r>
              <w:rPr>
                <w:rFonts w:cs="Arial"/>
                <w:sz w:val="16"/>
                <w:szCs w:val="16"/>
                <w:lang w:val="en-US"/>
              </w:rPr>
              <w:t>R5-232368</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7.6B.2 In-band blocking for category NB1 and NB2</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"file:///D:\\工作\\项目资料\\2013-2017%20标准化会议\\2017-2019%203GPP标准化\\RAN5\\2018-2023%20RAN5会议\\%2399-2023年5月@Incheon,%20South%20Korea\\CMCC文稿-52篇\\%2336%25（+9%25）-R18%20LTE_IoT_NTN_req-UEConTest%20-%208篇\\Tdoc\\R5-232369.zip" </w:instrText>
            </w:r>
            <w:r>
              <w:fldChar w:fldCharType="separate"/>
            </w:r>
            <w:r>
              <w:rPr>
                <w:rFonts w:cs="Arial"/>
                <w:sz w:val="16"/>
                <w:szCs w:val="16"/>
                <w:lang w:val="en-US"/>
              </w:rPr>
              <w:t>R5-232369</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7.9A Spurious emissions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"file:///D:\\工作\\项目资料\\2013-2017%20标准化会议\\2017-2019%203GPP标准化\\RAN5\\2018-2023%20RAN5会议\\%2399-2023年5月@Incheon,%20South%20Korea\\CMCC文稿-52篇\\%2336%25（+9%25）-R18%20LTE_IoT_NTN_req-UEConTest%20-%208篇\\Tdoc\\R5-232370.zip" </w:instrText>
            </w:r>
            <w:r>
              <w:fldChar w:fldCharType="separate"/>
            </w:r>
            <w:r>
              <w:rPr>
                <w:rFonts w:cs="Arial"/>
                <w:sz w:val="16"/>
                <w:szCs w:val="16"/>
                <w:lang w:val="en-US"/>
              </w:rPr>
              <w:t>R5-232370</w:t>
            </w:r>
            <w:r>
              <w:rPr>
                <w:rFonts w:cs="Arial"/>
                <w:sz w:val="16"/>
                <w:szCs w:val="16"/>
                <w:lang w:val="en-US"/>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Correction of title of TS 36.521-1 in clause 2 References</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"file:///D:\\工作\\项目资料\\2013-2017%20标准化会议\\2017-2019%203GPP标准化\\RAN5\\2018-2023%20RAN5会议\\%2399-2023年5月@Incheon,%20South%20Korea\\CMCC文稿-52篇\\%2336%25（+9%25）-R18%20LTE_IoT_NTN_req-UEConTest%20-%208篇\\Tdoc\\R5-232382.zip" </w:instrText>
            </w:r>
            <w:r>
              <w:fldChar w:fldCharType="separate"/>
            </w:r>
            <w:r>
              <w:rPr>
                <w:rFonts w:cs="Arial"/>
                <w:sz w:val="16"/>
                <w:szCs w:val="16"/>
                <w:lang w:val="en-US" w:eastAsia="zh-CN"/>
              </w:rPr>
              <w:t>R5-232382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new test case 7.9B Spurious emissions for category NB1 and NB2</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"file:///D:\\工作\\项目资料\\2013-2017%20标准化会议\\2017-2019%203GPP标准化\\RAN5\\2018-2023%20RAN5会议\\%2399-2023年5月@Incheon,%20South%20Korea\\CMCC文稿-52篇\\%2336%25（+9%25）-R18%20LTE_IoT_NTN_req-UEConTest%20-%208篇\\Tdoc\\R5-232521.zip" </w:instrText>
            </w:r>
            <w:r>
              <w:fldChar w:fldCharType="separate"/>
            </w:r>
            <w:r>
              <w:rPr>
                <w:rFonts w:cs="Arial"/>
                <w:sz w:val="16"/>
                <w:szCs w:val="16"/>
                <w:lang w:val="en-US" w:eastAsia="zh-CN"/>
              </w:rPr>
              <w:t>R5-232521</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Editorial correction for some type error in 6.2A</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"file:///D:\\工作\\项目资料\\2013-2017%20标准化会议\\2017-2019%203GPP标准化\\RAN5\\2018-2023%20RAN5会议\\%2399-2023年5月@Incheon,%20South%20Korea\\CMCC文稿-52篇\\%2336%25（+9%25）-R18%20LTE_IoT_NTN_req-UEConTest%20-%208篇\\Tdoc\\R5-232522.zip" </w:instrText>
            </w:r>
            <w:r>
              <w:fldChar w:fldCharType="separate"/>
            </w:r>
            <w:r>
              <w:rPr>
                <w:rFonts w:cs="Arial"/>
                <w:sz w:val="16"/>
                <w:szCs w:val="16"/>
                <w:lang w:val="en-US" w:eastAsia="zh-CN"/>
              </w:rPr>
              <w:t>R5-232522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6.2B.3 for UE A-MPR for category NB1 and NB2 UE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"file:///D:\\工作\\项目资料\\2013-2017%20标准化会议\\2017-2019%203GPP标准化\\RAN5\\2018-2023%20RAN5会议\\%2399-2023年5月@Incheon,%20South%20Korea\\CMCC文稿-52篇\\%2336%25（+9%25）-R18%20LTE_IoT_NTN_req-UEConTest%20-%208篇\\Tdoc\\R5-232523.zip" </w:instrText>
            </w:r>
            <w:r>
              <w:fldChar w:fldCharType="separate"/>
            </w:r>
            <w:r>
              <w:rPr>
                <w:rFonts w:cs="Arial"/>
                <w:sz w:val="16"/>
                <w:szCs w:val="16"/>
                <w:lang w:val="en-US" w:eastAsia="zh-CN"/>
              </w:rPr>
              <w:t>R5-232523</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6.3A.1 for UE Minimum output power for category M1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"file:///D:\\工作\\项目资料\\2013-2017%20标准化会议\\2017-2019%203GPP标准化\\RAN5\\2018-2023%20RAN5会议\\%2399-2023年5月@Incheon,%20South%20Korea\\CMCC文稿-52篇\\%2336%25（+9%25）-R18%20LTE_IoT_NTN_req-UEConTest%20-%208篇\\Tdoc\\R5-232524.zip" </w:instrText>
            </w:r>
            <w:r>
              <w:fldChar w:fldCharType="separate"/>
            </w:r>
            <w:r>
              <w:rPr>
                <w:rFonts w:cs="Arial"/>
                <w:sz w:val="16"/>
                <w:szCs w:val="16"/>
                <w:lang w:val="en-US" w:eastAsia="zh-CN"/>
              </w:rPr>
              <w:t>R5-232524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6.3A.2 for Transmit OFF power for category M1</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"file:///D:\\工作\\项目资料\\2013-2017%20标准化会议\\2017-2019%203GPP标准化\\RAN5\\2018-2023%20RAN5会议\\%2399-2023年5月@Incheon,%20South%20Korea\\CMCC文稿-52篇\\%2336%25（+9%25）-R18%20LTE_IoT_NTN_req-UEConTest%20-%208篇\\Tdoc\\R5-232525.zip" </w:instrText>
            </w:r>
            <w:r>
              <w:fldChar w:fldCharType="separate"/>
            </w:r>
            <w:r>
              <w:rPr>
                <w:rFonts w:cs="Arial"/>
                <w:sz w:val="16"/>
                <w:szCs w:val="16"/>
                <w:lang w:val="en-US" w:eastAsia="zh-CN"/>
              </w:rPr>
              <w:t>R5-232525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6.3A.3.1 for General ON/OFF time mask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"file:///D:\\工作\\项目资料\\2013-2017%20标准化会议\\2017-2019%203GPP标准化\\RAN5\\2018-2023%20RAN5会议\\%2399-2023年5月@Incheon,%20South%20Korea\\CMCC文稿-52篇\\%2336%25（+9%25）-R18%20LTE_IoT_NTN_req-UEConTest%20-%208篇\\Tdoc\\R5-232526.zip" </w:instrText>
            </w:r>
            <w:r>
              <w:fldChar w:fldCharType="separate"/>
            </w:r>
            <w:r>
              <w:rPr>
                <w:rFonts w:cs="Arial"/>
                <w:sz w:val="16"/>
                <w:szCs w:val="16"/>
                <w:lang w:val="en-US" w:eastAsia="zh-CN"/>
              </w:rPr>
              <w:t>R5-232526</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 xml:space="preserve">Adding test case 6.3A.3.2.1 for PRACH time mask </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"file:///D:\\工作\\项目资料\\2013-2017%20标准化会议\\2017-2019%203GPP标准化\\RAN5\\2018-2023%20RAN5会议\\%2399-2023年5月@Incheon,%20South%20Korea\\CMCC文稿-52篇\\%2336%25（+9%25）-R18%20LTE_IoT_NTN_req-UEConTest%20-%208篇\\Tdoc\\R5-232527.zip" </w:instrText>
            </w:r>
            <w:r>
              <w:fldChar w:fldCharType="separate"/>
            </w:r>
            <w:r>
              <w:rPr>
                <w:rFonts w:cs="Arial"/>
                <w:sz w:val="16"/>
                <w:szCs w:val="16"/>
                <w:lang w:val="en-US" w:eastAsia="zh-CN"/>
              </w:rPr>
              <w:t>R5-232527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6.3A.3.2.2 for SRS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"file:///D:\\工作\\项目资料\\2013-2017%20标准化会议\\2017-2019%203GPP标准化\\RAN5\\2018-2023%20RAN5会议\\%2399-2023年5月@Incheon,%20South%20Korea\\CMCC文稿-52篇\\%2336%25（+9%25）-R18%20LTE_IoT_NTN_req-UEConTest%20-%208篇\\Tdoc\\R5-232549.zip" </w:instrText>
            </w:r>
            <w:r>
              <w:fldChar w:fldCharType="separate"/>
            </w:r>
            <w:r>
              <w:rPr>
                <w:rFonts w:cs="Arial"/>
                <w:sz w:val="16"/>
                <w:szCs w:val="16"/>
                <w:lang w:val="en-US" w:eastAsia="zh-CN"/>
              </w:rPr>
              <w:t>R5-232549</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6.3A.4.1 for Power Control Absolute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"file:///D:\\工作\\项目资料\\2013-2017%20标准化会议\\2017-2019%203GPP标准化\\RAN5\\2018-2023%20RAN5会议\\%2399-2023年5月@Incheon,%20South%20Korea\\CMCC文稿-52篇\\%2336%25（+9%25）-R18%20LTE_IoT_NTN_req-UEConTest%20-%208篇\\Tdoc\\R5-232550.zip" </w:instrText>
            </w:r>
            <w:r>
              <w:fldChar w:fldCharType="separate"/>
            </w:r>
            <w:r>
              <w:rPr>
                <w:rFonts w:cs="Arial"/>
                <w:sz w:val="16"/>
                <w:szCs w:val="16"/>
                <w:lang w:val="en-US" w:eastAsia="zh-CN"/>
              </w:rPr>
              <w:t>R5-232550</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6.3A.4.2 Power Control Relative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"file:///D:\\工作\\项目资料\\2013-2017%20标准化会议\\2017-2019%203GPP标准化\\RAN5\\2018-2023%20RAN5会议\\%2399-2023年5月@Incheon,%20South%20Korea\\CMCC文稿-52篇\\%2336%25（+9%25）-R18%20LTE_IoT_NTN_req-UEConTest%20-%208篇\\Tdoc\\R5-232551.zip" </w:instrText>
            </w:r>
            <w:r>
              <w:fldChar w:fldCharType="separate"/>
            </w:r>
            <w:r>
              <w:rPr>
                <w:rFonts w:cs="Arial"/>
                <w:sz w:val="16"/>
                <w:szCs w:val="16"/>
                <w:lang w:val="en-US" w:eastAsia="zh-CN"/>
              </w:rPr>
              <w:t>R5-232551</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6.3A.4.3 for Aggregate power control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"file:///D:\\工作\\项目资料\\2013-2017%20标准化会议\\2017-2019%203GPP标准化\\RAN5\\2018-2023%20RAN5会议\\%2399-2023年5月@Incheon,%20South%20Korea\\CMCC文稿-52篇\\%2336%25（+9%25）-R18%20LTE_IoT_NTN_req-UEConTest%20-%208篇\\Tdoc\\R5-232552.zip" </w:instrText>
            </w:r>
            <w:r>
              <w:fldChar w:fldCharType="separate"/>
            </w:r>
            <w:r>
              <w:rPr>
                <w:rFonts w:cs="Arial"/>
                <w:sz w:val="16"/>
                <w:szCs w:val="16"/>
                <w:lang w:val="en-US" w:eastAsia="zh-CN"/>
              </w:rPr>
              <w:t>R5-232552</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6.3B.1 for UE Minimum output power</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"file:///D:\\工作\\项目资料\\2013-2017%20标准化会议\\2017-2019%203GPP标准化\\RAN5\\2018-2023%20RAN5会议\\%2399-2023年5月@Incheon,%20South%20Korea\\CMCC文稿-52篇\\%2336%25（+9%25）-R18%20LTE_IoT_NTN_req-UEConTest%20-%208篇\\Tdoc\\R5-232553.zip" </w:instrText>
            </w:r>
            <w:r>
              <w:fldChar w:fldCharType="separate"/>
            </w:r>
            <w:r>
              <w:rPr>
                <w:rFonts w:cs="Arial"/>
                <w:sz w:val="16"/>
                <w:szCs w:val="16"/>
                <w:lang w:val="en-US" w:eastAsia="zh-CN"/>
              </w:rPr>
              <w:t>R5-232553</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6.3B.2  for Transmit OFF power</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"file:///D:\\工作\\项目资料\\2013-2017%20标准化会议\\2017-2019%203GPP标准化\\RAN5\\2018-2023%20RAN5会议\\%2399-2023年5月@Incheon,%20South%20Korea\\CMCC文稿-52篇\\%2336%25（+9%25）-R18%20LTE_IoT_NTN_req-UEConTest%20-%208篇\\Tdoc\\R5-232554.zip" </w:instrText>
            </w:r>
            <w:r>
              <w:fldChar w:fldCharType="separate"/>
            </w:r>
            <w:r>
              <w:rPr>
                <w:rFonts w:cs="Arial"/>
                <w:sz w:val="16"/>
                <w:szCs w:val="16"/>
                <w:lang w:val="en-US" w:eastAsia="zh-CN"/>
              </w:rPr>
              <w:t>R5-232554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6.3B.3.1 General ON/OFF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"file:///D:\\工作\\项目资料\\2013-2017%20标准化会议\\2017-2019%203GPP标准化\\RAN5\\2018-2023%20RAN5会议\\%2399-2023年5月@Incheon,%20South%20Korea\\CMCC文稿-52篇\\%2336%25（+9%25）-R18%20LTE_IoT_NTN_req-UEConTest%20-%208篇\\Tdoc\\R5-232555.zip" </w:instrText>
            </w:r>
            <w:r>
              <w:fldChar w:fldCharType="separate"/>
            </w:r>
            <w:r>
              <w:rPr>
                <w:rFonts w:cs="Arial"/>
                <w:sz w:val="16"/>
                <w:szCs w:val="16"/>
                <w:lang w:val="en-US" w:eastAsia="zh-CN"/>
              </w:rPr>
              <w:t>R5-232555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6.3B.3.2 NPRACH time mask</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"file:///D:\\工作\\项目资料\\2013-2017%20标准化会议\\2017-2019%203GPP标准化\\RAN5\\2018-2023%20RAN5会议\\%2399-2023年5月@Incheon,%20South%20Korea\\CMCC文稿-52篇\\%2336%25（+9%25）-R18%20LTE_IoT_NTN_req-UEConTest%20-%208篇\\Tdoc\\R5-232556.zip" </w:instrText>
            </w:r>
            <w:r>
              <w:fldChar w:fldCharType="separate"/>
            </w:r>
            <w:r>
              <w:rPr>
                <w:rFonts w:cs="Arial"/>
                <w:sz w:val="16"/>
                <w:szCs w:val="16"/>
                <w:lang w:val="en-US" w:eastAsia="zh-CN"/>
              </w:rPr>
              <w:t>R5-232556</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6.3B.4.1 Power Control Absolute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"file:///D:\\工作\\项目资料\\2013-2017%20标准化会议\\2017-2019%203GPP标准化\\RAN5\\2018-2023%20RAN5会议\\%2399-2023年5月@Incheon,%20South%20Korea\\CMCC文稿-52篇\\%2336%25（+9%25）-R18%20LTE_IoT_NTN_req-UEConTest%20-%208篇\\Tdoc\\R5-232557.zip" </w:instrText>
            </w:r>
            <w:r>
              <w:fldChar w:fldCharType="separate"/>
            </w:r>
            <w:r>
              <w:rPr>
                <w:rFonts w:cs="Arial"/>
                <w:sz w:val="16"/>
                <w:szCs w:val="16"/>
                <w:lang w:val="en-US" w:eastAsia="zh-CN"/>
              </w:rPr>
              <w:t>R5-232557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6.3B.4.2 Power Control Relative power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"file:///D:\\工作\\项目资料\\2013-2017%20标准化会议\\2017-2019%203GPP标准化\\RAN5\\2018-2023%20RAN5会议\\%2399-2023年5月@Incheon,%20South%20Korea\\CMCC文稿-52篇\\%2336%25（+9%25）-R18%20LTE_IoT_NTN_req-UEConTest%20-%208篇\\Tdoc\\R5-232558.zip" </w:instrText>
            </w:r>
            <w:r>
              <w:fldChar w:fldCharType="separate"/>
            </w:r>
            <w:r>
              <w:rPr>
                <w:rFonts w:cs="Arial"/>
                <w:sz w:val="16"/>
                <w:szCs w:val="16"/>
                <w:lang w:val="en-US" w:eastAsia="zh-CN"/>
              </w:rPr>
              <w:t>R5-232558</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Adding test case 6.3B.4.3 Aggregate power control tolerance</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"file:///D:\\工作\\项目资料\\2013-2017%20标准化会议\\2017-2019%203GPP标准化\\RAN5\\2018-2023%20RAN5会议\\%2399-2023年5月@Incheon,%20South%20Korea\\CMCC文稿-52篇\\%2336%25（+9%25）-R18%20LTE_IoT_NTN_req-UEConTest%20-%208篇\\Tdoc\\R5-232815.zip" </w:instrText>
            </w:r>
            <w:r>
              <w:fldChar w:fldCharType="separate"/>
            </w:r>
            <w:r>
              <w:rPr>
                <w:rFonts w:cs="Arial"/>
                <w:sz w:val="16"/>
                <w:szCs w:val="16"/>
                <w:lang w:val="en-US" w:eastAsia="zh-CN"/>
              </w:rPr>
              <w:t>R5-232815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eMTC/NB-IoT NTN Output RF spectrum emissions TC 6.5</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"file:///D:\\工作\\项目资料\\2013-2017%20标准化会议\\2017-2019%203GPP标准化\\RAN5\\2018-2023%20RAN5会议\\%2399-2023年5月@Incheon,%20South%20Korea\\CMCC文稿-52篇\\%2336%25（+9%25）-R18%20LTE_IoT_NTN_req-UEConTest%20-%208篇\\Tdoc\\R5-233574.zip" </w:instrText>
            </w:r>
            <w:r>
              <w:fldChar w:fldCharType="separate"/>
            </w:r>
            <w:r>
              <w:rPr>
                <w:rFonts w:cs="Arial"/>
                <w:sz w:val="16"/>
                <w:szCs w:val="16"/>
                <w:lang w:val="en-US" w:eastAsia="zh-CN"/>
              </w:rPr>
              <w:t>R5-233574</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eMTC NTN Output RF spectrum emissions TC 6.5A</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"file:///D:\\工作\\项目资料\\2013-2017%20标准化会议\\2017-2019%203GPP标准化\\RAN5\\2018-2023%20RAN5会议\\%2399-2023年5月@Incheon,%20South%20Korea\\CMCC文稿-52篇\\%2336%25（+9%25）-R18%20LTE_IoT_NTN_req-UEConTest%20-%208篇\\Tdoc\\R5-232817.zip" </w:instrText>
            </w:r>
            <w:r>
              <w:fldChar w:fldCharType="separate"/>
            </w:r>
            <w:r>
              <w:rPr>
                <w:rFonts w:cs="Arial"/>
                <w:sz w:val="16"/>
                <w:szCs w:val="16"/>
                <w:lang w:val="en-US" w:eastAsia="zh-CN"/>
              </w:rPr>
              <w:t>R5-232817</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Introduction of NB-IoT NTN Output RF spectrum emissions TC 6.5B</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TW"/>
              </w:rPr>
            </w:pPr>
            <w:r>
              <w:rPr>
                <w:rFonts w:hint="eastAsia"/>
                <w:sz w:val="16"/>
                <w:szCs w:val="16"/>
                <w:lang w:eastAsia="zh-TW"/>
              </w:rPr>
              <w:t>202</w:t>
            </w:r>
            <w:r>
              <w:rPr>
                <w:sz w:val="16"/>
                <w:szCs w:val="16"/>
                <w:lang w:val="en-US" w:eastAsia="zh-TW"/>
              </w:rPr>
              <w:t>3</w:t>
            </w:r>
            <w:r>
              <w:rPr>
                <w:rFonts w:hint="eastAsia"/>
                <w:sz w:val="16"/>
                <w:szCs w:val="16"/>
                <w:lang w:eastAsia="zh-TW"/>
              </w:rPr>
              <w:t>-0</w:t>
            </w:r>
            <w:r>
              <w:rPr>
                <w:sz w:val="16"/>
                <w:szCs w:val="16"/>
                <w:lang w:val="en-US" w:eastAsia="zh-TW"/>
              </w:rPr>
              <w:t>5</w:t>
            </w:r>
          </w:p>
        </w:tc>
        <w:tc>
          <w:tcPr>
            <w:tcW w:w="901" w:type="dxa"/>
            <w:shd w:val="solid" w:color="FFFFFF" w:fill="auto"/>
          </w:tcPr>
          <w:p>
            <w:pPr>
              <w:pStyle w:val="105"/>
              <w:rPr>
                <w:sz w:val="16"/>
                <w:szCs w:val="16"/>
                <w:lang w:eastAsia="zh-TW"/>
              </w:rPr>
            </w:pPr>
            <w:r>
              <w:rPr>
                <w:rFonts w:hint="eastAsia"/>
                <w:sz w:val="16"/>
                <w:szCs w:val="16"/>
                <w:lang w:eastAsia="zh-TW"/>
              </w:rPr>
              <w:t>RAN</w:t>
            </w:r>
            <w:r>
              <w:rPr>
                <w:sz w:val="16"/>
                <w:szCs w:val="16"/>
                <w:lang w:val="en-US" w:eastAsia="zh-TW"/>
              </w:rPr>
              <w:t>5</w:t>
            </w:r>
            <w:r>
              <w:rPr>
                <w:rFonts w:hint="eastAsia"/>
                <w:sz w:val="16"/>
                <w:szCs w:val="16"/>
                <w:lang w:eastAsia="zh-TW"/>
              </w:rPr>
              <w:t>#</w:t>
            </w:r>
            <w:r>
              <w:rPr>
                <w:sz w:val="16"/>
                <w:szCs w:val="16"/>
                <w:lang w:val="en-US" w:eastAsia="zh-TW"/>
              </w:rPr>
              <w:t>99</w:t>
            </w:r>
          </w:p>
        </w:tc>
        <w:tc>
          <w:tcPr>
            <w:tcW w:w="1134" w:type="dxa"/>
            <w:shd w:val="solid" w:color="FFFFFF" w:fill="auto"/>
          </w:tcPr>
          <w:p>
            <w:pPr>
              <w:pStyle w:val="105"/>
              <w:rPr>
                <w:sz w:val="16"/>
                <w:szCs w:val="16"/>
                <w:lang w:val="en-US" w:eastAsia="zh-TW"/>
              </w:rPr>
            </w:pPr>
            <w:r>
              <w:fldChar w:fldCharType="begin"/>
            </w:r>
            <w:r>
              <w:instrText xml:space="preserve"> HYPERLINK "file:///D:\\工作\\项目资料\\2013-2017%20标准化会议\\2017-2019%203GPP标准化\\RAN5\\2018-2023%20RAN5会议\\%2399-2023年5月@Incheon,%20South%20Korea\\CMCC文稿-52篇\\%2336%25（+9%25）-R18%20LTE_IoT_NTN_req-UEConTest%20-%208篇\\Tdoc\\R5-233575.zip" </w:instrText>
            </w:r>
            <w:r>
              <w:fldChar w:fldCharType="separate"/>
            </w:r>
            <w:r>
              <w:rPr>
                <w:rFonts w:cs="Arial"/>
                <w:sz w:val="16"/>
                <w:szCs w:val="16"/>
                <w:lang w:val="en-US" w:eastAsia="zh-CN"/>
              </w:rPr>
              <w:t>R5-233575</w:t>
            </w:r>
            <w:r>
              <w:rPr>
                <w:rFonts w:cs="Arial"/>
                <w:sz w:val="16"/>
                <w:szCs w:val="16"/>
                <w:lang w:val="en-US" w:eastAsia="zh-CN"/>
              </w:rPr>
              <w:fldChar w:fldCharType="end"/>
            </w:r>
          </w:p>
        </w:tc>
        <w:tc>
          <w:tcPr>
            <w:tcW w:w="567" w:type="dxa"/>
            <w:shd w:val="solid" w:color="FFFFFF" w:fill="auto"/>
          </w:tcPr>
          <w:p>
            <w:pPr>
              <w:pStyle w:val="105"/>
              <w:rPr>
                <w:sz w:val="16"/>
                <w:szCs w:val="16"/>
                <w:lang w:eastAsia="zh-TW"/>
              </w:rPr>
            </w:pPr>
          </w:p>
        </w:tc>
        <w:tc>
          <w:tcPr>
            <w:tcW w:w="426" w:type="dxa"/>
            <w:shd w:val="solid" w:color="FFFFFF" w:fill="auto"/>
          </w:tcPr>
          <w:p>
            <w:pPr>
              <w:pStyle w:val="105"/>
              <w:rPr>
                <w:sz w:val="16"/>
                <w:szCs w:val="16"/>
                <w:lang w:eastAsia="zh-TW"/>
              </w:rPr>
            </w:pPr>
          </w:p>
        </w:tc>
        <w:tc>
          <w:tcPr>
            <w:tcW w:w="425" w:type="dxa"/>
            <w:shd w:val="solid" w:color="FFFFFF" w:fill="auto"/>
          </w:tcPr>
          <w:p>
            <w:pPr>
              <w:pStyle w:val="105"/>
              <w:rPr>
                <w:sz w:val="16"/>
                <w:szCs w:val="16"/>
                <w:lang w:eastAsia="zh-TW"/>
              </w:rPr>
            </w:pPr>
          </w:p>
        </w:tc>
        <w:tc>
          <w:tcPr>
            <w:tcW w:w="4678" w:type="dxa"/>
            <w:shd w:val="solid" w:color="FFFFFF" w:fill="auto"/>
          </w:tcPr>
          <w:p>
            <w:pPr>
              <w:pStyle w:val="105"/>
              <w:jc w:val="left"/>
              <w:rPr>
                <w:sz w:val="16"/>
                <w:szCs w:val="16"/>
                <w:lang w:val="en-US" w:eastAsia="zh-CN"/>
              </w:rPr>
            </w:pPr>
            <w:r>
              <w:rPr>
                <w:rFonts w:eastAsia="宋体" w:cs="Arial"/>
                <w:color w:val="000000"/>
                <w:sz w:val="16"/>
                <w:szCs w:val="16"/>
                <w:lang w:val="en-US" w:eastAsia="zh-CN" w:bidi="ar"/>
              </w:rPr>
              <w:t>Update of editor notes for IoT NTN TCs</w:t>
            </w:r>
          </w:p>
        </w:tc>
        <w:tc>
          <w:tcPr>
            <w:tcW w:w="708" w:type="dxa"/>
            <w:shd w:val="solid" w:color="FFFFFF" w:fill="auto"/>
          </w:tcPr>
          <w:p>
            <w:pPr>
              <w:pStyle w:val="105"/>
              <w:rPr>
                <w:sz w:val="16"/>
                <w:szCs w:val="16"/>
                <w:lang w:eastAsia="zh-TW"/>
              </w:rPr>
            </w:pPr>
            <w:r>
              <w:rPr>
                <w:rFonts w:hint="eastAsia"/>
                <w:sz w:val="16"/>
                <w:szCs w:val="16"/>
                <w:lang w:eastAsia="zh-TW"/>
              </w:rPr>
              <w:t>0.</w:t>
            </w:r>
            <w:r>
              <w:rPr>
                <w:sz w:val="16"/>
                <w:szCs w:val="16"/>
                <w:lang w:val="en-US" w:eastAsia="zh-TW"/>
              </w:rPr>
              <w:t>2</w:t>
            </w:r>
            <w:r>
              <w:rPr>
                <w:rFonts w:hint="eastAsia"/>
                <w:sz w:val="16"/>
                <w:szCs w:val="16"/>
                <w:lang w:eastAsia="zh-TW"/>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eastAsia="Times New Roman"/>
                <w:sz w:val="16"/>
                <w:szCs w:val="16"/>
                <w:lang w:val="en-US"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val="en-US" w:eastAsia="zh-TW"/>
              </w:rPr>
            </w:pPr>
            <w:r>
              <w:rPr>
                <w:rFonts w:hint="eastAsia" w:ascii="Arial" w:hAnsi="Arial"/>
                <w:sz w:val="16"/>
                <w:szCs w:val="16"/>
                <w:lang w:eastAsia="zh-TW"/>
              </w:rPr>
              <w:fldChar w:fldCharType="begin"/>
            </w:r>
            <w:r>
              <w:rPr>
                <w:rFonts w:hint="eastAsia" w:ascii="Arial" w:hAnsi="Arial"/>
                <w:sz w:val="16"/>
                <w:szCs w:val="16"/>
                <w:lang w:eastAsia="zh-TW"/>
              </w:rPr>
              <w:instrText xml:space="preserve"> HYPERLINK "file:///D:\\工作\\项目资料\\2013-2017%20标准化会议\\2017-2019%203GPP标准化\\RAN5\\2018-2023%20RAN5会议\\%2399-2023年5月@Incheon,%20South%20Korea\\CMCC文稿-52篇\\%2336%25（+9%25）-R18%20LTE_IoT_NTN_req-UEConTest%20-%208篇\\Tdoc\\R5-233575.zip" </w:instrText>
            </w:r>
            <w:r>
              <w:rPr>
                <w:rFonts w:hint="eastAsia" w:ascii="Arial" w:hAnsi="Arial"/>
                <w:sz w:val="16"/>
                <w:szCs w:val="16"/>
                <w:lang w:eastAsia="zh-TW"/>
              </w:rPr>
              <w:fldChar w:fldCharType="separate"/>
            </w:r>
            <w:r>
              <w:rPr>
                <w:rFonts w:hint="eastAsia" w:ascii="Arial" w:hAnsi="Arial" w:cs="Times New Roman"/>
                <w:sz w:val="16"/>
                <w:szCs w:val="16"/>
                <w:lang w:val="en-US" w:eastAsia="zh-TW"/>
              </w:rPr>
              <w:t>R5-23</w:t>
            </w:r>
            <w:r>
              <w:rPr>
                <w:rFonts w:hint="eastAsia" w:ascii="Arial" w:hAnsi="Arial" w:cs="Times New Roman"/>
                <w:sz w:val="16"/>
                <w:szCs w:val="16"/>
                <w:lang w:val="en-US" w:eastAsia="zh-TW"/>
              </w:rPr>
              <w:fldChar w:fldCharType="end"/>
            </w:r>
            <w:r>
              <w:rPr>
                <w:rFonts w:hint="eastAsia" w:ascii="Arial" w:hAnsi="Arial" w:cs="Times New Roman"/>
                <w:sz w:val="16"/>
                <w:szCs w:val="16"/>
                <w:lang w:val="en-US" w:eastAsia="zh-TW"/>
              </w:rPr>
              <w:t>3923</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clause 8.1 general description for NTN test</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R5-233924</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new test case 8.2.1.1.1 eMTC PDSCH test</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R5-233925</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new test case 8.3.1.1.1 NB-IoT NPDSCH test under NTN fading condition</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R5-233926</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new test case 8.3.1.1.2 NB-IoT NPDSCH test</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R5-233927</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new test case 8.3.1.1.3 NB-IoT NPDSCH test for NB2 only</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R5-235757</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new test case 8.3.1.2.1 NB-IoT NPDCCH test</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R5-234189</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NTN NB-IoT REFSENS test case definition</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R5-234231</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Correction of A-MPR NS value in 6.2A.3</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R5-234232</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Correction of A-MPR NS value in 6.2B.3</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R5-234233</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6.4A.2.1 Error Vector Magnitude (EVM) for category M1</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val="en-US" w:eastAsia="zh-TW"/>
              </w:rPr>
            </w:pPr>
            <w:r>
              <w:rPr>
                <w:rFonts w:hint="eastAsia" w:ascii="Arial" w:hAnsi="Arial"/>
                <w:sz w:val="16"/>
                <w:szCs w:val="16"/>
                <w:lang w:eastAsia="zh-TW"/>
              </w:rPr>
              <w:t>R5-23423</w:t>
            </w:r>
            <w:r>
              <w:rPr>
                <w:rFonts w:hint="eastAsia" w:ascii="Arial" w:hAnsi="Arial" w:eastAsia="Times New Roman"/>
                <w:sz w:val="16"/>
                <w:szCs w:val="16"/>
                <w:lang w:val="en-US" w:eastAsia="zh-TW"/>
              </w:rPr>
              <w:t>4</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6.4A.2.2 Carrier leakage for category M1</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R5-234237</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6.4A.2.3 In-band emissions for non allocated RB for category M1</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R5-234238</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6.4A.2.4 EVM equalizer spectrum flatness for category M1</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R5-234239</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6.4B.2.1 Error Vector Magnitude (EVM) for Category NB1 and NB2</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R5-234245</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6.4B.2.2 Carrier leakage for Category NB1 and NB2</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R5-234246</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6.4B.2.3 In-band emissions for Category NB1 and NB2</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R5-23424</w:t>
            </w:r>
            <w:r>
              <w:rPr>
                <w:rFonts w:hint="eastAsia" w:ascii="Arial" w:hAnsi="Arial" w:eastAsia="Times New Roman"/>
                <w:sz w:val="16"/>
                <w:szCs w:val="16"/>
                <w:lang w:val="en-US" w:eastAsia="zh-TW"/>
              </w:rPr>
              <w:t>7</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6.5A.2 Occupied bandwidth for category M1</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R5-23424</w:t>
            </w:r>
            <w:r>
              <w:rPr>
                <w:rFonts w:hint="eastAsia" w:ascii="Arial" w:hAnsi="Arial" w:eastAsia="Times New Roman"/>
                <w:sz w:val="16"/>
                <w:szCs w:val="16"/>
                <w:lang w:val="en-US" w:eastAsia="zh-TW"/>
              </w:rPr>
              <w:t>8</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6.5A.3.2 Spectrum emission mask</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R5-23424</w:t>
            </w:r>
            <w:r>
              <w:rPr>
                <w:rFonts w:hint="eastAsia" w:ascii="Arial" w:hAnsi="Arial" w:eastAsia="Times New Roman"/>
                <w:sz w:val="16"/>
                <w:szCs w:val="16"/>
                <w:lang w:val="en-US" w:eastAsia="zh-TW"/>
              </w:rPr>
              <w:t>9</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6.5A.3.4 Adjacent Channel Leakage Ratio for category M1</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R5-234250</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6.5A.4.2 Transmitter Spurious emissions</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R5-23425</w:t>
            </w:r>
            <w:r>
              <w:rPr>
                <w:rFonts w:hint="eastAsia" w:ascii="Arial" w:hAnsi="Arial" w:eastAsia="Times New Roman"/>
                <w:sz w:val="16"/>
                <w:szCs w:val="16"/>
                <w:lang w:val="en-US" w:eastAsia="zh-TW"/>
              </w:rPr>
              <w:t>1</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6.5A.4.3 Spurious emission band UE co-existence</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R5-23425</w:t>
            </w:r>
            <w:r>
              <w:rPr>
                <w:rFonts w:hint="eastAsia" w:ascii="Arial" w:hAnsi="Arial" w:eastAsia="Times New Roman"/>
                <w:sz w:val="16"/>
                <w:szCs w:val="16"/>
                <w:lang w:val="en-US" w:eastAsia="zh-TW"/>
              </w:rPr>
              <w:t>2</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6.5A.4.4 Additional spurious emissions</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R5-23425</w:t>
            </w:r>
            <w:r>
              <w:rPr>
                <w:rFonts w:hint="eastAsia" w:ascii="Arial" w:hAnsi="Arial" w:eastAsia="Times New Roman"/>
                <w:sz w:val="16"/>
                <w:szCs w:val="16"/>
                <w:lang w:val="en-US" w:eastAsia="zh-TW"/>
              </w:rPr>
              <w:t>3</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6.5B.2 Occupied bandwidth for category NB1 and NB2</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R5-234258</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6.5B.3.2 Spectrum emission mask</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R5-23425</w:t>
            </w:r>
            <w:r>
              <w:rPr>
                <w:rFonts w:hint="eastAsia" w:ascii="Arial" w:hAnsi="Arial" w:eastAsia="Times New Roman"/>
                <w:sz w:val="16"/>
                <w:szCs w:val="16"/>
                <w:lang w:val="en-US" w:eastAsia="zh-TW"/>
              </w:rPr>
              <w:t>9</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6.5B.3.4 Adjacent Channel Leakage Ratio for category NB1 and NB2</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R5-234260</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6.5B.4.2 Transmitter Spurious emissions</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R5-23426</w:t>
            </w:r>
            <w:r>
              <w:rPr>
                <w:rFonts w:hint="eastAsia" w:ascii="Arial" w:hAnsi="Arial" w:eastAsia="Times New Roman"/>
                <w:sz w:val="16"/>
                <w:szCs w:val="16"/>
                <w:lang w:val="en-US" w:eastAsia="zh-TW"/>
              </w:rPr>
              <w:t>1</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6.5B.4.3 Spurious emission band UE co-existence</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R5-23426</w:t>
            </w:r>
            <w:r>
              <w:rPr>
                <w:rFonts w:hint="eastAsia" w:ascii="Arial" w:hAnsi="Arial" w:eastAsia="Times New Roman"/>
                <w:sz w:val="16"/>
                <w:szCs w:val="16"/>
                <w:lang w:val="en-US" w:eastAsia="zh-TW"/>
              </w:rPr>
              <w:t>2</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6.5B.4.4 Additional spurious emissions</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R5-23426</w:t>
            </w:r>
            <w:r>
              <w:rPr>
                <w:rFonts w:hint="eastAsia" w:ascii="Arial" w:hAnsi="Arial" w:eastAsia="Times New Roman"/>
                <w:sz w:val="16"/>
                <w:szCs w:val="16"/>
                <w:lang w:val="en-US" w:eastAsia="zh-TW"/>
              </w:rPr>
              <w:t>3</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Adding test case 6.6B  Transmit intermodulation for category NB1 and NB2</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R5-234758</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Correction of TC 6.3A.4.3 Aggregate power control tolerance for UE category M1</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R5-235761</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Editorial changes in References of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R5-23576</w:t>
            </w:r>
            <w:r>
              <w:rPr>
                <w:rFonts w:hint="eastAsia" w:ascii="Arial" w:hAnsi="Arial" w:eastAsia="Times New Roman"/>
                <w:sz w:val="16"/>
                <w:szCs w:val="16"/>
                <w:lang w:val="en-US" w:eastAsia="zh-TW"/>
              </w:rPr>
              <w:t>2</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Annex A in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R5-234761</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Revise Annex B into Annex L in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R5-235774</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Annex B in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R5-23577</w:t>
            </w:r>
            <w:r>
              <w:rPr>
                <w:rFonts w:hint="eastAsia" w:ascii="Arial" w:hAnsi="Arial" w:eastAsia="Times New Roman"/>
                <w:sz w:val="16"/>
                <w:szCs w:val="16"/>
                <w:lang w:val="en-US" w:eastAsia="zh-TW"/>
              </w:rPr>
              <w:t>5</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Annex C in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R5-23577</w:t>
            </w:r>
            <w:r>
              <w:rPr>
                <w:rFonts w:hint="eastAsia" w:ascii="Arial" w:hAnsi="Arial" w:eastAsia="Times New Roman"/>
                <w:sz w:val="16"/>
                <w:szCs w:val="16"/>
                <w:lang w:val="en-US" w:eastAsia="zh-TW"/>
              </w:rPr>
              <w:t>6</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Annex D in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R5-235942</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Annex E and Annex F in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R5-235777</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Annex G in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R5-23577</w:t>
            </w:r>
            <w:r>
              <w:rPr>
                <w:rFonts w:hint="eastAsia" w:ascii="Arial" w:hAnsi="Arial" w:eastAsia="Times New Roman"/>
                <w:sz w:val="16"/>
                <w:szCs w:val="16"/>
                <w:lang w:val="en-US" w:eastAsia="zh-TW"/>
              </w:rPr>
              <w:t>8</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Annex H and Annex I in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R5-23577</w:t>
            </w:r>
            <w:r>
              <w:rPr>
                <w:rFonts w:hint="eastAsia" w:ascii="Arial" w:hAnsi="Arial" w:eastAsia="Times New Roman"/>
                <w:sz w:val="16"/>
                <w:szCs w:val="16"/>
                <w:lang w:val="en-US" w:eastAsia="zh-TW"/>
              </w:rPr>
              <w:t>9</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Addition of Annex J and Annex K in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default" w:ascii="Arial" w:hAnsi="Arial"/>
                <w:sz w:val="16"/>
                <w:szCs w:val="16"/>
                <w:lang w:val="en-US" w:eastAsia="zh-CN"/>
              </w:rPr>
            </w:pPr>
            <w:r>
              <w:rPr>
                <w:rFonts w:hint="eastAsia" w:ascii="Arial" w:hAnsi="Arial"/>
                <w:sz w:val="16"/>
                <w:szCs w:val="16"/>
                <w:lang w:eastAsia="zh-TW"/>
              </w:rPr>
              <w:t>R5-235</w:t>
            </w:r>
            <w:r>
              <w:rPr>
                <w:rFonts w:hint="eastAsia" w:eastAsia="宋体"/>
                <w:sz w:val="16"/>
                <w:szCs w:val="16"/>
                <w:highlight w:val="none"/>
                <w:lang w:val="en-US" w:eastAsia="zh-CN"/>
              </w:rPr>
              <w:t>455</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Clarifications to 36.521-4</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R5-235943</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Initial conditions update for multiple test cases</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202</w:t>
            </w:r>
            <w:r>
              <w:rPr>
                <w:rFonts w:hint="eastAsia" w:ascii="Arial" w:hAnsi="Arial"/>
                <w:sz w:val="16"/>
                <w:szCs w:val="16"/>
                <w:lang w:val="en-US" w:eastAsia="zh-TW"/>
              </w:rPr>
              <w:t>3</w:t>
            </w:r>
            <w:r>
              <w:rPr>
                <w:rFonts w:hint="eastAsia" w:ascii="Arial" w:hAnsi="Arial"/>
                <w:sz w:val="16"/>
                <w:szCs w:val="16"/>
                <w:lang w:eastAsia="zh-TW"/>
              </w:rPr>
              <w:t>-0</w:t>
            </w:r>
            <w:r>
              <w:rPr>
                <w:rFonts w:hint="eastAsia" w:ascii="Arial" w:hAnsi="Arial" w:eastAsia="Times New Roman"/>
                <w:sz w:val="16"/>
                <w:szCs w:val="16"/>
                <w:lang w:val="en-US" w:eastAsia="zh-TW"/>
              </w:rPr>
              <w:t>8</w:t>
            </w:r>
          </w:p>
        </w:tc>
        <w:tc>
          <w:tcPr>
            <w:tcW w:w="901" w:type="dxa"/>
            <w:shd w:val="solid" w:color="FFFFFF" w:fill="auto"/>
          </w:tcPr>
          <w:p>
            <w:pPr>
              <w:pStyle w:val="105"/>
              <w:rPr>
                <w:rFonts w:hint="eastAsia" w:ascii="Arial" w:hAnsi="Arial"/>
                <w:sz w:val="16"/>
                <w:szCs w:val="16"/>
                <w:lang w:eastAsia="zh-TW"/>
              </w:rPr>
            </w:pPr>
            <w:r>
              <w:rPr>
                <w:rFonts w:hint="eastAsia" w:ascii="Arial" w:hAnsi="Arial"/>
                <w:sz w:val="16"/>
                <w:szCs w:val="16"/>
                <w:lang w:eastAsia="zh-TW"/>
              </w:rPr>
              <w:t>RAN</w:t>
            </w:r>
            <w:r>
              <w:rPr>
                <w:rFonts w:hint="eastAsia" w:ascii="Arial" w:hAnsi="Arial"/>
                <w:sz w:val="16"/>
                <w:szCs w:val="16"/>
                <w:lang w:val="en-US" w:eastAsia="zh-TW"/>
              </w:rPr>
              <w:t>5</w:t>
            </w:r>
            <w:r>
              <w:rPr>
                <w:rFonts w:hint="eastAsia" w:ascii="Arial" w:hAnsi="Arial"/>
                <w:sz w:val="16"/>
                <w:szCs w:val="16"/>
                <w:lang w:eastAsia="zh-TW"/>
              </w:rPr>
              <w:t>#</w:t>
            </w:r>
            <w:r>
              <w:rPr>
                <w:rFonts w:hint="eastAsia" w:ascii="Arial" w:hAnsi="Arial" w:eastAsia="Times New Roman"/>
                <w:sz w:val="16"/>
                <w:szCs w:val="16"/>
                <w:lang w:val="en-US" w:eastAsia="zh-TW"/>
              </w:rPr>
              <w:t>100</w:t>
            </w:r>
          </w:p>
        </w:tc>
        <w:tc>
          <w:tcPr>
            <w:tcW w:w="1134" w:type="dxa"/>
            <w:shd w:val="solid" w:color="FFFFFF" w:fill="auto"/>
          </w:tcPr>
          <w:p>
            <w:pPr>
              <w:pStyle w:val="105"/>
              <w:rPr>
                <w:rFonts w:hint="eastAsia" w:ascii="Arial" w:hAnsi="Arial" w:eastAsia="Times New Roman"/>
                <w:sz w:val="16"/>
                <w:szCs w:val="16"/>
                <w:lang w:eastAsia="zh-TW"/>
              </w:rPr>
            </w:pPr>
            <w:r>
              <w:rPr>
                <w:rFonts w:hint="eastAsia" w:ascii="Arial" w:hAnsi="Arial"/>
                <w:sz w:val="16"/>
                <w:szCs w:val="16"/>
                <w:lang w:eastAsia="zh-TW"/>
              </w:rPr>
              <w:t>R5-23594</w:t>
            </w:r>
            <w:r>
              <w:rPr>
                <w:rFonts w:hint="eastAsia" w:ascii="Arial" w:hAnsi="Arial" w:eastAsia="Times New Roman"/>
                <w:sz w:val="16"/>
                <w:szCs w:val="16"/>
                <w:lang w:val="en-US" w:eastAsia="zh-TW"/>
              </w:rPr>
              <w:t>4</w:t>
            </w:r>
          </w:p>
        </w:tc>
        <w:tc>
          <w:tcPr>
            <w:tcW w:w="567" w:type="dxa"/>
            <w:shd w:val="solid" w:color="FFFFFF" w:fill="auto"/>
          </w:tcPr>
          <w:p>
            <w:pPr>
              <w:pStyle w:val="105"/>
              <w:rPr>
                <w:rFonts w:hint="eastAsia" w:ascii="Arial" w:hAnsi="Arial"/>
                <w:sz w:val="16"/>
                <w:szCs w:val="16"/>
                <w:lang w:eastAsia="zh-TW"/>
              </w:rPr>
            </w:pPr>
          </w:p>
        </w:tc>
        <w:tc>
          <w:tcPr>
            <w:tcW w:w="426" w:type="dxa"/>
            <w:shd w:val="solid" w:color="FFFFFF" w:fill="auto"/>
          </w:tcPr>
          <w:p>
            <w:pPr>
              <w:pStyle w:val="105"/>
              <w:rPr>
                <w:rFonts w:hint="eastAsia" w:ascii="Arial" w:hAnsi="Arial"/>
                <w:sz w:val="16"/>
                <w:szCs w:val="16"/>
                <w:lang w:eastAsia="zh-TW"/>
              </w:rPr>
            </w:pPr>
          </w:p>
        </w:tc>
        <w:tc>
          <w:tcPr>
            <w:tcW w:w="425" w:type="dxa"/>
            <w:shd w:val="solid" w:color="FFFFFF" w:fill="auto"/>
          </w:tcPr>
          <w:p>
            <w:pPr>
              <w:pStyle w:val="105"/>
              <w:rPr>
                <w:rFonts w:hint="eastAsia" w:ascii="Arial" w:hAnsi="Arial"/>
                <w:sz w:val="16"/>
                <w:szCs w:val="16"/>
                <w:lang w:eastAsia="zh-TW"/>
              </w:rPr>
            </w:pPr>
          </w:p>
        </w:tc>
        <w:tc>
          <w:tcPr>
            <w:tcW w:w="4678" w:type="dxa"/>
            <w:shd w:val="solid" w:color="FFFFFF" w:fill="auto"/>
          </w:tcPr>
          <w:p>
            <w:pPr>
              <w:pStyle w:val="105"/>
              <w:jc w:val="left"/>
              <w:rPr>
                <w:rFonts w:hint="eastAsia" w:ascii="Arial" w:hAnsi="Arial" w:eastAsia="Times New Roman" w:cs="Times New Roman"/>
                <w:sz w:val="16"/>
                <w:szCs w:val="16"/>
                <w:lang w:val="en-US" w:eastAsia="zh-TW" w:bidi="ar"/>
              </w:rPr>
            </w:pPr>
            <w:r>
              <w:rPr>
                <w:rFonts w:hint="eastAsia" w:ascii="Arial" w:hAnsi="Arial" w:eastAsia="Times New Roman" w:cs="Times New Roman"/>
                <w:sz w:val="16"/>
                <w:szCs w:val="16"/>
                <w:lang w:val="en-US" w:eastAsia="zh-TW" w:bidi="ar"/>
              </w:rPr>
              <w:t>Editor's note clean-up</w:t>
            </w:r>
          </w:p>
        </w:tc>
        <w:tc>
          <w:tcPr>
            <w:tcW w:w="708" w:type="dxa"/>
            <w:shd w:val="solid" w:color="FFFFFF" w:fill="auto"/>
          </w:tcPr>
          <w:p>
            <w:pPr>
              <w:pStyle w:val="105"/>
              <w:rPr>
                <w:rFonts w:hint="eastAsia" w:ascii="Arial" w:hAnsi="Arial" w:eastAsia="Times New Roman"/>
                <w:sz w:val="16"/>
                <w:szCs w:val="16"/>
                <w:lang w:val="en-US" w:eastAsia="zh-TW"/>
              </w:rPr>
            </w:pPr>
            <w:r>
              <w:rPr>
                <w:rFonts w:hint="eastAsia" w:ascii="Arial" w:hAnsi="Arial" w:eastAsia="Times New Roman"/>
                <w:sz w:val="16"/>
                <w:szCs w:val="16"/>
                <w:lang w:val="en-US" w:eastAsia="zh-TW"/>
              </w:rPr>
              <w:t>0.3.0</w:t>
            </w:r>
          </w:p>
        </w:tc>
      </w:tr>
    </w:tbl>
    <w:p/>
    <w:sectPr>
      <w:headerReference r:id="rId10" w:type="default"/>
      <w:footerReference r:id="rId11"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PMingLiU">
    <w:altName w:val="Microsoft JhengHei UI"/>
    <w:panose1 w:val="02010601000101010101"/>
    <w:charset w:val="88"/>
    <w:family w:val="roman"/>
    <w:pitch w:val="default"/>
    <w:sig w:usb0="00000000" w:usb1="00000000" w:usb2="00000016" w:usb3="00000000" w:csb0="00100001"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v5.0.0">
    <w:altName w:val="Times New Roman"/>
    <w:panose1 w:val="00000000000000000000"/>
    <w:charset w:val="00"/>
    <w:family w:val="roman"/>
    <w:pitch w:val="default"/>
    <w:sig w:usb0="00000000" w:usb1="00000000" w:usb2="00000000" w:usb3="00000000" w:csb0="00000000" w:csb1="00000000"/>
  </w:font>
  <w:font w:name="MS Mincho">
    <w:panose1 w:val="02020609040205080304"/>
    <w:charset w:val="80"/>
    <w:family w:val="modern"/>
    <w:pitch w:val="default"/>
    <w:sig w:usb0="A00002BF" w:usb1="68C7FCFB" w:usb2="00000010" w:usb3="00000000" w:csb0="4002009F" w:csb1="DFD70000"/>
  </w:font>
  <w:font w:name="v4.2.0">
    <w:altName w:val="Times New Roman"/>
    <w:panose1 w:val="00000000000000000000"/>
    <w:charset w:val="00"/>
    <w:family w:val="auto"/>
    <w:pitch w:val="default"/>
    <w:sig w:usb0="00000000" w:usb1="00000000" w:usb2="00000000" w:usb3="00000000" w:csb0="00000000" w:csb1="00000000"/>
  </w:font>
  <w:font w:name="Yu Mincho">
    <w:altName w:val="Yu Gothic"/>
    <w:panose1 w:val="00000000000000000000"/>
    <w:charset w:val="80"/>
    <w:family w:val="roman"/>
    <w:pitch w:val="default"/>
    <w:sig w:usb0="00000000" w:usb1="00000000" w:usb2="00000012" w:usb3="00000000" w:csb0="0002009F" w:csb1="00000000"/>
  </w:font>
  <w:font w:name="Vrinda">
    <w:altName w:val="Segoe Print"/>
    <w:panose1 w:val="00000400000000000000"/>
    <w:charset w:val="00"/>
    <w:family w:val="swiss"/>
    <w:pitch w:val="default"/>
    <w:sig w:usb0="00000000" w:usb1="00000000" w:usb2="00000000" w:usb3="00000000" w:csb0="00000001" w:csb1="00000000"/>
  </w:font>
  <w:font w:name="CG Times (WN)">
    <w:altName w:val="Arial"/>
    <w:panose1 w:val="00000000000000000000"/>
    <w:charset w:val="00"/>
    <w:family w:val="roman"/>
    <w:pitch w:val="default"/>
    <w:sig w:usb0="00000000" w:usb1="00000000" w:usb2="00000000" w:usb3="00000000" w:csb0="00000001" w:csb1="00000000"/>
  </w:font>
  <w:font w:name="微软雅黑">
    <w:panose1 w:val="020B0503020204020204"/>
    <w:charset w:val="86"/>
    <w:family w:val="swiss"/>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香~??’c‘I">
    <w:altName w:val="Yu Gothic"/>
    <w:panose1 w:val="00000000000000000000"/>
    <w:charset w:val="80"/>
    <w:family w:val="auto"/>
    <w:pitch w:val="default"/>
    <w:sig w:usb0="00000000" w:usb1="00000000" w:usb2="00000010" w:usb3="00000000" w:csb0="00020000" w:csb1="00000000"/>
  </w:font>
  <w:font w:name="×–¾’©‘Ì">
    <w:altName w:val="Yu Gothic"/>
    <w:panose1 w:val="00000000000000000000"/>
    <w:charset w:val="80"/>
    <w:family w:val="auto"/>
    <w:pitch w:val="default"/>
    <w:sig w:usb0="00000000" w:usb1="00000000" w:usb2="00000010" w:usb3="00000000" w:csb0="00020001" w:csb1="00000000"/>
  </w:font>
  <w:font w:name="Tahoma">
    <w:panose1 w:val="020B0604030504040204"/>
    <w:charset w:val="00"/>
    <w:family w:val="swiss"/>
    <w:pitch w:val="default"/>
    <w:sig w:usb0="E1002EFF" w:usb1="C000605B" w:usb2="00000029" w:usb3="00000000" w:csb0="200101FF" w:csb1="20280000"/>
  </w:font>
  <w:font w:name="ヒラギノ角ゴ Pro W3">
    <w:altName w:val="Yu Gothic"/>
    <w:panose1 w:val="00000000000000000000"/>
    <w:charset w:val="80"/>
    <w:family w:val="roman"/>
    <w:pitch w:val="default"/>
    <w:sig w:usb0="00000000" w:usb1="00000000" w:usb2="00000010" w:usb3="00000000" w:csb0="00020000" w:csb1="00000000"/>
  </w:font>
  <w:font w:name="MingLiU">
    <w:altName w:val="PMingLiU-ExtB"/>
    <w:panose1 w:val="02010609000101010101"/>
    <w:charset w:val="88"/>
    <w:family w:val="modern"/>
    <w:pitch w:val="default"/>
    <w:sig w:usb0="00000000" w:usb1="00000000" w:usb2="00000016" w:usb3="00000000" w:csb0="00100001" w:csb1="00000000"/>
  </w:font>
  <w:font w:name="Osaka">
    <w:altName w:val="Yu Gothic"/>
    <w:panose1 w:val="00000000000000000000"/>
    <w:charset w:val="80"/>
    <w:family w:val="auto"/>
    <w:pitch w:val="default"/>
    <w:sig w:usb0="00000000" w:usb1="00000000" w:usb2="00000010" w:usb3="00000000" w:csb0="00020000" w:csb1="00000000"/>
  </w:font>
  <w:font w:name="??">
    <w:altName w:val="Yu Gothic"/>
    <w:panose1 w:val="00000000000000000000"/>
    <w:charset w:val="80"/>
    <w:family w:val="roman"/>
    <w:pitch w:val="default"/>
    <w:sig w:usb0="00000000" w:usb1="00000000" w:usb2="00000010" w:usb3="00000000" w:csb0="00020000" w:csb1="00000000"/>
  </w:font>
  <w:font w:name="Times">
    <w:altName w:val="Times New Roman"/>
    <w:panose1 w:val="02020603050405020304"/>
    <w:charset w:val="00"/>
    <w:family w:val="roman"/>
    <w:pitch w:val="default"/>
    <w:sig w:usb0="00000000" w:usb1="00000000" w:usb2="00000009" w:usb3="00000000" w:csb0="000001FF" w:csb1="00000000"/>
  </w:font>
  <w:font w:name="Cambria Math">
    <w:panose1 w:val="02040503050406030204"/>
    <w:charset w:val="00"/>
    <w:family w:val="roman"/>
    <w:pitch w:val="default"/>
    <w:sig w:usb0="E00006FF" w:usb1="420024FF" w:usb2="02000000" w:usb3="00000000" w:csb0="2000019F" w:csb1="00000000"/>
  </w:font>
  <w:font w:name="?? ??">
    <w:altName w:val="Yu Gothic"/>
    <w:panose1 w:val="00000000000000000000"/>
    <w:charset w:val="80"/>
    <w:family w:val="roman"/>
    <w:pitch w:val="default"/>
    <w:sig w:usb0="00000000" w:usb1="00000000" w:usb2="00000010" w:usb3="00000000" w:csb0="00020000" w:csb1="00000000"/>
  </w:font>
  <w:font w:name="Microsoft JhengHei">
    <w:panose1 w:val="020B0604030504040204"/>
    <w:charset w:val="88"/>
    <w:family w:val="swiss"/>
    <w:pitch w:val="default"/>
    <w:sig w:usb0="000002A7" w:usb1="28CF4400" w:usb2="00000016" w:usb3="00000000" w:csb0="00100009" w:csb1="00000000"/>
  </w:font>
  <w:font w:name="MS PGothic">
    <w:panose1 w:val="020B0600070205080204"/>
    <w:charset w:val="80"/>
    <w:family w:val="swiss"/>
    <w:pitch w:val="default"/>
    <w:sig w:usb0="E00002FF" w:usb1="6AC7FDFB" w:usb2="08000012" w:usb3="00000000" w:csb0="4002009F" w:csb1="DFD70000"/>
  </w:font>
  <w:font w:name="Microsoft JhengHei UI">
    <w:panose1 w:val="020B0604030504040204"/>
    <w:charset w:val="88"/>
    <w:family w:val="auto"/>
    <w:pitch w:val="default"/>
    <w:sig w:usb0="000002A7" w:usb1="28CF4400" w:usb2="00000016" w:usb3="00000000" w:csb0="00100009"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36.521-4 V0.3.0 (2023-09)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5"/>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3"/>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6"/>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2"/>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9"/>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3"/>
      <w:lvlText w:val=""/>
      <w:lvlJc w:val="left"/>
      <w:pPr>
        <w:tabs>
          <w:tab w:val="left" w:pos="360"/>
        </w:tabs>
        <w:ind w:left="360" w:hanging="360"/>
      </w:pPr>
      <w:rPr>
        <w:rFonts w:hint="default" w:ascii="Symbol" w:hAnsi="Symbol"/>
      </w:rPr>
    </w:lvl>
  </w:abstractNum>
  <w:abstractNum w:abstractNumId="10">
    <w:nsid w:val="2AF82D9B"/>
    <w:multiLevelType w:val="singleLevel"/>
    <w:tmpl w:val="2AF82D9B"/>
    <w:lvl w:ilvl="0" w:tentative="0">
      <w:start w:val="0"/>
      <w:numFmt w:val="bullet"/>
      <w:lvlText w:val="*"/>
      <w:lvlJc w:val="left"/>
    </w:lvl>
  </w:abstractNum>
  <w:abstractNum w:abstractNumId="11">
    <w:nsid w:val="4B52804E"/>
    <w:multiLevelType w:val="singleLevel"/>
    <w:tmpl w:val="4B52804E"/>
    <w:lvl w:ilvl="0" w:tentative="0">
      <w:start w:val="8"/>
      <w:numFmt w:val="decimal"/>
      <w:lvlText w:val="%1."/>
      <w:lvlJc w:val="left"/>
    </w:lvl>
  </w:abstractNum>
  <w:abstractNum w:abstractNumId="12">
    <w:nsid w:val="7E3B5FB8"/>
    <w:multiLevelType w:val="multilevel"/>
    <w:tmpl w:val="7E3B5FB8"/>
    <w:lvl w:ilvl="0" w:tentative="0">
      <w:start w:val="8"/>
      <w:numFmt w:val="bullet"/>
      <w:lvlText w:val="-"/>
      <w:lvlJc w:val="left"/>
      <w:pPr>
        <w:ind w:left="928" w:hanging="360"/>
      </w:pPr>
      <w:rPr>
        <w:rFonts w:hint="default" w:ascii="Times New Roman" w:hAnsi="Times New Roman" w:eastAsia="Times New Roman" w:cs="Times New Roman"/>
      </w:rPr>
    </w:lvl>
    <w:lvl w:ilvl="1" w:tentative="0">
      <w:start w:val="1"/>
      <w:numFmt w:val="bullet"/>
      <w:lvlText w:val="o"/>
      <w:lvlJc w:val="left"/>
      <w:pPr>
        <w:ind w:left="1648" w:hanging="360"/>
      </w:pPr>
      <w:rPr>
        <w:rFonts w:hint="default" w:ascii="Courier New" w:hAnsi="Courier New" w:cs="Courier New"/>
      </w:rPr>
    </w:lvl>
    <w:lvl w:ilvl="2" w:tentative="0">
      <w:start w:val="1"/>
      <w:numFmt w:val="bullet"/>
      <w:lvlText w:val=""/>
      <w:lvlJc w:val="left"/>
      <w:pPr>
        <w:ind w:left="2368" w:hanging="360"/>
      </w:pPr>
      <w:rPr>
        <w:rFonts w:hint="default" w:ascii="Wingdings" w:hAnsi="Wingdings"/>
      </w:rPr>
    </w:lvl>
    <w:lvl w:ilvl="3" w:tentative="0">
      <w:start w:val="1"/>
      <w:numFmt w:val="bullet"/>
      <w:lvlText w:val=""/>
      <w:lvlJc w:val="left"/>
      <w:pPr>
        <w:ind w:left="3088" w:hanging="360"/>
      </w:pPr>
      <w:rPr>
        <w:rFonts w:hint="default" w:ascii="Symbol" w:hAnsi="Symbol"/>
      </w:rPr>
    </w:lvl>
    <w:lvl w:ilvl="4" w:tentative="0">
      <w:start w:val="1"/>
      <w:numFmt w:val="bullet"/>
      <w:lvlText w:val="o"/>
      <w:lvlJc w:val="left"/>
      <w:pPr>
        <w:ind w:left="3808" w:hanging="360"/>
      </w:pPr>
      <w:rPr>
        <w:rFonts w:hint="default" w:ascii="Courier New" w:hAnsi="Courier New" w:cs="Courier New"/>
      </w:rPr>
    </w:lvl>
    <w:lvl w:ilvl="5" w:tentative="0">
      <w:start w:val="1"/>
      <w:numFmt w:val="bullet"/>
      <w:lvlText w:val=""/>
      <w:lvlJc w:val="left"/>
      <w:pPr>
        <w:ind w:left="4528" w:hanging="360"/>
      </w:pPr>
      <w:rPr>
        <w:rFonts w:hint="default" w:ascii="Wingdings" w:hAnsi="Wingdings"/>
      </w:rPr>
    </w:lvl>
    <w:lvl w:ilvl="6" w:tentative="0">
      <w:start w:val="1"/>
      <w:numFmt w:val="bullet"/>
      <w:lvlText w:val=""/>
      <w:lvlJc w:val="left"/>
      <w:pPr>
        <w:ind w:left="5248" w:hanging="360"/>
      </w:pPr>
      <w:rPr>
        <w:rFonts w:hint="default" w:ascii="Symbol" w:hAnsi="Symbol"/>
      </w:rPr>
    </w:lvl>
    <w:lvl w:ilvl="7" w:tentative="0">
      <w:start w:val="1"/>
      <w:numFmt w:val="bullet"/>
      <w:lvlText w:val="o"/>
      <w:lvlJc w:val="left"/>
      <w:pPr>
        <w:ind w:left="5968" w:hanging="360"/>
      </w:pPr>
      <w:rPr>
        <w:rFonts w:hint="default" w:ascii="Courier New" w:hAnsi="Courier New" w:cs="Courier New"/>
      </w:rPr>
    </w:lvl>
    <w:lvl w:ilvl="8" w:tentative="0">
      <w:start w:val="1"/>
      <w:numFmt w:val="bullet"/>
      <w:lvlText w:val=""/>
      <w:lvlJc w:val="left"/>
      <w:pPr>
        <w:ind w:left="6688" w:hanging="36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3"/>
    <w:lvlOverride w:ilvl="0">
      <w:startOverride w:val="1"/>
    </w:lvlOverride>
  </w:num>
  <w:num w:numId="13">
    <w:abstractNumId w:val="10"/>
    <w:lvlOverride w:ilvl="0">
      <w:lvl w:ilvl="0" w:tentative="1">
        <w:start w:val="1"/>
        <w:numFmt w:val="bullet"/>
        <w:lvlText w:val=""/>
        <w:legacy w:legacy="1" w:legacySpace="0" w:legacyIndent="283"/>
        <w:lvlJc w:val="left"/>
        <w:pPr>
          <w:ind w:left="850" w:hanging="283"/>
        </w:pPr>
        <w:rPr>
          <w:rFonts w:hint="default" w:ascii="Symbol" w:hAnsi="Symbol"/>
        </w:rPr>
      </w:lvl>
    </w:lvlOverride>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web"/>
  <w:zoom w:percent="11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74"/>
    <w:rsid w:val="000105B7"/>
    <w:rsid w:val="000270B9"/>
    <w:rsid w:val="00033397"/>
    <w:rsid w:val="00033A17"/>
    <w:rsid w:val="00040095"/>
    <w:rsid w:val="00041B47"/>
    <w:rsid w:val="00051834"/>
    <w:rsid w:val="00054A22"/>
    <w:rsid w:val="00062023"/>
    <w:rsid w:val="000621F3"/>
    <w:rsid w:val="000655A6"/>
    <w:rsid w:val="00080512"/>
    <w:rsid w:val="00084D91"/>
    <w:rsid w:val="000A7DF8"/>
    <w:rsid w:val="000B2E10"/>
    <w:rsid w:val="000B7C53"/>
    <w:rsid w:val="000C47C3"/>
    <w:rsid w:val="000C537E"/>
    <w:rsid w:val="000D11DA"/>
    <w:rsid w:val="000D58AB"/>
    <w:rsid w:val="0011380A"/>
    <w:rsid w:val="00133525"/>
    <w:rsid w:val="00133837"/>
    <w:rsid w:val="00145555"/>
    <w:rsid w:val="00173E3B"/>
    <w:rsid w:val="00174E78"/>
    <w:rsid w:val="00185639"/>
    <w:rsid w:val="001A4C42"/>
    <w:rsid w:val="001A7420"/>
    <w:rsid w:val="001B6637"/>
    <w:rsid w:val="001C21C3"/>
    <w:rsid w:val="001D02C2"/>
    <w:rsid w:val="001D0B31"/>
    <w:rsid w:val="001E5824"/>
    <w:rsid w:val="001F0C1D"/>
    <w:rsid w:val="001F0D1E"/>
    <w:rsid w:val="001F1132"/>
    <w:rsid w:val="001F168B"/>
    <w:rsid w:val="001F5405"/>
    <w:rsid w:val="00214D0B"/>
    <w:rsid w:val="0021768B"/>
    <w:rsid w:val="002347A2"/>
    <w:rsid w:val="0023621E"/>
    <w:rsid w:val="002675F0"/>
    <w:rsid w:val="00274B39"/>
    <w:rsid w:val="002760EE"/>
    <w:rsid w:val="002A14CC"/>
    <w:rsid w:val="002B6339"/>
    <w:rsid w:val="002C5942"/>
    <w:rsid w:val="002D281E"/>
    <w:rsid w:val="002E00EE"/>
    <w:rsid w:val="00307CA3"/>
    <w:rsid w:val="00315B85"/>
    <w:rsid w:val="003172DC"/>
    <w:rsid w:val="00325B2B"/>
    <w:rsid w:val="00353E3B"/>
    <w:rsid w:val="0035462D"/>
    <w:rsid w:val="00356555"/>
    <w:rsid w:val="00362E0F"/>
    <w:rsid w:val="003765B8"/>
    <w:rsid w:val="003816E2"/>
    <w:rsid w:val="003A3942"/>
    <w:rsid w:val="003C3971"/>
    <w:rsid w:val="003E0918"/>
    <w:rsid w:val="003E1AE8"/>
    <w:rsid w:val="00412AD8"/>
    <w:rsid w:val="00423334"/>
    <w:rsid w:val="004345EC"/>
    <w:rsid w:val="00451523"/>
    <w:rsid w:val="00457754"/>
    <w:rsid w:val="00463AB3"/>
    <w:rsid w:val="00465515"/>
    <w:rsid w:val="0047152A"/>
    <w:rsid w:val="00487255"/>
    <w:rsid w:val="004921ED"/>
    <w:rsid w:val="0049751D"/>
    <w:rsid w:val="004C30AC"/>
    <w:rsid w:val="004C3FA0"/>
    <w:rsid w:val="004D3578"/>
    <w:rsid w:val="004E213A"/>
    <w:rsid w:val="004F0988"/>
    <w:rsid w:val="004F3340"/>
    <w:rsid w:val="00527C99"/>
    <w:rsid w:val="0053388B"/>
    <w:rsid w:val="00535773"/>
    <w:rsid w:val="00543E6C"/>
    <w:rsid w:val="00545435"/>
    <w:rsid w:val="00565087"/>
    <w:rsid w:val="00566709"/>
    <w:rsid w:val="00591576"/>
    <w:rsid w:val="00597B11"/>
    <w:rsid w:val="005A637A"/>
    <w:rsid w:val="005C55A4"/>
    <w:rsid w:val="005D2E01"/>
    <w:rsid w:val="005D7526"/>
    <w:rsid w:val="005E4BB2"/>
    <w:rsid w:val="005F788A"/>
    <w:rsid w:val="00602AEA"/>
    <w:rsid w:val="00614FDF"/>
    <w:rsid w:val="00634285"/>
    <w:rsid w:val="0063543D"/>
    <w:rsid w:val="006444C7"/>
    <w:rsid w:val="00647114"/>
    <w:rsid w:val="006625AF"/>
    <w:rsid w:val="00664323"/>
    <w:rsid w:val="00670CF4"/>
    <w:rsid w:val="006912E9"/>
    <w:rsid w:val="006A03AC"/>
    <w:rsid w:val="006A323F"/>
    <w:rsid w:val="006B30D0"/>
    <w:rsid w:val="006B4AD4"/>
    <w:rsid w:val="006C3D95"/>
    <w:rsid w:val="006E5C86"/>
    <w:rsid w:val="007000D6"/>
    <w:rsid w:val="00701116"/>
    <w:rsid w:val="0071174C"/>
    <w:rsid w:val="00713C44"/>
    <w:rsid w:val="00734A5B"/>
    <w:rsid w:val="0074026F"/>
    <w:rsid w:val="007429F6"/>
    <w:rsid w:val="00744E76"/>
    <w:rsid w:val="00746F6F"/>
    <w:rsid w:val="00765EA3"/>
    <w:rsid w:val="00774DA4"/>
    <w:rsid w:val="00781F0F"/>
    <w:rsid w:val="007B600E"/>
    <w:rsid w:val="007F0F4A"/>
    <w:rsid w:val="007F7DEF"/>
    <w:rsid w:val="008028A4"/>
    <w:rsid w:val="00830747"/>
    <w:rsid w:val="00830904"/>
    <w:rsid w:val="0086627E"/>
    <w:rsid w:val="00875AE8"/>
    <w:rsid w:val="008768CA"/>
    <w:rsid w:val="008A1EB8"/>
    <w:rsid w:val="008C384C"/>
    <w:rsid w:val="008C7B64"/>
    <w:rsid w:val="008D6FFC"/>
    <w:rsid w:val="008E2D68"/>
    <w:rsid w:val="008E6756"/>
    <w:rsid w:val="008F6B2E"/>
    <w:rsid w:val="0090271F"/>
    <w:rsid w:val="00902E23"/>
    <w:rsid w:val="009114D7"/>
    <w:rsid w:val="0091348E"/>
    <w:rsid w:val="00917CCB"/>
    <w:rsid w:val="0092796A"/>
    <w:rsid w:val="00933FB0"/>
    <w:rsid w:val="00942EC2"/>
    <w:rsid w:val="00961316"/>
    <w:rsid w:val="0096489B"/>
    <w:rsid w:val="00967F60"/>
    <w:rsid w:val="00975DAE"/>
    <w:rsid w:val="009E3DAB"/>
    <w:rsid w:val="009F37B7"/>
    <w:rsid w:val="009F74D3"/>
    <w:rsid w:val="00A10F02"/>
    <w:rsid w:val="00A164B4"/>
    <w:rsid w:val="00A26956"/>
    <w:rsid w:val="00A27486"/>
    <w:rsid w:val="00A42ED7"/>
    <w:rsid w:val="00A53724"/>
    <w:rsid w:val="00A53D39"/>
    <w:rsid w:val="00A56066"/>
    <w:rsid w:val="00A73129"/>
    <w:rsid w:val="00A82346"/>
    <w:rsid w:val="00A92BA1"/>
    <w:rsid w:val="00A94633"/>
    <w:rsid w:val="00A95A32"/>
    <w:rsid w:val="00AB4A5D"/>
    <w:rsid w:val="00AC6BC6"/>
    <w:rsid w:val="00AD45A1"/>
    <w:rsid w:val="00AE6164"/>
    <w:rsid w:val="00AE65E2"/>
    <w:rsid w:val="00AF1460"/>
    <w:rsid w:val="00B15449"/>
    <w:rsid w:val="00B21969"/>
    <w:rsid w:val="00B235DC"/>
    <w:rsid w:val="00B54A23"/>
    <w:rsid w:val="00B660AE"/>
    <w:rsid w:val="00B712F0"/>
    <w:rsid w:val="00B93086"/>
    <w:rsid w:val="00BA19ED"/>
    <w:rsid w:val="00BA4B8D"/>
    <w:rsid w:val="00BC0F7D"/>
    <w:rsid w:val="00BC5FE4"/>
    <w:rsid w:val="00BD1368"/>
    <w:rsid w:val="00BD7D31"/>
    <w:rsid w:val="00BE3255"/>
    <w:rsid w:val="00BF128E"/>
    <w:rsid w:val="00BF4921"/>
    <w:rsid w:val="00C0294D"/>
    <w:rsid w:val="00C074DD"/>
    <w:rsid w:val="00C14903"/>
    <w:rsid w:val="00C1496A"/>
    <w:rsid w:val="00C33079"/>
    <w:rsid w:val="00C45231"/>
    <w:rsid w:val="00C551FF"/>
    <w:rsid w:val="00C7156E"/>
    <w:rsid w:val="00C72833"/>
    <w:rsid w:val="00C80F1D"/>
    <w:rsid w:val="00C91962"/>
    <w:rsid w:val="00C93F40"/>
    <w:rsid w:val="00C96C87"/>
    <w:rsid w:val="00CA3D0C"/>
    <w:rsid w:val="00CD3C67"/>
    <w:rsid w:val="00D0324E"/>
    <w:rsid w:val="00D57972"/>
    <w:rsid w:val="00D675A9"/>
    <w:rsid w:val="00D67AC4"/>
    <w:rsid w:val="00D722A3"/>
    <w:rsid w:val="00D738D6"/>
    <w:rsid w:val="00D755EB"/>
    <w:rsid w:val="00D76048"/>
    <w:rsid w:val="00D82E6F"/>
    <w:rsid w:val="00D87E00"/>
    <w:rsid w:val="00D9045B"/>
    <w:rsid w:val="00D9134D"/>
    <w:rsid w:val="00DA7A03"/>
    <w:rsid w:val="00DA7F97"/>
    <w:rsid w:val="00DB1818"/>
    <w:rsid w:val="00DC309B"/>
    <w:rsid w:val="00DC4DA2"/>
    <w:rsid w:val="00DD0D08"/>
    <w:rsid w:val="00DD4C17"/>
    <w:rsid w:val="00DD74A5"/>
    <w:rsid w:val="00DF2B1F"/>
    <w:rsid w:val="00DF62CD"/>
    <w:rsid w:val="00E16509"/>
    <w:rsid w:val="00E44582"/>
    <w:rsid w:val="00E4618E"/>
    <w:rsid w:val="00E519A9"/>
    <w:rsid w:val="00E53D47"/>
    <w:rsid w:val="00E54264"/>
    <w:rsid w:val="00E77645"/>
    <w:rsid w:val="00E87A30"/>
    <w:rsid w:val="00EA15B0"/>
    <w:rsid w:val="00EA5EA7"/>
    <w:rsid w:val="00EA66BD"/>
    <w:rsid w:val="00EC4A25"/>
    <w:rsid w:val="00EF608C"/>
    <w:rsid w:val="00F025A2"/>
    <w:rsid w:val="00F04712"/>
    <w:rsid w:val="00F07C8F"/>
    <w:rsid w:val="00F13360"/>
    <w:rsid w:val="00F22EC7"/>
    <w:rsid w:val="00F24F0C"/>
    <w:rsid w:val="00F3064C"/>
    <w:rsid w:val="00F30FC0"/>
    <w:rsid w:val="00F325C8"/>
    <w:rsid w:val="00F34834"/>
    <w:rsid w:val="00F44223"/>
    <w:rsid w:val="00F53847"/>
    <w:rsid w:val="00F653B8"/>
    <w:rsid w:val="00F8073F"/>
    <w:rsid w:val="00F9008D"/>
    <w:rsid w:val="00FA1266"/>
    <w:rsid w:val="00FB3BDA"/>
    <w:rsid w:val="00FC1192"/>
    <w:rsid w:val="00FD4B6C"/>
    <w:rsid w:val="013C6B23"/>
    <w:rsid w:val="01A956DB"/>
    <w:rsid w:val="027836FB"/>
    <w:rsid w:val="02AE5458"/>
    <w:rsid w:val="02CD2C4F"/>
    <w:rsid w:val="03153BA0"/>
    <w:rsid w:val="032F014C"/>
    <w:rsid w:val="03B731EB"/>
    <w:rsid w:val="03F972C6"/>
    <w:rsid w:val="04F90C57"/>
    <w:rsid w:val="05E73E02"/>
    <w:rsid w:val="06311287"/>
    <w:rsid w:val="06B708F1"/>
    <w:rsid w:val="06D0542D"/>
    <w:rsid w:val="06E46012"/>
    <w:rsid w:val="07006622"/>
    <w:rsid w:val="07F44A3F"/>
    <w:rsid w:val="08A63C9D"/>
    <w:rsid w:val="09294FF5"/>
    <w:rsid w:val="0A29059A"/>
    <w:rsid w:val="0A697D4E"/>
    <w:rsid w:val="0A6F5DBE"/>
    <w:rsid w:val="0ABF11BD"/>
    <w:rsid w:val="0BAA5B6F"/>
    <w:rsid w:val="0BCC2ECF"/>
    <w:rsid w:val="0BE00001"/>
    <w:rsid w:val="0CB117D6"/>
    <w:rsid w:val="0CB14415"/>
    <w:rsid w:val="0D4D3563"/>
    <w:rsid w:val="0DDB799F"/>
    <w:rsid w:val="0DEF00E5"/>
    <w:rsid w:val="0E244676"/>
    <w:rsid w:val="0E455049"/>
    <w:rsid w:val="0ED75A5C"/>
    <w:rsid w:val="0FD0308B"/>
    <w:rsid w:val="1180779B"/>
    <w:rsid w:val="11AC7015"/>
    <w:rsid w:val="13203E9F"/>
    <w:rsid w:val="138907EE"/>
    <w:rsid w:val="15382631"/>
    <w:rsid w:val="15773D45"/>
    <w:rsid w:val="16617564"/>
    <w:rsid w:val="167F075B"/>
    <w:rsid w:val="16831A59"/>
    <w:rsid w:val="17B062DC"/>
    <w:rsid w:val="18322350"/>
    <w:rsid w:val="18B57F73"/>
    <w:rsid w:val="19283037"/>
    <w:rsid w:val="192E599F"/>
    <w:rsid w:val="19E303AA"/>
    <w:rsid w:val="1A1673A8"/>
    <w:rsid w:val="1B0662E7"/>
    <w:rsid w:val="1B213C3E"/>
    <w:rsid w:val="1CEA46A0"/>
    <w:rsid w:val="1D54432D"/>
    <w:rsid w:val="1DE515DD"/>
    <w:rsid w:val="1E353806"/>
    <w:rsid w:val="1E6A6AB8"/>
    <w:rsid w:val="20506966"/>
    <w:rsid w:val="20A60C74"/>
    <w:rsid w:val="217C2017"/>
    <w:rsid w:val="228902EB"/>
    <w:rsid w:val="22CD44A5"/>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B2B1925"/>
    <w:rsid w:val="2B2D5A4E"/>
    <w:rsid w:val="2B4B0E74"/>
    <w:rsid w:val="2BD568F6"/>
    <w:rsid w:val="2BE570D4"/>
    <w:rsid w:val="2C4A55CD"/>
    <w:rsid w:val="2C4D3308"/>
    <w:rsid w:val="2C636D1C"/>
    <w:rsid w:val="2CB3596E"/>
    <w:rsid w:val="2CBF096B"/>
    <w:rsid w:val="2D9029C1"/>
    <w:rsid w:val="2E483350"/>
    <w:rsid w:val="2F4F0640"/>
    <w:rsid w:val="2F7704E9"/>
    <w:rsid w:val="309F1409"/>
    <w:rsid w:val="30C67ED5"/>
    <w:rsid w:val="30EF1049"/>
    <w:rsid w:val="32C63ACE"/>
    <w:rsid w:val="32D45B7B"/>
    <w:rsid w:val="32F276C0"/>
    <w:rsid w:val="331A5147"/>
    <w:rsid w:val="34412DE8"/>
    <w:rsid w:val="345779CF"/>
    <w:rsid w:val="358B79D1"/>
    <w:rsid w:val="36CB7872"/>
    <w:rsid w:val="371B4E36"/>
    <w:rsid w:val="3801510A"/>
    <w:rsid w:val="3A787566"/>
    <w:rsid w:val="3AB25EFB"/>
    <w:rsid w:val="3B1E0D79"/>
    <w:rsid w:val="3B2A7B87"/>
    <w:rsid w:val="3B4F40EB"/>
    <w:rsid w:val="3C0C667B"/>
    <w:rsid w:val="3CA431E5"/>
    <w:rsid w:val="3DE13F19"/>
    <w:rsid w:val="3FA5767C"/>
    <w:rsid w:val="40F06612"/>
    <w:rsid w:val="44F93DEF"/>
    <w:rsid w:val="456123C9"/>
    <w:rsid w:val="45B771EB"/>
    <w:rsid w:val="471C0C80"/>
    <w:rsid w:val="479429AB"/>
    <w:rsid w:val="47E3301F"/>
    <w:rsid w:val="49A711F8"/>
    <w:rsid w:val="4A693F8E"/>
    <w:rsid w:val="4ACF1CB2"/>
    <w:rsid w:val="4AF44CC2"/>
    <w:rsid w:val="4B0C3A10"/>
    <w:rsid w:val="4B596313"/>
    <w:rsid w:val="4BBB04B7"/>
    <w:rsid w:val="4BE51A15"/>
    <w:rsid w:val="4BF16221"/>
    <w:rsid w:val="4C0D6CC7"/>
    <w:rsid w:val="4C5E2F58"/>
    <w:rsid w:val="4D0B6397"/>
    <w:rsid w:val="4D4F347D"/>
    <w:rsid w:val="4D80593E"/>
    <w:rsid w:val="4D8D54A9"/>
    <w:rsid w:val="4DAE3B7E"/>
    <w:rsid w:val="4DF949F4"/>
    <w:rsid w:val="4E1137D5"/>
    <w:rsid w:val="4E286491"/>
    <w:rsid w:val="4EAC01FC"/>
    <w:rsid w:val="4F71180B"/>
    <w:rsid w:val="501157BC"/>
    <w:rsid w:val="502D0717"/>
    <w:rsid w:val="510373C4"/>
    <w:rsid w:val="51127D09"/>
    <w:rsid w:val="516707EB"/>
    <w:rsid w:val="51D81EB4"/>
    <w:rsid w:val="521456C3"/>
    <w:rsid w:val="523066EF"/>
    <w:rsid w:val="524E10DD"/>
    <w:rsid w:val="52EB3250"/>
    <w:rsid w:val="53302646"/>
    <w:rsid w:val="53B62918"/>
    <w:rsid w:val="547B3104"/>
    <w:rsid w:val="54AB1F17"/>
    <w:rsid w:val="56142E43"/>
    <w:rsid w:val="561465A0"/>
    <w:rsid w:val="56590A6E"/>
    <w:rsid w:val="569807E6"/>
    <w:rsid w:val="56BC2CFF"/>
    <w:rsid w:val="57163648"/>
    <w:rsid w:val="57500AEA"/>
    <w:rsid w:val="581820D3"/>
    <w:rsid w:val="5961613A"/>
    <w:rsid w:val="59BB7D69"/>
    <w:rsid w:val="5C4A5884"/>
    <w:rsid w:val="5C69053A"/>
    <w:rsid w:val="5CEA0E69"/>
    <w:rsid w:val="5D5532E0"/>
    <w:rsid w:val="5DBB2A80"/>
    <w:rsid w:val="5ECC17B3"/>
    <w:rsid w:val="5FCA69CB"/>
    <w:rsid w:val="608337E2"/>
    <w:rsid w:val="60A17343"/>
    <w:rsid w:val="60A33833"/>
    <w:rsid w:val="60B724C2"/>
    <w:rsid w:val="6202734A"/>
    <w:rsid w:val="62246707"/>
    <w:rsid w:val="62541333"/>
    <w:rsid w:val="62715858"/>
    <w:rsid w:val="62834D5E"/>
    <w:rsid w:val="62A03320"/>
    <w:rsid w:val="62E33E4C"/>
    <w:rsid w:val="63C84FDF"/>
    <w:rsid w:val="645164CF"/>
    <w:rsid w:val="649F4C26"/>
    <w:rsid w:val="65231BB2"/>
    <w:rsid w:val="65B46F20"/>
    <w:rsid w:val="6696276E"/>
    <w:rsid w:val="671856C2"/>
    <w:rsid w:val="675F5DAB"/>
    <w:rsid w:val="67C20B43"/>
    <w:rsid w:val="698748CE"/>
    <w:rsid w:val="69AB4C68"/>
    <w:rsid w:val="69B17418"/>
    <w:rsid w:val="69E26186"/>
    <w:rsid w:val="69FD16BE"/>
    <w:rsid w:val="6A001769"/>
    <w:rsid w:val="6A291E7B"/>
    <w:rsid w:val="6A793A4D"/>
    <w:rsid w:val="6AB27AB2"/>
    <w:rsid w:val="6B4537F3"/>
    <w:rsid w:val="6E1D116D"/>
    <w:rsid w:val="6E202556"/>
    <w:rsid w:val="6E377E00"/>
    <w:rsid w:val="6E9C50E9"/>
    <w:rsid w:val="6F715EBA"/>
    <w:rsid w:val="6FA8302C"/>
    <w:rsid w:val="6FB87E3E"/>
    <w:rsid w:val="701476F5"/>
    <w:rsid w:val="715C0692"/>
    <w:rsid w:val="71D67425"/>
    <w:rsid w:val="71D706A1"/>
    <w:rsid w:val="720D27B9"/>
    <w:rsid w:val="72187978"/>
    <w:rsid w:val="72242196"/>
    <w:rsid w:val="72560C6F"/>
    <w:rsid w:val="727B0289"/>
    <w:rsid w:val="72BD48CD"/>
    <w:rsid w:val="7376359C"/>
    <w:rsid w:val="73FD7F4C"/>
    <w:rsid w:val="74774DAC"/>
    <w:rsid w:val="749E03BF"/>
    <w:rsid w:val="74BD6524"/>
    <w:rsid w:val="77580E59"/>
    <w:rsid w:val="779D4E08"/>
    <w:rsid w:val="77FF6E2F"/>
    <w:rsid w:val="78D805FB"/>
    <w:rsid w:val="78D8348E"/>
    <w:rsid w:val="79697EBE"/>
    <w:rsid w:val="7A282199"/>
    <w:rsid w:val="7A760C0B"/>
    <w:rsid w:val="7AA71778"/>
    <w:rsid w:val="7AB651DC"/>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PMingLiU"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8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link w:val="181"/>
    <w:qFormat/>
    <w:uiPriority w:val="0"/>
    <w:pPr>
      <w:pBdr>
        <w:top w:val="none" w:color="auto" w:sz="0" w:space="0"/>
      </w:pBdr>
      <w:spacing w:before="180"/>
      <w:outlineLvl w:val="1"/>
    </w:pPr>
    <w:rPr>
      <w:sz w:val="32"/>
    </w:rPr>
  </w:style>
  <w:style w:type="paragraph" w:styleId="5">
    <w:name w:val="heading 3"/>
    <w:basedOn w:val="4"/>
    <w:next w:val="1"/>
    <w:link w:val="182"/>
    <w:qFormat/>
    <w:uiPriority w:val="0"/>
    <w:pPr>
      <w:spacing w:before="120"/>
      <w:outlineLvl w:val="2"/>
    </w:pPr>
    <w:rPr>
      <w:sz w:val="28"/>
    </w:rPr>
  </w:style>
  <w:style w:type="paragraph" w:styleId="6">
    <w:name w:val="heading 4"/>
    <w:basedOn w:val="5"/>
    <w:next w:val="1"/>
    <w:link w:val="197"/>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5"/>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link w:val="178"/>
    <w:qFormat/>
    <w:uiPriority w:val="0"/>
    <w:pPr>
      <w:ind w:left="1985" w:hanging="1985"/>
      <w:outlineLvl w:val="9"/>
    </w:pPr>
    <w:rPr>
      <w:sz w:val="20"/>
    </w:rPr>
  </w:style>
  <w:style w:type="paragraph" w:styleId="13">
    <w:name w:val="List 3"/>
    <w:basedOn w:val="14"/>
    <w:qFormat/>
    <w:uiPriority w:val="0"/>
    <w:pPr>
      <w:ind w:left="849"/>
    </w:pPr>
  </w:style>
  <w:style w:type="paragraph" w:styleId="14">
    <w:name w:val="List 2"/>
    <w:basedOn w:val="15"/>
    <w:qFormat/>
    <w:uiPriority w:val="0"/>
    <w:pPr>
      <w:ind w:left="566"/>
    </w:pPr>
  </w:style>
  <w:style w:type="paragraph" w:styleId="15">
    <w:name w:val="List"/>
    <w:basedOn w:val="1"/>
    <w:qFormat/>
    <w:uiPriority w:val="0"/>
    <w:pPr>
      <w:ind w:left="283" w:hanging="283"/>
      <w:contextualSpacing/>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3">
    <w:name w:val="List Number 2"/>
    <w:basedOn w:val="1"/>
    <w:qFormat/>
    <w:uiPriority w:val="0"/>
    <w:pPr>
      <w:numPr>
        <w:ilvl w:val="0"/>
        <w:numId w:val="1"/>
      </w:numPr>
      <w:contextualSpacing/>
    </w:pPr>
  </w:style>
  <w:style w:type="paragraph" w:styleId="24">
    <w:name w:val="table of authorities"/>
    <w:basedOn w:val="1"/>
    <w:next w:val="1"/>
    <w:qFormat/>
    <w:uiPriority w:val="0"/>
    <w:pPr>
      <w:spacing w:after="0"/>
      <w:ind w:left="200" w:hanging="200"/>
    </w:pPr>
  </w:style>
  <w:style w:type="paragraph" w:styleId="25">
    <w:name w:val="Note Heading"/>
    <w:basedOn w:val="1"/>
    <w:next w:val="1"/>
    <w:link w:val="158"/>
    <w:qFormat/>
    <w:uiPriority w:val="0"/>
    <w:pPr>
      <w:spacing w:after="0"/>
    </w:pPr>
  </w:style>
  <w:style w:type="paragraph" w:styleId="26">
    <w:name w:val="List Bullet 4"/>
    <w:basedOn w:val="1"/>
    <w:qFormat/>
    <w:uiPriority w:val="0"/>
    <w:pPr>
      <w:numPr>
        <w:ilvl w:val="0"/>
        <w:numId w:val="2"/>
      </w:numPr>
      <w:contextualSpacing/>
    </w:pPr>
  </w:style>
  <w:style w:type="paragraph" w:styleId="27">
    <w:name w:val="index 8"/>
    <w:basedOn w:val="1"/>
    <w:next w:val="1"/>
    <w:qFormat/>
    <w:uiPriority w:val="0"/>
    <w:pPr>
      <w:spacing w:after="0"/>
      <w:ind w:left="1600" w:hanging="200"/>
    </w:pPr>
  </w:style>
  <w:style w:type="paragraph" w:styleId="28">
    <w:name w:val="E-mail Signature"/>
    <w:basedOn w:val="1"/>
    <w:link w:val="147"/>
    <w:qFormat/>
    <w:uiPriority w:val="0"/>
    <w:pPr>
      <w:spacing w:after="0"/>
    </w:pPr>
  </w:style>
  <w:style w:type="paragraph" w:styleId="29">
    <w:name w:val="List Number"/>
    <w:basedOn w:val="1"/>
    <w:qFormat/>
    <w:uiPriority w:val="0"/>
    <w:pPr>
      <w:numPr>
        <w:ilvl w:val="0"/>
        <w:numId w:val="3"/>
      </w:numPr>
      <w:contextualSpacing/>
    </w:pPr>
  </w:style>
  <w:style w:type="paragraph" w:styleId="30">
    <w:name w:val="Normal Indent"/>
    <w:basedOn w:val="1"/>
    <w:qFormat/>
    <w:uiPriority w:val="0"/>
    <w:pPr>
      <w:ind w:left="720"/>
    </w:pPr>
  </w:style>
  <w:style w:type="paragraph" w:styleId="31">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2">
    <w:name w:val="index 5"/>
    <w:basedOn w:val="1"/>
    <w:next w:val="1"/>
    <w:qFormat/>
    <w:uiPriority w:val="0"/>
    <w:pPr>
      <w:spacing w:after="0"/>
      <w:ind w:left="1000" w:hanging="200"/>
    </w:pPr>
  </w:style>
  <w:style w:type="paragraph" w:styleId="33">
    <w:name w:val="List Bullet"/>
    <w:basedOn w:val="1"/>
    <w:qFormat/>
    <w:uiPriority w:val="0"/>
    <w:pPr>
      <w:numPr>
        <w:ilvl w:val="0"/>
        <w:numId w:val="4"/>
      </w:numPr>
      <w:contextualSpacing/>
    </w:pPr>
  </w:style>
  <w:style w:type="paragraph" w:styleId="34">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5">
    <w:name w:val="Document Map"/>
    <w:basedOn w:val="1"/>
    <w:link w:val="146"/>
    <w:qFormat/>
    <w:uiPriority w:val="0"/>
    <w:pPr>
      <w:spacing w:after="0"/>
    </w:pPr>
    <w:rPr>
      <w:rFonts w:ascii="Segoe UI" w:hAnsi="Segoe UI" w:cs="Segoe UI"/>
      <w:sz w:val="16"/>
      <w:szCs w:val="16"/>
    </w:rPr>
  </w:style>
  <w:style w:type="paragraph" w:styleId="36">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7">
    <w:name w:val="annotation text"/>
    <w:basedOn w:val="1"/>
    <w:link w:val="143"/>
    <w:qFormat/>
    <w:uiPriority w:val="0"/>
  </w:style>
  <w:style w:type="paragraph" w:styleId="38">
    <w:name w:val="index 6"/>
    <w:basedOn w:val="1"/>
    <w:next w:val="1"/>
    <w:qFormat/>
    <w:uiPriority w:val="0"/>
    <w:pPr>
      <w:spacing w:after="0"/>
      <w:ind w:left="1200" w:hanging="200"/>
    </w:pPr>
  </w:style>
  <w:style w:type="paragraph" w:styleId="39">
    <w:name w:val="Salutation"/>
    <w:basedOn w:val="1"/>
    <w:next w:val="1"/>
    <w:link w:val="162"/>
    <w:qFormat/>
    <w:uiPriority w:val="0"/>
  </w:style>
  <w:style w:type="paragraph" w:styleId="40">
    <w:name w:val="Body Text 3"/>
    <w:basedOn w:val="1"/>
    <w:link w:val="136"/>
    <w:qFormat/>
    <w:uiPriority w:val="0"/>
    <w:pPr>
      <w:spacing w:after="120"/>
    </w:pPr>
    <w:rPr>
      <w:sz w:val="16"/>
      <w:szCs w:val="16"/>
    </w:rPr>
  </w:style>
  <w:style w:type="paragraph" w:styleId="41">
    <w:name w:val="Closing"/>
    <w:basedOn w:val="1"/>
    <w:link w:val="142"/>
    <w:qFormat/>
    <w:uiPriority w:val="0"/>
    <w:pPr>
      <w:spacing w:after="0"/>
      <w:ind w:left="4252"/>
    </w:pPr>
  </w:style>
  <w:style w:type="paragraph" w:styleId="42">
    <w:name w:val="List Bullet 3"/>
    <w:basedOn w:val="1"/>
    <w:qFormat/>
    <w:uiPriority w:val="0"/>
    <w:pPr>
      <w:numPr>
        <w:ilvl w:val="0"/>
        <w:numId w:val="5"/>
      </w:numPr>
      <w:contextualSpacing/>
    </w:pPr>
  </w:style>
  <w:style w:type="paragraph" w:styleId="43">
    <w:name w:val="Body Text"/>
    <w:basedOn w:val="1"/>
    <w:link w:val="134"/>
    <w:qFormat/>
    <w:uiPriority w:val="0"/>
    <w:pPr>
      <w:spacing w:after="120"/>
    </w:pPr>
  </w:style>
  <w:style w:type="paragraph" w:styleId="44">
    <w:name w:val="Body Text Indent"/>
    <w:basedOn w:val="1"/>
    <w:link w:val="138"/>
    <w:qFormat/>
    <w:uiPriority w:val="0"/>
    <w:pPr>
      <w:spacing w:after="120"/>
      <w:ind w:left="283"/>
    </w:pPr>
  </w:style>
  <w:style w:type="paragraph" w:styleId="45">
    <w:name w:val="List Number 3"/>
    <w:basedOn w:val="1"/>
    <w:qFormat/>
    <w:uiPriority w:val="0"/>
    <w:pPr>
      <w:numPr>
        <w:ilvl w:val="0"/>
        <w:numId w:val="6"/>
      </w:numPr>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8">
    <w:name w:val="List Bullet 2"/>
    <w:basedOn w:val="1"/>
    <w:qFormat/>
    <w:uiPriority w:val="0"/>
    <w:pPr>
      <w:numPr>
        <w:ilvl w:val="0"/>
        <w:numId w:val="7"/>
      </w:numPr>
      <w:contextualSpacing/>
    </w:pPr>
  </w:style>
  <w:style w:type="paragraph" w:styleId="49">
    <w:name w:val="HTML Address"/>
    <w:basedOn w:val="1"/>
    <w:link w:val="150"/>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5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45"/>
    <w:qFormat/>
    <w:uiPriority w:val="0"/>
  </w:style>
  <w:style w:type="paragraph" w:styleId="57">
    <w:name w:val="Body Text Indent 2"/>
    <w:basedOn w:val="1"/>
    <w:link w:val="140"/>
    <w:qFormat/>
    <w:uiPriority w:val="0"/>
    <w:pPr>
      <w:spacing w:after="120" w:line="480" w:lineRule="auto"/>
      <w:ind w:left="283"/>
    </w:pPr>
  </w:style>
  <w:style w:type="paragraph" w:styleId="58">
    <w:name w:val="endnote text"/>
    <w:basedOn w:val="1"/>
    <w:link w:val="148"/>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2"/>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6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64"/>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qFormat/>
    <w:uiPriority w:val="0"/>
    <w:pPr>
      <w:numPr>
        <w:ilvl w:val="0"/>
        <w:numId w:val="10"/>
      </w:numPr>
      <w:contextualSpacing/>
    </w:pPr>
  </w:style>
  <w:style w:type="paragraph" w:styleId="70">
    <w:name w:val="footnote text"/>
    <w:basedOn w:val="1"/>
    <w:link w:val="14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1"/>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35"/>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6"/>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1"/>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7"/>
    <w:next w:val="37"/>
    <w:link w:val="144"/>
    <w:qFormat/>
    <w:uiPriority w:val="0"/>
    <w:rPr>
      <w:b/>
      <w:bCs/>
    </w:rPr>
  </w:style>
  <w:style w:type="paragraph" w:styleId="87">
    <w:name w:val="Body Text First Indent"/>
    <w:basedOn w:val="43"/>
    <w:link w:val="137"/>
    <w:qFormat/>
    <w:uiPriority w:val="0"/>
    <w:pPr>
      <w:spacing w:after="180"/>
      <w:ind w:firstLine="360"/>
    </w:pPr>
  </w:style>
  <w:style w:type="paragraph" w:styleId="88">
    <w:name w:val="Body Text First Indent 2"/>
    <w:basedOn w:val="44"/>
    <w:link w:val="139"/>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basedOn w:val="91"/>
    <w:qFormat/>
    <w:uiPriority w:val="0"/>
    <w:rPr>
      <w:sz w:val="18"/>
      <w:szCs w:val="18"/>
    </w:rPr>
  </w:style>
  <w:style w:type="paragraph" w:customStyle="1" w:styleId="95">
    <w:name w:val="EQ"/>
    <w:basedOn w:val="1"/>
    <w:next w:val="1"/>
    <w:link w:val="175"/>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link w:val="174"/>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83"/>
    <w:qFormat/>
    <w:uiPriority w:val="0"/>
    <w:pPr>
      <w:keepNext/>
      <w:keepLines/>
      <w:spacing w:after="0"/>
    </w:pPr>
    <w:rPr>
      <w:rFonts w:ascii="Arial" w:hAnsi="Arial"/>
      <w:sz w:val="18"/>
    </w:rPr>
  </w:style>
  <w:style w:type="paragraph" w:customStyle="1" w:styleId="104">
    <w:name w:val="TAH"/>
    <w:basedOn w:val="105"/>
    <w:link w:val="172"/>
    <w:qFormat/>
    <w:uiPriority w:val="0"/>
    <w:rPr>
      <w:b/>
    </w:rPr>
  </w:style>
  <w:style w:type="paragraph" w:customStyle="1" w:styleId="105">
    <w:name w:val="TAC"/>
    <w:basedOn w:val="103"/>
    <w:link w:val="171"/>
    <w:qFormat/>
    <w:uiPriority w:val="0"/>
    <w:pPr>
      <w:jc w:val="center"/>
    </w:pPr>
  </w:style>
  <w:style w:type="paragraph" w:customStyle="1" w:styleId="106">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7">
    <w:name w:val="EX"/>
    <w:basedOn w:val="1"/>
    <w:link w:val="168"/>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15"/>
    <w:link w:val="167"/>
    <w:qFormat/>
    <w:uiPriority w:val="0"/>
    <w:pPr>
      <w:ind w:left="568" w:hanging="284"/>
    </w:pPr>
  </w:style>
  <w:style w:type="paragraph" w:customStyle="1" w:styleId="112">
    <w:name w:val="Editor's Note"/>
    <w:basedOn w:val="100"/>
    <w:link w:val="177"/>
    <w:qFormat/>
    <w:uiPriority w:val="0"/>
    <w:pPr>
      <w:ind w:left="1418" w:hanging="1134"/>
    </w:pPr>
    <w:rPr>
      <w:color w:val="FF0000"/>
    </w:rPr>
  </w:style>
  <w:style w:type="paragraph" w:customStyle="1" w:styleId="113">
    <w:name w:val="TH"/>
    <w:basedOn w:val="1"/>
    <w:link w:val="131"/>
    <w:qFormat/>
    <w:uiPriority w:val="0"/>
    <w:pPr>
      <w:keepNext/>
      <w:keepLines/>
      <w:spacing w:before="60"/>
      <w:jc w:val="center"/>
    </w:pPr>
    <w:rPr>
      <w:rFonts w:ascii="Arial" w:hAnsi="Arial"/>
      <w:b/>
    </w:rPr>
  </w:style>
  <w:style w:type="paragraph" w:customStyle="1" w:styleId="114">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5">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6">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8">
    <w:name w:val="TAN"/>
    <w:basedOn w:val="103"/>
    <w:link w:val="17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0">
    <w:name w:val="TF"/>
    <w:basedOn w:val="113"/>
    <w:link w:val="195"/>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2">
    <w:name w:val="B2"/>
    <w:basedOn w:val="14"/>
    <w:link w:val="170"/>
    <w:qFormat/>
    <w:uiPriority w:val="0"/>
    <w:pPr>
      <w:ind w:left="851" w:hanging="284"/>
    </w:pPr>
  </w:style>
  <w:style w:type="paragraph" w:customStyle="1" w:styleId="123">
    <w:name w:val="B3"/>
    <w:basedOn w:val="13"/>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Unresolved Mention1"/>
    <w:semiHidden/>
    <w:unhideWhenUsed/>
    <w:qFormat/>
    <w:uiPriority w:val="99"/>
    <w:rPr>
      <w:color w:val="605E5C"/>
      <w:shd w:val="clear" w:color="auto" w:fill="E1DFDD"/>
    </w:rPr>
  </w:style>
  <w:style w:type="character" w:customStyle="1" w:styleId="131">
    <w:name w:val="TH Char"/>
    <w:link w:val="113"/>
    <w:qFormat/>
    <w:uiPriority w:val="0"/>
    <w:rPr>
      <w:rFonts w:ascii="Arial" w:hAnsi="Arial" w:eastAsia="Times New Roman"/>
      <w:b/>
      <w:lang w:eastAsia="en-US"/>
    </w:rPr>
  </w:style>
  <w:style w:type="character" w:customStyle="1" w:styleId="132">
    <w:name w:val="批注框文本 字符"/>
    <w:basedOn w:val="91"/>
    <w:link w:val="60"/>
    <w:semiHidden/>
    <w:qFormat/>
    <w:uiPriority w:val="0"/>
    <w:rPr>
      <w:rFonts w:ascii="Segoe UI" w:hAnsi="Segoe UI" w:eastAsia="Times New Roman" w:cs="Segoe UI"/>
      <w:sz w:val="18"/>
      <w:szCs w:val="18"/>
      <w:lang w:eastAsia="en-US"/>
    </w:rPr>
  </w:style>
  <w:style w:type="paragraph" w:customStyle="1" w:styleId="133">
    <w:name w:val="Bibliography1"/>
    <w:basedOn w:val="1"/>
    <w:next w:val="1"/>
    <w:semiHidden/>
    <w:unhideWhenUsed/>
    <w:qFormat/>
    <w:uiPriority w:val="37"/>
  </w:style>
  <w:style w:type="character" w:customStyle="1" w:styleId="134">
    <w:name w:val="正文文本 字符"/>
    <w:basedOn w:val="91"/>
    <w:link w:val="43"/>
    <w:qFormat/>
    <w:uiPriority w:val="0"/>
    <w:rPr>
      <w:rFonts w:eastAsia="Times New Roman"/>
      <w:lang w:eastAsia="en-US"/>
    </w:rPr>
  </w:style>
  <w:style w:type="character" w:customStyle="1" w:styleId="135">
    <w:name w:val="正文文本 2 字符"/>
    <w:basedOn w:val="91"/>
    <w:link w:val="77"/>
    <w:qFormat/>
    <w:uiPriority w:val="0"/>
    <w:rPr>
      <w:rFonts w:eastAsia="Times New Roman"/>
      <w:lang w:eastAsia="en-US"/>
    </w:rPr>
  </w:style>
  <w:style w:type="character" w:customStyle="1" w:styleId="136">
    <w:name w:val="正文文本 3 字符"/>
    <w:basedOn w:val="91"/>
    <w:link w:val="40"/>
    <w:qFormat/>
    <w:uiPriority w:val="0"/>
    <w:rPr>
      <w:rFonts w:eastAsia="Times New Roman"/>
      <w:sz w:val="16"/>
      <w:szCs w:val="16"/>
      <w:lang w:eastAsia="en-US"/>
    </w:rPr>
  </w:style>
  <w:style w:type="character" w:customStyle="1" w:styleId="137">
    <w:name w:val="正文文本首行缩进 字符"/>
    <w:basedOn w:val="134"/>
    <w:link w:val="87"/>
    <w:qFormat/>
    <w:uiPriority w:val="0"/>
    <w:rPr>
      <w:rFonts w:eastAsia="Times New Roman"/>
      <w:lang w:eastAsia="en-US"/>
    </w:rPr>
  </w:style>
  <w:style w:type="character" w:customStyle="1" w:styleId="138">
    <w:name w:val="正文文本缩进 字符"/>
    <w:basedOn w:val="91"/>
    <w:link w:val="44"/>
    <w:qFormat/>
    <w:uiPriority w:val="0"/>
    <w:rPr>
      <w:rFonts w:eastAsia="Times New Roman"/>
      <w:lang w:eastAsia="en-US"/>
    </w:rPr>
  </w:style>
  <w:style w:type="character" w:customStyle="1" w:styleId="139">
    <w:name w:val="正文文本首行缩进 2 字符"/>
    <w:basedOn w:val="138"/>
    <w:link w:val="88"/>
    <w:qFormat/>
    <w:uiPriority w:val="0"/>
    <w:rPr>
      <w:rFonts w:eastAsia="Times New Roman"/>
      <w:lang w:eastAsia="en-US"/>
    </w:rPr>
  </w:style>
  <w:style w:type="character" w:customStyle="1" w:styleId="140">
    <w:name w:val="正文文本缩进 2 字符"/>
    <w:basedOn w:val="91"/>
    <w:link w:val="57"/>
    <w:qFormat/>
    <w:uiPriority w:val="0"/>
    <w:rPr>
      <w:rFonts w:eastAsia="Times New Roman"/>
      <w:lang w:eastAsia="en-US"/>
    </w:rPr>
  </w:style>
  <w:style w:type="character" w:customStyle="1" w:styleId="141">
    <w:name w:val="正文文本缩进 3 字符"/>
    <w:basedOn w:val="91"/>
    <w:link w:val="72"/>
    <w:qFormat/>
    <w:uiPriority w:val="0"/>
    <w:rPr>
      <w:rFonts w:eastAsia="Times New Roman"/>
      <w:sz w:val="16"/>
      <w:szCs w:val="16"/>
      <w:lang w:eastAsia="en-US"/>
    </w:rPr>
  </w:style>
  <w:style w:type="character" w:customStyle="1" w:styleId="142">
    <w:name w:val="结束语 字符"/>
    <w:basedOn w:val="91"/>
    <w:link w:val="41"/>
    <w:qFormat/>
    <w:uiPriority w:val="0"/>
    <w:rPr>
      <w:rFonts w:eastAsia="Times New Roman"/>
      <w:lang w:eastAsia="en-US"/>
    </w:rPr>
  </w:style>
  <w:style w:type="character" w:customStyle="1" w:styleId="143">
    <w:name w:val="批注文字 字符"/>
    <w:basedOn w:val="91"/>
    <w:link w:val="37"/>
    <w:qFormat/>
    <w:uiPriority w:val="0"/>
    <w:rPr>
      <w:rFonts w:eastAsia="Times New Roman"/>
      <w:lang w:eastAsia="en-US"/>
    </w:rPr>
  </w:style>
  <w:style w:type="character" w:customStyle="1" w:styleId="144">
    <w:name w:val="批注主题 字符"/>
    <w:basedOn w:val="143"/>
    <w:link w:val="86"/>
    <w:qFormat/>
    <w:uiPriority w:val="0"/>
    <w:rPr>
      <w:rFonts w:eastAsia="Times New Roman"/>
      <w:b/>
      <w:bCs/>
      <w:lang w:eastAsia="en-US"/>
    </w:rPr>
  </w:style>
  <w:style w:type="character" w:customStyle="1" w:styleId="145">
    <w:name w:val="日期 字符"/>
    <w:basedOn w:val="91"/>
    <w:link w:val="56"/>
    <w:qFormat/>
    <w:uiPriority w:val="0"/>
    <w:rPr>
      <w:rFonts w:eastAsia="Times New Roman"/>
      <w:lang w:eastAsia="en-US"/>
    </w:rPr>
  </w:style>
  <w:style w:type="character" w:customStyle="1" w:styleId="146">
    <w:name w:val="文档结构图 字符"/>
    <w:basedOn w:val="91"/>
    <w:link w:val="35"/>
    <w:qFormat/>
    <w:uiPriority w:val="0"/>
    <w:rPr>
      <w:rFonts w:ascii="Segoe UI" w:hAnsi="Segoe UI" w:eastAsia="Times New Roman" w:cs="Segoe UI"/>
      <w:sz w:val="16"/>
      <w:szCs w:val="16"/>
      <w:lang w:eastAsia="en-US"/>
    </w:rPr>
  </w:style>
  <w:style w:type="character" w:customStyle="1" w:styleId="147">
    <w:name w:val="电子邮件签名 字符"/>
    <w:basedOn w:val="91"/>
    <w:link w:val="28"/>
    <w:qFormat/>
    <w:uiPriority w:val="0"/>
    <w:rPr>
      <w:rFonts w:eastAsia="Times New Roman"/>
      <w:lang w:eastAsia="en-US"/>
    </w:rPr>
  </w:style>
  <w:style w:type="character" w:customStyle="1" w:styleId="148">
    <w:name w:val="尾注文本 字符"/>
    <w:basedOn w:val="91"/>
    <w:link w:val="58"/>
    <w:qFormat/>
    <w:uiPriority w:val="0"/>
    <w:rPr>
      <w:rFonts w:eastAsia="Times New Roman"/>
      <w:lang w:eastAsia="en-US"/>
    </w:rPr>
  </w:style>
  <w:style w:type="character" w:customStyle="1" w:styleId="149">
    <w:name w:val="脚注文本 字符"/>
    <w:basedOn w:val="91"/>
    <w:link w:val="70"/>
    <w:qFormat/>
    <w:uiPriority w:val="0"/>
    <w:rPr>
      <w:rFonts w:eastAsia="Times New Roman"/>
      <w:lang w:eastAsia="en-US"/>
    </w:rPr>
  </w:style>
  <w:style w:type="character" w:customStyle="1" w:styleId="150">
    <w:name w:val="HTML 地址 字符"/>
    <w:basedOn w:val="91"/>
    <w:link w:val="49"/>
    <w:qFormat/>
    <w:uiPriority w:val="0"/>
    <w:rPr>
      <w:rFonts w:eastAsia="Times New Roman"/>
      <w:i/>
      <w:iCs/>
      <w:lang w:eastAsia="en-US"/>
    </w:rPr>
  </w:style>
  <w:style w:type="character" w:customStyle="1" w:styleId="151">
    <w:name w:val="HTML 预设格式 字符"/>
    <w:basedOn w:val="91"/>
    <w:link w:val="81"/>
    <w:qFormat/>
    <w:uiPriority w:val="0"/>
    <w:rPr>
      <w:rFonts w:ascii="Consolas" w:hAnsi="Consolas" w:eastAsia="Times New Roman"/>
      <w:lang w:eastAsia="en-US"/>
    </w:rPr>
  </w:style>
  <w:style w:type="paragraph" w:styleId="152">
    <w:name w:val="Intense Quote"/>
    <w:basedOn w:val="1"/>
    <w:next w:val="1"/>
    <w:link w:val="153"/>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3">
    <w:name w:val="明显引用 字符"/>
    <w:basedOn w:val="91"/>
    <w:link w:val="152"/>
    <w:qFormat/>
    <w:uiPriority w:val="30"/>
    <w:rPr>
      <w:rFonts w:eastAsia="Times New Roman"/>
      <w:i/>
      <w:iCs/>
      <w:color w:val="4472C4" w:themeColor="accent1"/>
      <w:lang w:eastAsia="en-US"/>
      <w14:textFill>
        <w14:solidFill>
          <w14:schemeClr w14:val="accent1"/>
        </w14:solidFill>
      </w14:textFill>
    </w:rPr>
  </w:style>
  <w:style w:type="paragraph" w:styleId="154">
    <w:name w:val="List Paragraph"/>
    <w:basedOn w:val="1"/>
    <w:qFormat/>
    <w:uiPriority w:val="34"/>
    <w:pPr>
      <w:ind w:left="720"/>
      <w:contextualSpacing/>
    </w:pPr>
  </w:style>
  <w:style w:type="character" w:customStyle="1" w:styleId="155">
    <w:name w:val="宏文本 字符"/>
    <w:basedOn w:val="91"/>
    <w:link w:val="2"/>
    <w:qFormat/>
    <w:uiPriority w:val="0"/>
    <w:rPr>
      <w:rFonts w:ascii="Consolas" w:hAnsi="Consolas" w:eastAsia="Times New Roman"/>
      <w:lang w:eastAsia="en-US"/>
    </w:rPr>
  </w:style>
  <w:style w:type="character" w:customStyle="1" w:styleId="156">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7">
    <w:name w:val="No Spacing"/>
    <w:qFormat/>
    <w:uiPriority w:val="1"/>
    <w:rPr>
      <w:rFonts w:ascii="Times New Roman" w:hAnsi="Times New Roman" w:eastAsia="Times New Roman" w:cs="Times New Roman"/>
      <w:lang w:val="en-GB" w:eastAsia="en-US" w:bidi="ar-SA"/>
    </w:rPr>
  </w:style>
  <w:style w:type="character" w:customStyle="1" w:styleId="158">
    <w:name w:val="注释标题 字符"/>
    <w:basedOn w:val="91"/>
    <w:link w:val="25"/>
    <w:qFormat/>
    <w:uiPriority w:val="0"/>
    <w:rPr>
      <w:rFonts w:eastAsia="Times New Roman"/>
      <w:lang w:eastAsia="en-US"/>
    </w:rPr>
  </w:style>
  <w:style w:type="character" w:customStyle="1" w:styleId="159">
    <w:name w:val="纯文本 字符"/>
    <w:basedOn w:val="91"/>
    <w:link w:val="51"/>
    <w:qFormat/>
    <w:uiPriority w:val="0"/>
    <w:rPr>
      <w:rFonts w:ascii="Consolas" w:hAnsi="Consolas" w:eastAsia="Times New Roman"/>
      <w:sz w:val="21"/>
      <w:szCs w:val="21"/>
      <w:lang w:eastAsia="en-US"/>
    </w:rPr>
  </w:style>
  <w:style w:type="paragraph" w:styleId="160">
    <w:name w:val="Quote"/>
    <w:basedOn w:val="1"/>
    <w:next w:val="1"/>
    <w:link w:val="161"/>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1">
    <w:name w:val="引用 字符"/>
    <w:basedOn w:val="91"/>
    <w:link w:val="160"/>
    <w:qFormat/>
    <w:uiPriority w:val="29"/>
    <w:rPr>
      <w:rFonts w:eastAsia="Times New Roman"/>
      <w:i/>
      <w:iCs/>
      <w:color w:val="404040" w:themeColor="text1" w:themeTint="BF"/>
      <w:lang w:eastAsia="en-US"/>
      <w14:textFill>
        <w14:solidFill>
          <w14:schemeClr w14:val="tx1">
            <w14:lumMod w14:val="75000"/>
            <w14:lumOff w14:val="25000"/>
          </w14:schemeClr>
        </w14:solidFill>
      </w14:textFill>
    </w:rPr>
  </w:style>
  <w:style w:type="character" w:customStyle="1" w:styleId="162">
    <w:name w:val="称呼 字符"/>
    <w:basedOn w:val="91"/>
    <w:link w:val="39"/>
    <w:qFormat/>
    <w:uiPriority w:val="0"/>
    <w:rPr>
      <w:rFonts w:eastAsia="Times New Roman"/>
      <w:lang w:eastAsia="en-US"/>
    </w:rPr>
  </w:style>
  <w:style w:type="character" w:customStyle="1" w:styleId="163">
    <w:name w:val="签名 字符"/>
    <w:basedOn w:val="91"/>
    <w:link w:val="64"/>
    <w:qFormat/>
    <w:uiPriority w:val="0"/>
    <w:rPr>
      <w:rFonts w:eastAsia="Times New Roman"/>
      <w:lang w:eastAsia="en-US"/>
    </w:rPr>
  </w:style>
  <w:style w:type="character" w:customStyle="1" w:styleId="164">
    <w:name w:val="副标题 字符"/>
    <w:basedOn w:val="91"/>
    <w:link w:val="68"/>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5">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7">
    <w:name w:val="B1 Zchn"/>
    <w:link w:val="111"/>
    <w:qFormat/>
    <w:locked/>
    <w:uiPriority w:val="0"/>
    <w:rPr>
      <w:rFonts w:eastAsia="Times New Roman"/>
      <w:lang w:eastAsia="en-US"/>
    </w:rPr>
  </w:style>
  <w:style w:type="character" w:customStyle="1" w:styleId="168">
    <w:name w:val="EX Char"/>
    <w:link w:val="107"/>
    <w:qFormat/>
    <w:locked/>
    <w:uiPriority w:val="0"/>
    <w:rPr>
      <w:rFonts w:eastAsia="Times New Roman"/>
      <w:lang w:eastAsia="en-US"/>
    </w:rPr>
  </w:style>
  <w:style w:type="paragraph" w:customStyle="1" w:styleId="169">
    <w:name w:val="Revision1"/>
    <w:hidden/>
    <w:semiHidden/>
    <w:qFormat/>
    <w:uiPriority w:val="99"/>
    <w:rPr>
      <w:rFonts w:ascii="Times New Roman" w:hAnsi="Times New Roman" w:eastAsia="Times New Roman" w:cs="Times New Roman"/>
      <w:lang w:val="en-GB" w:eastAsia="en-US" w:bidi="ar-SA"/>
    </w:rPr>
  </w:style>
  <w:style w:type="character" w:customStyle="1" w:styleId="170">
    <w:name w:val="B2 Char"/>
    <w:link w:val="122"/>
    <w:qFormat/>
    <w:uiPriority w:val="0"/>
    <w:rPr>
      <w:rFonts w:eastAsia="Times New Roman"/>
      <w:lang w:eastAsia="en-US"/>
    </w:rPr>
  </w:style>
  <w:style w:type="character" w:customStyle="1" w:styleId="171">
    <w:name w:val="TAC Car"/>
    <w:link w:val="105"/>
    <w:qFormat/>
    <w:locked/>
    <w:uiPriority w:val="0"/>
    <w:rPr>
      <w:rFonts w:ascii="Arial" w:hAnsi="Arial" w:eastAsia="Times New Roman"/>
      <w:sz w:val="18"/>
      <w:lang w:eastAsia="en-US"/>
    </w:rPr>
  </w:style>
  <w:style w:type="character" w:customStyle="1" w:styleId="172">
    <w:name w:val="TAH Car"/>
    <w:link w:val="104"/>
    <w:qFormat/>
    <w:locked/>
    <w:uiPriority w:val="0"/>
    <w:rPr>
      <w:rFonts w:ascii="Arial" w:hAnsi="Arial" w:eastAsia="Times New Roman"/>
      <w:b/>
      <w:sz w:val="18"/>
      <w:lang w:eastAsia="en-US"/>
    </w:rPr>
  </w:style>
  <w:style w:type="character" w:customStyle="1" w:styleId="173">
    <w:name w:val="TAN Char"/>
    <w:link w:val="118"/>
    <w:qFormat/>
    <w:uiPriority w:val="0"/>
    <w:rPr>
      <w:rFonts w:ascii="Arial" w:hAnsi="Arial" w:eastAsia="Times New Roman"/>
      <w:sz w:val="18"/>
      <w:lang w:eastAsia="en-US"/>
    </w:rPr>
  </w:style>
  <w:style w:type="character" w:customStyle="1" w:styleId="174">
    <w:name w:val="NO Char"/>
    <w:link w:val="100"/>
    <w:qFormat/>
    <w:locked/>
    <w:uiPriority w:val="0"/>
    <w:rPr>
      <w:rFonts w:eastAsia="Times New Roman"/>
      <w:lang w:eastAsia="en-US"/>
    </w:rPr>
  </w:style>
  <w:style w:type="character" w:customStyle="1" w:styleId="175">
    <w:name w:val="EQ Char"/>
    <w:link w:val="95"/>
    <w:qFormat/>
    <w:locked/>
    <w:uiPriority w:val="0"/>
    <w:rPr>
      <w:rFonts w:eastAsia="Times New Roman"/>
      <w:lang w:eastAsia="en-US"/>
    </w:rPr>
  </w:style>
  <w:style w:type="character" w:customStyle="1" w:styleId="176">
    <w:name w:val="B1 Char"/>
    <w:qFormat/>
    <w:locked/>
    <w:uiPriority w:val="0"/>
    <w:rPr>
      <w:rFonts w:ascii="Times New Roman" w:hAnsi="Times New Roman"/>
      <w:lang w:val="en-GB" w:eastAsia="en-US"/>
    </w:rPr>
  </w:style>
  <w:style w:type="character" w:customStyle="1" w:styleId="177">
    <w:name w:val="Editor's Note Car Car"/>
    <w:link w:val="112"/>
    <w:qFormat/>
    <w:uiPriority w:val="0"/>
    <w:rPr>
      <w:rFonts w:eastAsia="Times New Roman"/>
      <w:color w:val="FF0000"/>
      <w:lang w:eastAsia="en-US"/>
    </w:rPr>
  </w:style>
  <w:style w:type="character" w:customStyle="1" w:styleId="178">
    <w:name w:val="H6 Char"/>
    <w:link w:val="9"/>
    <w:qFormat/>
    <w:uiPriority w:val="0"/>
    <w:rPr>
      <w:rFonts w:ascii="Arial" w:hAnsi="Arial" w:eastAsia="Times New Roman"/>
      <w:lang w:eastAsia="en-US"/>
    </w:rPr>
  </w:style>
  <w:style w:type="character" w:customStyle="1" w:styleId="179">
    <w:name w:val="TAC Char"/>
    <w:qFormat/>
    <w:uiPriority w:val="0"/>
    <w:rPr>
      <w:rFonts w:ascii="Arial" w:hAnsi="Arial"/>
      <w:sz w:val="18"/>
      <w:lang w:val="en-GB" w:eastAsia="en-US"/>
    </w:rPr>
  </w:style>
  <w:style w:type="character" w:customStyle="1" w:styleId="180">
    <w:name w:val="标题 1 字符"/>
    <w:basedOn w:val="91"/>
    <w:link w:val="3"/>
    <w:qFormat/>
    <w:uiPriority w:val="0"/>
    <w:rPr>
      <w:rFonts w:ascii="Arial" w:hAnsi="Arial" w:eastAsia="Times New Roman"/>
      <w:sz w:val="36"/>
      <w:lang w:eastAsia="en-US"/>
    </w:rPr>
  </w:style>
  <w:style w:type="character" w:customStyle="1" w:styleId="181">
    <w:name w:val="标题 2 字符"/>
    <w:basedOn w:val="91"/>
    <w:link w:val="4"/>
    <w:qFormat/>
    <w:uiPriority w:val="0"/>
    <w:rPr>
      <w:rFonts w:ascii="Arial" w:hAnsi="Arial" w:eastAsia="Times New Roman"/>
      <w:sz w:val="32"/>
      <w:lang w:eastAsia="en-US"/>
    </w:rPr>
  </w:style>
  <w:style w:type="character" w:customStyle="1" w:styleId="182">
    <w:name w:val="标题 3 字符"/>
    <w:basedOn w:val="91"/>
    <w:link w:val="5"/>
    <w:qFormat/>
    <w:uiPriority w:val="0"/>
    <w:rPr>
      <w:rFonts w:ascii="Arial" w:hAnsi="Arial" w:eastAsia="Times New Roman"/>
      <w:sz w:val="28"/>
      <w:lang w:eastAsia="en-US"/>
    </w:rPr>
  </w:style>
  <w:style w:type="character" w:customStyle="1" w:styleId="183">
    <w:name w:val="TAL Car"/>
    <w:link w:val="103"/>
    <w:qFormat/>
    <w:uiPriority w:val="0"/>
    <w:rPr>
      <w:rFonts w:ascii="Arial" w:hAnsi="Arial" w:eastAsia="Times New Roman"/>
      <w:sz w:val="18"/>
      <w:lang w:eastAsia="en-US"/>
    </w:rPr>
  </w:style>
  <w:style w:type="paragraph" w:customStyle="1" w:styleId="184">
    <w:name w:val="FT"/>
    <w:basedOn w:val="1"/>
    <w:qFormat/>
    <w:uiPriority w:val="0"/>
    <w:pPr>
      <w:overflowPunct w:val="0"/>
      <w:autoSpaceDE w:val="0"/>
      <w:autoSpaceDN w:val="0"/>
      <w:adjustRightInd w:val="0"/>
      <w:spacing w:line="259" w:lineRule="auto"/>
      <w:textAlignment w:val="baseline"/>
    </w:pPr>
    <w:rPr>
      <w:rFonts w:ascii="Arial" w:hAnsi="Arial" w:cs="Arial" w:eastAsiaTheme="minorEastAsia"/>
      <w:b/>
      <w:lang w:eastAsia="ko-KR"/>
    </w:rPr>
  </w:style>
  <w:style w:type="paragraph" w:customStyle="1" w:styleId="185">
    <w:name w:val="TableText"/>
    <w:basedOn w:val="44"/>
    <w:qFormat/>
    <w:uiPriority w:val="0"/>
    <w:pPr>
      <w:keepNext/>
      <w:keepLines/>
      <w:overflowPunct w:val="0"/>
      <w:autoSpaceDE w:val="0"/>
      <w:autoSpaceDN w:val="0"/>
      <w:adjustRightInd w:val="0"/>
      <w:spacing w:after="180"/>
      <w:ind w:left="0"/>
      <w:jc w:val="center"/>
      <w:textAlignment w:val="baseline"/>
    </w:pPr>
    <w:rPr>
      <w:rFonts w:eastAsia="Malgun Gothic"/>
      <w:snapToGrid w:val="0"/>
      <w:kern w:val="2"/>
    </w:rPr>
  </w:style>
  <w:style w:type="paragraph" w:customStyle="1" w:styleId="186">
    <w:name w:val="Revision2"/>
    <w:hidden/>
    <w:semiHidden/>
    <w:qFormat/>
    <w:uiPriority w:val="99"/>
    <w:rPr>
      <w:rFonts w:ascii="Times New Roman" w:hAnsi="Times New Roman" w:eastAsia="Times New Roman" w:cs="Times New Roman"/>
      <w:lang w:val="en-GB" w:eastAsia="en-US" w:bidi="ar-SA"/>
    </w:rPr>
  </w:style>
  <w:style w:type="paragraph" w:customStyle="1" w:styleId="187">
    <w:name w:val="Bibliography2"/>
    <w:basedOn w:val="1"/>
    <w:next w:val="1"/>
    <w:semiHidden/>
    <w:unhideWhenUsed/>
    <w:qFormat/>
    <w:uiPriority w:val="37"/>
  </w:style>
  <w:style w:type="paragraph" w:customStyle="1" w:styleId="188">
    <w:name w:val="TOC Heading2"/>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paragraph" w:customStyle="1" w:styleId="189">
    <w:name w:val="Normal1"/>
    <w:qFormat/>
    <w:uiPriority w:val="0"/>
    <w:pPr>
      <w:jc w:val="both"/>
    </w:pPr>
    <w:rPr>
      <w:rFonts w:ascii="Calibri" w:hAnsi="Calibri" w:eastAsia="宋体" w:cs="Calibri"/>
      <w:kern w:val="2"/>
      <w:sz w:val="21"/>
      <w:szCs w:val="21"/>
      <w:lang w:val="en-US" w:eastAsia="zh-CN" w:bidi="ar-SA"/>
    </w:rPr>
  </w:style>
  <w:style w:type="paragraph" w:customStyle="1" w:styleId="190">
    <w:name w:val="Revision3"/>
    <w:hidden/>
    <w:semiHidden/>
    <w:qFormat/>
    <w:uiPriority w:val="99"/>
    <w:rPr>
      <w:rFonts w:ascii="Times New Roman" w:hAnsi="Times New Roman" w:eastAsia="Times New Roman" w:cs="Times New Roman"/>
      <w:lang w:val="en-GB" w:eastAsia="en-US" w:bidi="ar-SA"/>
    </w:rPr>
  </w:style>
  <w:style w:type="paragraph" w:customStyle="1" w:styleId="191">
    <w:name w:val="修订1"/>
    <w:hidden/>
    <w:semiHidden/>
    <w:qFormat/>
    <w:uiPriority w:val="99"/>
    <w:rPr>
      <w:rFonts w:ascii="Times New Roman" w:hAnsi="Times New Roman" w:eastAsia="Times New Roman" w:cs="Times New Roman"/>
      <w:lang w:val="en-GB" w:eastAsia="en-US" w:bidi="ar-SA"/>
    </w:rPr>
  </w:style>
  <w:style w:type="character" w:customStyle="1" w:styleId="192">
    <w:name w:val="normaltextrun"/>
    <w:basedOn w:val="91"/>
    <w:qFormat/>
    <w:uiPriority w:val="0"/>
  </w:style>
  <w:style w:type="paragraph" w:customStyle="1" w:styleId="193">
    <w:name w:val="Revision"/>
    <w:hidden/>
    <w:semiHidden/>
    <w:qFormat/>
    <w:uiPriority w:val="99"/>
    <w:rPr>
      <w:rFonts w:ascii="Times New Roman" w:hAnsi="Times New Roman" w:eastAsia="Times New Roman" w:cs="Times New Roman"/>
      <w:lang w:val="en-GB" w:eastAsia="en-US" w:bidi="ar-SA"/>
    </w:rPr>
  </w:style>
  <w:style w:type="character" w:customStyle="1" w:styleId="194">
    <w:name w:val="TAL (文字)"/>
    <w:qFormat/>
    <w:uiPriority w:val="0"/>
    <w:rPr>
      <w:rFonts w:ascii="Arial" w:hAnsi="Arial" w:eastAsia="宋体"/>
      <w:sz w:val="18"/>
      <w:lang w:val="en-GB"/>
    </w:rPr>
  </w:style>
  <w:style w:type="character" w:customStyle="1" w:styleId="195">
    <w:name w:val="TF Char"/>
    <w:link w:val="120"/>
    <w:qFormat/>
    <w:uiPriority w:val="0"/>
    <w:rPr>
      <w:rFonts w:ascii="Arial" w:hAnsi="Arial" w:eastAsia="Times New Roman"/>
      <w:b/>
      <w:lang w:val="en-GB" w:eastAsia="en-US"/>
    </w:rPr>
  </w:style>
  <w:style w:type="paragraph" w:customStyle="1" w:styleId="196">
    <w:name w:val="Separation"/>
    <w:basedOn w:val="3"/>
    <w:next w:val="1"/>
    <w:qFormat/>
    <w:uiPriority w:val="0"/>
    <w:pPr>
      <w:pBdr>
        <w:top w:val="none" w:color="auto" w:sz="0" w:space="0"/>
      </w:pBdr>
      <w:overflowPunct w:val="0"/>
      <w:autoSpaceDE w:val="0"/>
      <w:autoSpaceDN w:val="0"/>
      <w:adjustRightInd w:val="0"/>
      <w:textAlignment w:val="baseline"/>
    </w:pPr>
    <w:rPr>
      <w:b/>
      <w:color w:val="0000FF"/>
      <w:lang w:eastAsia="zh-CN"/>
    </w:rPr>
  </w:style>
  <w:style w:type="character" w:customStyle="1" w:styleId="197">
    <w:name w:val="标题 4 字符"/>
    <w:basedOn w:val="91"/>
    <w:link w:val="6"/>
    <w:qFormat/>
    <w:uiPriority w:val="0"/>
    <w:rPr>
      <w:rFonts w:ascii="Arial" w:hAnsi="Arial" w:eastAsia="Times New Roman"/>
      <w:sz w:val="24"/>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oleObject" Target="embeddings/oleObject52.bin"/><Relationship Id="rId98" Type="http://schemas.openxmlformats.org/officeDocument/2006/relationships/oleObject" Target="embeddings/oleObject51.bin"/><Relationship Id="rId97" Type="http://schemas.openxmlformats.org/officeDocument/2006/relationships/oleObject" Target="embeddings/oleObject50.bin"/><Relationship Id="rId96" Type="http://schemas.openxmlformats.org/officeDocument/2006/relationships/oleObject" Target="embeddings/oleObject49.bin"/><Relationship Id="rId95" Type="http://schemas.openxmlformats.org/officeDocument/2006/relationships/oleObject" Target="embeddings/oleObject48.bin"/><Relationship Id="rId94" Type="http://schemas.openxmlformats.org/officeDocument/2006/relationships/oleObject" Target="embeddings/oleObject47.bin"/><Relationship Id="rId93" Type="http://schemas.openxmlformats.org/officeDocument/2006/relationships/oleObject" Target="embeddings/oleObject46.bin"/><Relationship Id="rId92" Type="http://schemas.openxmlformats.org/officeDocument/2006/relationships/oleObject" Target="embeddings/oleObject45.bin"/><Relationship Id="rId91" Type="http://schemas.openxmlformats.org/officeDocument/2006/relationships/image" Target="media/image35.wmf"/><Relationship Id="rId90" Type="http://schemas.openxmlformats.org/officeDocument/2006/relationships/oleObject" Target="embeddings/oleObject44.bin"/><Relationship Id="rId9" Type="http://schemas.openxmlformats.org/officeDocument/2006/relationships/footer" Target="footer3.xml"/><Relationship Id="rId89" Type="http://schemas.openxmlformats.org/officeDocument/2006/relationships/image" Target="media/image34.wmf"/><Relationship Id="rId88" Type="http://schemas.openxmlformats.org/officeDocument/2006/relationships/oleObject" Target="embeddings/oleObject43.bin"/><Relationship Id="rId87" Type="http://schemas.openxmlformats.org/officeDocument/2006/relationships/image" Target="media/image33.wmf"/><Relationship Id="rId86" Type="http://schemas.openxmlformats.org/officeDocument/2006/relationships/oleObject" Target="embeddings/oleObject42.bin"/><Relationship Id="rId85" Type="http://schemas.openxmlformats.org/officeDocument/2006/relationships/image" Target="media/image32.wmf"/><Relationship Id="rId84" Type="http://schemas.openxmlformats.org/officeDocument/2006/relationships/oleObject" Target="embeddings/oleObject41.bin"/><Relationship Id="rId83" Type="http://schemas.openxmlformats.org/officeDocument/2006/relationships/image" Target="media/image31.wmf"/><Relationship Id="rId82" Type="http://schemas.openxmlformats.org/officeDocument/2006/relationships/oleObject" Target="embeddings/oleObject40.bin"/><Relationship Id="rId81" Type="http://schemas.openxmlformats.org/officeDocument/2006/relationships/image" Target="media/image30.wmf"/><Relationship Id="rId80" Type="http://schemas.openxmlformats.org/officeDocument/2006/relationships/oleObject" Target="embeddings/oleObject39.bin"/><Relationship Id="rId8" Type="http://schemas.openxmlformats.org/officeDocument/2006/relationships/footer" Target="footer2.xml"/><Relationship Id="rId79" Type="http://schemas.openxmlformats.org/officeDocument/2006/relationships/image" Target="media/image29.wmf"/><Relationship Id="rId78" Type="http://schemas.openxmlformats.org/officeDocument/2006/relationships/oleObject" Target="embeddings/oleObject38.bin"/><Relationship Id="rId77" Type="http://schemas.openxmlformats.org/officeDocument/2006/relationships/image" Target="media/image28.wmf"/><Relationship Id="rId76" Type="http://schemas.openxmlformats.org/officeDocument/2006/relationships/oleObject" Target="embeddings/oleObject37.bin"/><Relationship Id="rId75" Type="http://schemas.openxmlformats.org/officeDocument/2006/relationships/image" Target="media/image27.wmf"/><Relationship Id="rId74" Type="http://schemas.openxmlformats.org/officeDocument/2006/relationships/oleObject" Target="embeddings/oleObject36.bin"/><Relationship Id="rId73" Type="http://schemas.openxmlformats.org/officeDocument/2006/relationships/oleObject" Target="embeddings/oleObject35.bin"/><Relationship Id="rId72" Type="http://schemas.openxmlformats.org/officeDocument/2006/relationships/oleObject" Target="embeddings/oleObject34.bin"/><Relationship Id="rId71" Type="http://schemas.openxmlformats.org/officeDocument/2006/relationships/oleObject" Target="embeddings/oleObject33.bin"/><Relationship Id="rId70" Type="http://schemas.openxmlformats.org/officeDocument/2006/relationships/image" Target="media/image26.emf"/><Relationship Id="rId7" Type="http://schemas.openxmlformats.org/officeDocument/2006/relationships/footer" Target="footer1.xml"/><Relationship Id="rId69" Type="http://schemas.openxmlformats.org/officeDocument/2006/relationships/oleObject" Target="embeddings/oleObject32.bin"/><Relationship Id="rId68" Type="http://schemas.openxmlformats.org/officeDocument/2006/relationships/oleObject" Target="embeddings/oleObject31.bin"/><Relationship Id="rId67" Type="http://schemas.openxmlformats.org/officeDocument/2006/relationships/oleObject" Target="embeddings/oleObject30.bin"/><Relationship Id="rId66" Type="http://schemas.openxmlformats.org/officeDocument/2006/relationships/oleObject" Target="embeddings/oleObject29.bin"/><Relationship Id="rId65" Type="http://schemas.openxmlformats.org/officeDocument/2006/relationships/oleObject" Target="embeddings/oleObject28.bin"/><Relationship Id="rId64" Type="http://schemas.openxmlformats.org/officeDocument/2006/relationships/oleObject" Target="embeddings/oleObject27.bin"/><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oleObject" Target="embeddings/oleObject24.bin"/><Relationship Id="rId60" Type="http://schemas.openxmlformats.org/officeDocument/2006/relationships/oleObject" Target="embeddings/oleObject23.bin"/><Relationship Id="rId6" Type="http://schemas.openxmlformats.org/officeDocument/2006/relationships/header" Target="header3.xml"/><Relationship Id="rId59" Type="http://schemas.openxmlformats.org/officeDocument/2006/relationships/oleObject" Target="embeddings/oleObject22.bin"/><Relationship Id="rId58" Type="http://schemas.openxmlformats.org/officeDocument/2006/relationships/image" Target="media/image25.wmf"/><Relationship Id="rId57" Type="http://schemas.openxmlformats.org/officeDocument/2006/relationships/oleObject" Target="embeddings/oleObject21.bin"/><Relationship Id="rId56" Type="http://schemas.openxmlformats.org/officeDocument/2006/relationships/image" Target="media/image24.wmf"/><Relationship Id="rId55" Type="http://schemas.openxmlformats.org/officeDocument/2006/relationships/oleObject" Target="embeddings/oleObject20.bin"/><Relationship Id="rId54" Type="http://schemas.openxmlformats.org/officeDocument/2006/relationships/image" Target="media/image23.wmf"/><Relationship Id="rId53" Type="http://schemas.openxmlformats.org/officeDocument/2006/relationships/oleObject" Target="embeddings/oleObject19.bin"/><Relationship Id="rId52" Type="http://schemas.openxmlformats.org/officeDocument/2006/relationships/image" Target="media/image22.wmf"/><Relationship Id="rId51" Type="http://schemas.openxmlformats.org/officeDocument/2006/relationships/oleObject" Target="embeddings/oleObject18.bin"/><Relationship Id="rId50" Type="http://schemas.openxmlformats.org/officeDocument/2006/relationships/image" Target="media/image21.wmf"/><Relationship Id="rId5" Type="http://schemas.openxmlformats.org/officeDocument/2006/relationships/header" Target="header2.xml"/><Relationship Id="rId49" Type="http://schemas.openxmlformats.org/officeDocument/2006/relationships/oleObject" Target="embeddings/oleObject17.bin"/><Relationship Id="rId48" Type="http://schemas.openxmlformats.org/officeDocument/2006/relationships/image" Target="media/image20.wmf"/><Relationship Id="rId47" Type="http://schemas.openxmlformats.org/officeDocument/2006/relationships/oleObject" Target="embeddings/oleObject16.bin"/><Relationship Id="rId46" Type="http://schemas.openxmlformats.org/officeDocument/2006/relationships/image" Target="media/image19.wmf"/><Relationship Id="rId45" Type="http://schemas.openxmlformats.org/officeDocument/2006/relationships/oleObject" Target="embeddings/oleObject15.bin"/><Relationship Id="rId44" Type="http://schemas.openxmlformats.org/officeDocument/2006/relationships/image" Target="media/image18.wmf"/><Relationship Id="rId43" Type="http://schemas.openxmlformats.org/officeDocument/2006/relationships/oleObject" Target="embeddings/oleObject14.bin"/><Relationship Id="rId42" Type="http://schemas.openxmlformats.org/officeDocument/2006/relationships/image" Target="media/image17.wmf"/><Relationship Id="rId41" Type="http://schemas.openxmlformats.org/officeDocument/2006/relationships/oleObject" Target="embeddings/oleObject13.bin"/><Relationship Id="rId40" Type="http://schemas.openxmlformats.org/officeDocument/2006/relationships/image" Target="media/image16.wmf"/><Relationship Id="rId4" Type="http://schemas.openxmlformats.org/officeDocument/2006/relationships/header" Target="header1.xml"/><Relationship Id="rId39" Type="http://schemas.openxmlformats.org/officeDocument/2006/relationships/oleObject" Target="embeddings/oleObject12.bin"/><Relationship Id="rId38" Type="http://schemas.openxmlformats.org/officeDocument/2006/relationships/oleObject" Target="embeddings/oleObject11.bin"/><Relationship Id="rId37" Type="http://schemas.openxmlformats.org/officeDocument/2006/relationships/oleObject" Target="embeddings/oleObject10.bin"/><Relationship Id="rId369" Type="http://schemas.openxmlformats.org/officeDocument/2006/relationships/fontTable" Target="fontTable.xml"/><Relationship Id="rId368" Type="http://schemas.microsoft.com/office/2006/relationships/keyMapCustomizations" Target="customizations.xml"/><Relationship Id="rId367" Type="http://schemas.openxmlformats.org/officeDocument/2006/relationships/customXml" Target="../customXml/item2.xml"/><Relationship Id="rId366" Type="http://schemas.openxmlformats.org/officeDocument/2006/relationships/numbering" Target="numbering.xml"/><Relationship Id="rId365" Type="http://schemas.openxmlformats.org/officeDocument/2006/relationships/customXml" Target="../customXml/item1.xml"/><Relationship Id="rId364" Type="http://schemas.openxmlformats.org/officeDocument/2006/relationships/image" Target="media/image132.wmf"/><Relationship Id="rId363" Type="http://schemas.openxmlformats.org/officeDocument/2006/relationships/oleObject" Target="embeddings/oleObject216.bin"/><Relationship Id="rId362" Type="http://schemas.openxmlformats.org/officeDocument/2006/relationships/image" Target="media/image131.emf"/><Relationship Id="rId361" Type="http://schemas.openxmlformats.org/officeDocument/2006/relationships/oleObject" Target="embeddings/Document4.doc"/><Relationship Id="rId360" Type="http://schemas.openxmlformats.org/officeDocument/2006/relationships/image" Target="media/image130.emf"/><Relationship Id="rId36" Type="http://schemas.openxmlformats.org/officeDocument/2006/relationships/image" Target="media/image15.wmf"/><Relationship Id="rId359" Type="http://schemas.openxmlformats.org/officeDocument/2006/relationships/oleObject" Target="embeddings/Document3.doc"/><Relationship Id="rId358" Type="http://schemas.openxmlformats.org/officeDocument/2006/relationships/image" Target="media/image129.wmf"/><Relationship Id="rId357" Type="http://schemas.openxmlformats.org/officeDocument/2006/relationships/oleObject" Target="embeddings/oleObject215.bin"/><Relationship Id="rId356" Type="http://schemas.openxmlformats.org/officeDocument/2006/relationships/image" Target="media/image128.wmf"/><Relationship Id="rId355" Type="http://schemas.openxmlformats.org/officeDocument/2006/relationships/oleObject" Target="embeddings/oleObject214.bin"/><Relationship Id="rId354" Type="http://schemas.openxmlformats.org/officeDocument/2006/relationships/image" Target="media/image127.wmf"/><Relationship Id="rId353" Type="http://schemas.openxmlformats.org/officeDocument/2006/relationships/oleObject" Target="embeddings/oleObject213.bin"/><Relationship Id="rId352" Type="http://schemas.openxmlformats.org/officeDocument/2006/relationships/oleObject" Target="embeddings/oleObject212.bin"/><Relationship Id="rId351" Type="http://schemas.openxmlformats.org/officeDocument/2006/relationships/oleObject" Target="embeddings/oleObject211.bin"/><Relationship Id="rId350" Type="http://schemas.openxmlformats.org/officeDocument/2006/relationships/image" Target="media/image126.wmf"/><Relationship Id="rId35" Type="http://schemas.openxmlformats.org/officeDocument/2006/relationships/oleObject" Target="embeddings/oleObject9.bin"/><Relationship Id="rId349" Type="http://schemas.openxmlformats.org/officeDocument/2006/relationships/oleObject" Target="embeddings/oleObject210.bin"/><Relationship Id="rId348" Type="http://schemas.openxmlformats.org/officeDocument/2006/relationships/image" Target="media/image125.wmf"/><Relationship Id="rId347" Type="http://schemas.openxmlformats.org/officeDocument/2006/relationships/oleObject" Target="embeddings/oleObject209.bin"/><Relationship Id="rId346" Type="http://schemas.openxmlformats.org/officeDocument/2006/relationships/image" Target="media/image124.wmf"/><Relationship Id="rId345" Type="http://schemas.openxmlformats.org/officeDocument/2006/relationships/oleObject" Target="embeddings/oleObject208.bin"/><Relationship Id="rId344" Type="http://schemas.openxmlformats.org/officeDocument/2006/relationships/oleObject" Target="embeddings/oleObject207.bin"/><Relationship Id="rId343" Type="http://schemas.openxmlformats.org/officeDocument/2006/relationships/oleObject" Target="embeddings/oleObject206.bin"/><Relationship Id="rId342" Type="http://schemas.openxmlformats.org/officeDocument/2006/relationships/image" Target="media/image123.wmf"/><Relationship Id="rId341" Type="http://schemas.openxmlformats.org/officeDocument/2006/relationships/oleObject" Target="embeddings/oleObject205.bin"/><Relationship Id="rId340" Type="http://schemas.openxmlformats.org/officeDocument/2006/relationships/oleObject" Target="embeddings/oleObject204.bin"/><Relationship Id="rId34" Type="http://schemas.openxmlformats.org/officeDocument/2006/relationships/image" Target="media/image14.emf"/><Relationship Id="rId339" Type="http://schemas.openxmlformats.org/officeDocument/2006/relationships/oleObject" Target="embeddings/oleObject203.bin"/><Relationship Id="rId338" Type="http://schemas.openxmlformats.org/officeDocument/2006/relationships/image" Target="media/image122.wmf"/><Relationship Id="rId337" Type="http://schemas.openxmlformats.org/officeDocument/2006/relationships/oleObject" Target="embeddings/oleObject202.bin"/><Relationship Id="rId336" Type="http://schemas.openxmlformats.org/officeDocument/2006/relationships/image" Target="media/image121.wmf"/><Relationship Id="rId335" Type="http://schemas.openxmlformats.org/officeDocument/2006/relationships/oleObject" Target="embeddings/oleObject201.bin"/><Relationship Id="rId334" Type="http://schemas.openxmlformats.org/officeDocument/2006/relationships/image" Target="media/image120.wmf"/><Relationship Id="rId333" Type="http://schemas.openxmlformats.org/officeDocument/2006/relationships/oleObject" Target="embeddings/oleObject200.bin"/><Relationship Id="rId332" Type="http://schemas.openxmlformats.org/officeDocument/2006/relationships/oleObject" Target="embeddings/oleObject199.bin"/><Relationship Id="rId331" Type="http://schemas.openxmlformats.org/officeDocument/2006/relationships/oleObject" Target="embeddings/oleObject198.bin"/><Relationship Id="rId330" Type="http://schemas.openxmlformats.org/officeDocument/2006/relationships/image" Target="media/image119.wmf"/><Relationship Id="rId33" Type="http://schemas.openxmlformats.org/officeDocument/2006/relationships/oleObject" Target="embeddings/oleObject8.bin"/><Relationship Id="rId329" Type="http://schemas.openxmlformats.org/officeDocument/2006/relationships/oleObject" Target="embeddings/oleObject197.bin"/><Relationship Id="rId328" Type="http://schemas.openxmlformats.org/officeDocument/2006/relationships/oleObject" Target="embeddings/oleObject196.bin"/><Relationship Id="rId327" Type="http://schemas.openxmlformats.org/officeDocument/2006/relationships/oleObject" Target="embeddings/oleObject195.bin"/><Relationship Id="rId326" Type="http://schemas.openxmlformats.org/officeDocument/2006/relationships/oleObject" Target="embeddings/oleObject194.bin"/><Relationship Id="rId325" Type="http://schemas.openxmlformats.org/officeDocument/2006/relationships/image" Target="media/image118.png"/><Relationship Id="rId324" Type="http://schemas.openxmlformats.org/officeDocument/2006/relationships/oleObject" Target="embeddings/oleObject193.bin"/><Relationship Id="rId323" Type="http://schemas.openxmlformats.org/officeDocument/2006/relationships/oleObject" Target="embeddings/oleObject192.bin"/><Relationship Id="rId322" Type="http://schemas.openxmlformats.org/officeDocument/2006/relationships/image" Target="media/image117.wmf"/><Relationship Id="rId321" Type="http://schemas.openxmlformats.org/officeDocument/2006/relationships/oleObject" Target="embeddings/oleObject191.bin"/><Relationship Id="rId320" Type="http://schemas.openxmlformats.org/officeDocument/2006/relationships/oleObject" Target="embeddings/oleObject190.bin"/><Relationship Id="rId32" Type="http://schemas.openxmlformats.org/officeDocument/2006/relationships/image" Target="media/image13.emf"/><Relationship Id="rId319" Type="http://schemas.openxmlformats.org/officeDocument/2006/relationships/oleObject" Target="embeddings/oleObject189.bin"/><Relationship Id="rId318" Type="http://schemas.openxmlformats.org/officeDocument/2006/relationships/oleObject" Target="embeddings/oleObject188.bin"/><Relationship Id="rId317" Type="http://schemas.openxmlformats.org/officeDocument/2006/relationships/oleObject" Target="embeddings/oleObject187.bin"/><Relationship Id="rId316" Type="http://schemas.openxmlformats.org/officeDocument/2006/relationships/oleObject" Target="embeddings/oleObject186.bin"/><Relationship Id="rId315" Type="http://schemas.openxmlformats.org/officeDocument/2006/relationships/oleObject" Target="embeddings/oleObject185.bin"/><Relationship Id="rId314" Type="http://schemas.openxmlformats.org/officeDocument/2006/relationships/oleObject" Target="embeddings/oleObject184.bin"/><Relationship Id="rId313" Type="http://schemas.openxmlformats.org/officeDocument/2006/relationships/oleObject" Target="embeddings/oleObject183.bin"/><Relationship Id="rId312" Type="http://schemas.openxmlformats.org/officeDocument/2006/relationships/oleObject" Target="embeddings/oleObject182.bin"/><Relationship Id="rId311" Type="http://schemas.openxmlformats.org/officeDocument/2006/relationships/oleObject" Target="embeddings/oleObject181.bin"/><Relationship Id="rId310" Type="http://schemas.openxmlformats.org/officeDocument/2006/relationships/oleObject" Target="embeddings/oleObject180.bin"/><Relationship Id="rId31" Type="http://schemas.openxmlformats.org/officeDocument/2006/relationships/oleObject" Target="embeddings/oleObject7.bin"/><Relationship Id="rId309" Type="http://schemas.openxmlformats.org/officeDocument/2006/relationships/image" Target="media/image116.wmf"/><Relationship Id="rId308" Type="http://schemas.openxmlformats.org/officeDocument/2006/relationships/oleObject" Target="embeddings/oleObject179.bin"/><Relationship Id="rId307" Type="http://schemas.openxmlformats.org/officeDocument/2006/relationships/oleObject" Target="embeddings/oleObject178.bin"/><Relationship Id="rId306" Type="http://schemas.openxmlformats.org/officeDocument/2006/relationships/image" Target="media/image115.wmf"/><Relationship Id="rId305" Type="http://schemas.openxmlformats.org/officeDocument/2006/relationships/oleObject" Target="embeddings/oleObject177.bin"/><Relationship Id="rId304" Type="http://schemas.openxmlformats.org/officeDocument/2006/relationships/image" Target="media/image114.wmf"/><Relationship Id="rId303" Type="http://schemas.openxmlformats.org/officeDocument/2006/relationships/oleObject" Target="embeddings/oleObject176.bin"/><Relationship Id="rId302" Type="http://schemas.openxmlformats.org/officeDocument/2006/relationships/image" Target="media/image113.wmf"/><Relationship Id="rId301" Type="http://schemas.openxmlformats.org/officeDocument/2006/relationships/oleObject" Target="embeddings/oleObject175.bin"/><Relationship Id="rId300" Type="http://schemas.openxmlformats.org/officeDocument/2006/relationships/oleObject" Target="embeddings/oleObject174.bin"/><Relationship Id="rId30" Type="http://schemas.openxmlformats.org/officeDocument/2006/relationships/image" Target="media/image12.emf"/><Relationship Id="rId3" Type="http://schemas.openxmlformats.org/officeDocument/2006/relationships/footnotes" Target="footnotes.xml"/><Relationship Id="rId299" Type="http://schemas.openxmlformats.org/officeDocument/2006/relationships/oleObject" Target="embeddings/oleObject173.bin"/><Relationship Id="rId298" Type="http://schemas.openxmlformats.org/officeDocument/2006/relationships/image" Target="media/image112.wmf"/><Relationship Id="rId297" Type="http://schemas.openxmlformats.org/officeDocument/2006/relationships/oleObject" Target="embeddings/oleObject172.bin"/><Relationship Id="rId296" Type="http://schemas.openxmlformats.org/officeDocument/2006/relationships/oleObject" Target="embeddings/oleObject171.bin"/><Relationship Id="rId295" Type="http://schemas.openxmlformats.org/officeDocument/2006/relationships/oleObject" Target="embeddings/oleObject170.bin"/><Relationship Id="rId294" Type="http://schemas.openxmlformats.org/officeDocument/2006/relationships/oleObject" Target="embeddings/oleObject169.bin"/><Relationship Id="rId293" Type="http://schemas.openxmlformats.org/officeDocument/2006/relationships/oleObject" Target="embeddings/oleObject168.bin"/><Relationship Id="rId292" Type="http://schemas.openxmlformats.org/officeDocument/2006/relationships/image" Target="media/image111.wmf"/><Relationship Id="rId291" Type="http://schemas.openxmlformats.org/officeDocument/2006/relationships/oleObject" Target="embeddings/oleObject167.bin"/><Relationship Id="rId290" Type="http://schemas.openxmlformats.org/officeDocument/2006/relationships/image" Target="media/image110.wmf"/><Relationship Id="rId29" Type="http://schemas.openxmlformats.org/officeDocument/2006/relationships/image" Target="media/image11.png"/><Relationship Id="rId289" Type="http://schemas.openxmlformats.org/officeDocument/2006/relationships/oleObject" Target="embeddings/oleObject166.bin"/><Relationship Id="rId288" Type="http://schemas.openxmlformats.org/officeDocument/2006/relationships/image" Target="media/image109.wmf"/><Relationship Id="rId287" Type="http://schemas.openxmlformats.org/officeDocument/2006/relationships/oleObject" Target="embeddings/oleObject165.bin"/><Relationship Id="rId286" Type="http://schemas.openxmlformats.org/officeDocument/2006/relationships/oleObject" Target="embeddings/oleObject164.bin"/><Relationship Id="rId285" Type="http://schemas.openxmlformats.org/officeDocument/2006/relationships/oleObject" Target="embeddings/oleObject163.bin"/><Relationship Id="rId284" Type="http://schemas.openxmlformats.org/officeDocument/2006/relationships/image" Target="media/image108.wmf"/><Relationship Id="rId283" Type="http://schemas.openxmlformats.org/officeDocument/2006/relationships/oleObject" Target="embeddings/oleObject162.bin"/><Relationship Id="rId282" Type="http://schemas.openxmlformats.org/officeDocument/2006/relationships/oleObject" Target="embeddings/oleObject161.bin"/><Relationship Id="rId281" Type="http://schemas.openxmlformats.org/officeDocument/2006/relationships/image" Target="media/image107.wmf"/><Relationship Id="rId280" Type="http://schemas.openxmlformats.org/officeDocument/2006/relationships/image" Target="media/image106.wmf"/><Relationship Id="rId28" Type="http://schemas.openxmlformats.org/officeDocument/2006/relationships/image" Target="media/image10.png"/><Relationship Id="rId279" Type="http://schemas.openxmlformats.org/officeDocument/2006/relationships/oleObject" Target="embeddings/oleObject160.bin"/><Relationship Id="rId278" Type="http://schemas.openxmlformats.org/officeDocument/2006/relationships/image" Target="media/image105.wmf"/><Relationship Id="rId277" Type="http://schemas.openxmlformats.org/officeDocument/2006/relationships/oleObject" Target="embeddings/oleObject159.bin"/><Relationship Id="rId276" Type="http://schemas.openxmlformats.org/officeDocument/2006/relationships/oleObject" Target="embeddings/oleObject158.bin"/><Relationship Id="rId275" Type="http://schemas.openxmlformats.org/officeDocument/2006/relationships/oleObject" Target="embeddings/oleObject157.bin"/><Relationship Id="rId274" Type="http://schemas.openxmlformats.org/officeDocument/2006/relationships/image" Target="media/image104.wmf"/><Relationship Id="rId273" Type="http://schemas.openxmlformats.org/officeDocument/2006/relationships/oleObject" Target="embeddings/oleObject156.bin"/><Relationship Id="rId272" Type="http://schemas.openxmlformats.org/officeDocument/2006/relationships/image" Target="media/image103.wmf"/><Relationship Id="rId271" Type="http://schemas.openxmlformats.org/officeDocument/2006/relationships/oleObject" Target="embeddings/oleObject155.bin"/><Relationship Id="rId270" Type="http://schemas.openxmlformats.org/officeDocument/2006/relationships/oleObject" Target="embeddings/oleObject154.bin"/><Relationship Id="rId27" Type="http://schemas.openxmlformats.org/officeDocument/2006/relationships/image" Target="media/image9.emf"/><Relationship Id="rId269" Type="http://schemas.openxmlformats.org/officeDocument/2006/relationships/oleObject" Target="embeddings/oleObject153.bin"/><Relationship Id="rId268" Type="http://schemas.openxmlformats.org/officeDocument/2006/relationships/image" Target="media/image102.wmf"/><Relationship Id="rId267" Type="http://schemas.openxmlformats.org/officeDocument/2006/relationships/oleObject" Target="embeddings/oleObject152.bin"/><Relationship Id="rId266" Type="http://schemas.openxmlformats.org/officeDocument/2006/relationships/image" Target="media/image101.emf"/><Relationship Id="rId265" Type="http://schemas.openxmlformats.org/officeDocument/2006/relationships/oleObject" Target="embeddings/Document2.doc"/><Relationship Id="rId264" Type="http://schemas.openxmlformats.org/officeDocument/2006/relationships/oleObject" Target="embeddings/oleObject151.bin"/><Relationship Id="rId263" Type="http://schemas.openxmlformats.org/officeDocument/2006/relationships/oleObject" Target="embeddings/oleObject150.bin"/><Relationship Id="rId262" Type="http://schemas.openxmlformats.org/officeDocument/2006/relationships/image" Target="media/image100.wmf"/><Relationship Id="rId261" Type="http://schemas.openxmlformats.org/officeDocument/2006/relationships/oleObject" Target="embeddings/oleObject149.bin"/><Relationship Id="rId260" Type="http://schemas.openxmlformats.org/officeDocument/2006/relationships/image" Target="media/image99.wmf"/><Relationship Id="rId26" Type="http://schemas.openxmlformats.org/officeDocument/2006/relationships/oleObject" Target="embeddings/oleObject6.bin"/><Relationship Id="rId259" Type="http://schemas.openxmlformats.org/officeDocument/2006/relationships/oleObject" Target="embeddings/oleObject148.bin"/><Relationship Id="rId258" Type="http://schemas.openxmlformats.org/officeDocument/2006/relationships/image" Target="media/image98.wmf"/><Relationship Id="rId257" Type="http://schemas.openxmlformats.org/officeDocument/2006/relationships/oleObject" Target="embeddings/oleObject147.bin"/><Relationship Id="rId256" Type="http://schemas.openxmlformats.org/officeDocument/2006/relationships/image" Target="media/image97.wmf"/><Relationship Id="rId255" Type="http://schemas.openxmlformats.org/officeDocument/2006/relationships/oleObject" Target="embeddings/oleObject146.bin"/><Relationship Id="rId254" Type="http://schemas.openxmlformats.org/officeDocument/2006/relationships/image" Target="media/image96.wmf"/><Relationship Id="rId253" Type="http://schemas.openxmlformats.org/officeDocument/2006/relationships/oleObject" Target="embeddings/oleObject145.bin"/><Relationship Id="rId252" Type="http://schemas.openxmlformats.org/officeDocument/2006/relationships/image" Target="media/image95.wmf"/><Relationship Id="rId251" Type="http://schemas.openxmlformats.org/officeDocument/2006/relationships/oleObject" Target="embeddings/oleObject144.bin"/><Relationship Id="rId250" Type="http://schemas.openxmlformats.org/officeDocument/2006/relationships/oleObject" Target="embeddings/oleObject143.bin"/><Relationship Id="rId25" Type="http://schemas.openxmlformats.org/officeDocument/2006/relationships/image" Target="media/image8.emf"/><Relationship Id="rId249" Type="http://schemas.openxmlformats.org/officeDocument/2006/relationships/image" Target="media/image94.wmf"/><Relationship Id="rId248" Type="http://schemas.openxmlformats.org/officeDocument/2006/relationships/oleObject" Target="embeddings/oleObject142.bin"/><Relationship Id="rId247" Type="http://schemas.openxmlformats.org/officeDocument/2006/relationships/image" Target="media/image93.wmf"/><Relationship Id="rId246" Type="http://schemas.openxmlformats.org/officeDocument/2006/relationships/oleObject" Target="embeddings/oleObject141.bin"/><Relationship Id="rId245" Type="http://schemas.openxmlformats.org/officeDocument/2006/relationships/image" Target="media/image92.wmf"/><Relationship Id="rId244" Type="http://schemas.openxmlformats.org/officeDocument/2006/relationships/oleObject" Target="embeddings/oleObject140.bin"/><Relationship Id="rId243" Type="http://schemas.openxmlformats.org/officeDocument/2006/relationships/oleObject" Target="embeddings/oleObject139.bin"/><Relationship Id="rId242" Type="http://schemas.openxmlformats.org/officeDocument/2006/relationships/image" Target="media/image91.wmf"/><Relationship Id="rId241" Type="http://schemas.openxmlformats.org/officeDocument/2006/relationships/oleObject" Target="embeddings/oleObject138.bin"/><Relationship Id="rId240" Type="http://schemas.openxmlformats.org/officeDocument/2006/relationships/image" Target="media/image90.wmf"/><Relationship Id="rId24" Type="http://schemas.openxmlformats.org/officeDocument/2006/relationships/oleObject" Target="embeddings/oleObject5.bin"/><Relationship Id="rId239" Type="http://schemas.openxmlformats.org/officeDocument/2006/relationships/oleObject" Target="embeddings/oleObject137.bin"/><Relationship Id="rId238" Type="http://schemas.openxmlformats.org/officeDocument/2006/relationships/image" Target="media/image89.wmf"/><Relationship Id="rId237" Type="http://schemas.openxmlformats.org/officeDocument/2006/relationships/oleObject" Target="embeddings/oleObject136.bin"/><Relationship Id="rId236" Type="http://schemas.openxmlformats.org/officeDocument/2006/relationships/image" Target="media/image88.wmf"/><Relationship Id="rId235" Type="http://schemas.openxmlformats.org/officeDocument/2006/relationships/oleObject" Target="embeddings/oleObject135.bin"/><Relationship Id="rId234" Type="http://schemas.openxmlformats.org/officeDocument/2006/relationships/image" Target="media/image87.wmf"/><Relationship Id="rId233" Type="http://schemas.openxmlformats.org/officeDocument/2006/relationships/oleObject" Target="embeddings/oleObject134.bin"/><Relationship Id="rId232" Type="http://schemas.openxmlformats.org/officeDocument/2006/relationships/image" Target="media/image86.wmf"/><Relationship Id="rId231" Type="http://schemas.openxmlformats.org/officeDocument/2006/relationships/oleObject" Target="embeddings/oleObject133.bin"/><Relationship Id="rId230" Type="http://schemas.openxmlformats.org/officeDocument/2006/relationships/image" Target="media/image85.wmf"/><Relationship Id="rId23" Type="http://schemas.openxmlformats.org/officeDocument/2006/relationships/image" Target="media/image7.emf"/><Relationship Id="rId229" Type="http://schemas.openxmlformats.org/officeDocument/2006/relationships/oleObject" Target="embeddings/oleObject132.bin"/><Relationship Id="rId228" Type="http://schemas.openxmlformats.org/officeDocument/2006/relationships/image" Target="media/image84.wmf"/><Relationship Id="rId227" Type="http://schemas.openxmlformats.org/officeDocument/2006/relationships/oleObject" Target="embeddings/oleObject131.bin"/><Relationship Id="rId226" Type="http://schemas.openxmlformats.org/officeDocument/2006/relationships/image" Target="media/image83.wmf"/><Relationship Id="rId225" Type="http://schemas.openxmlformats.org/officeDocument/2006/relationships/oleObject" Target="embeddings/oleObject130.bin"/><Relationship Id="rId224" Type="http://schemas.openxmlformats.org/officeDocument/2006/relationships/oleObject" Target="embeddings/oleObject129.bin"/><Relationship Id="rId223" Type="http://schemas.openxmlformats.org/officeDocument/2006/relationships/oleObject" Target="embeddings/oleObject128.bin"/><Relationship Id="rId222" Type="http://schemas.openxmlformats.org/officeDocument/2006/relationships/oleObject" Target="embeddings/oleObject127.bin"/><Relationship Id="rId221" Type="http://schemas.openxmlformats.org/officeDocument/2006/relationships/image" Target="media/image82.wmf"/><Relationship Id="rId220" Type="http://schemas.openxmlformats.org/officeDocument/2006/relationships/oleObject" Target="embeddings/oleObject126.bin"/><Relationship Id="rId22" Type="http://schemas.openxmlformats.org/officeDocument/2006/relationships/oleObject" Target="embeddings/oleObject4.bin"/><Relationship Id="rId219" Type="http://schemas.openxmlformats.org/officeDocument/2006/relationships/image" Target="media/image81.wmf"/><Relationship Id="rId218" Type="http://schemas.openxmlformats.org/officeDocument/2006/relationships/oleObject" Target="embeddings/oleObject125.bin"/><Relationship Id="rId217" Type="http://schemas.openxmlformats.org/officeDocument/2006/relationships/image" Target="media/image80.wmf"/><Relationship Id="rId216" Type="http://schemas.openxmlformats.org/officeDocument/2006/relationships/oleObject" Target="embeddings/oleObject124.bin"/><Relationship Id="rId215" Type="http://schemas.openxmlformats.org/officeDocument/2006/relationships/oleObject" Target="embeddings/oleObject123.bin"/><Relationship Id="rId214" Type="http://schemas.openxmlformats.org/officeDocument/2006/relationships/image" Target="media/image79.wmf"/><Relationship Id="rId213" Type="http://schemas.openxmlformats.org/officeDocument/2006/relationships/image" Target="media/image78.wmf"/><Relationship Id="rId212" Type="http://schemas.openxmlformats.org/officeDocument/2006/relationships/image" Target="media/image77.wmf"/><Relationship Id="rId211" Type="http://schemas.openxmlformats.org/officeDocument/2006/relationships/oleObject" Target="embeddings/oleObject122.bin"/><Relationship Id="rId210" Type="http://schemas.openxmlformats.org/officeDocument/2006/relationships/oleObject" Target="embeddings/oleObject121.bin"/><Relationship Id="rId21" Type="http://schemas.openxmlformats.org/officeDocument/2006/relationships/image" Target="media/image6.emf"/><Relationship Id="rId209" Type="http://schemas.openxmlformats.org/officeDocument/2006/relationships/oleObject" Target="embeddings/oleObject120.bin"/><Relationship Id="rId208" Type="http://schemas.openxmlformats.org/officeDocument/2006/relationships/oleObject" Target="embeddings/oleObject119.bin"/><Relationship Id="rId207" Type="http://schemas.openxmlformats.org/officeDocument/2006/relationships/oleObject" Target="embeddings/oleObject118.bin"/><Relationship Id="rId206" Type="http://schemas.openxmlformats.org/officeDocument/2006/relationships/image" Target="media/image76.wmf"/><Relationship Id="rId205" Type="http://schemas.openxmlformats.org/officeDocument/2006/relationships/oleObject" Target="embeddings/oleObject117.bin"/><Relationship Id="rId204" Type="http://schemas.openxmlformats.org/officeDocument/2006/relationships/image" Target="media/image75.wmf"/><Relationship Id="rId203" Type="http://schemas.openxmlformats.org/officeDocument/2006/relationships/oleObject" Target="embeddings/oleObject116.bin"/><Relationship Id="rId202" Type="http://schemas.openxmlformats.org/officeDocument/2006/relationships/image" Target="media/image74.wmf"/><Relationship Id="rId201" Type="http://schemas.openxmlformats.org/officeDocument/2006/relationships/oleObject" Target="embeddings/oleObject115.bin"/><Relationship Id="rId200" Type="http://schemas.openxmlformats.org/officeDocument/2006/relationships/oleObject" Target="embeddings/oleObject114.bin"/><Relationship Id="rId20" Type="http://schemas.openxmlformats.org/officeDocument/2006/relationships/oleObject" Target="embeddings/oleObject3.bin"/><Relationship Id="rId2" Type="http://schemas.openxmlformats.org/officeDocument/2006/relationships/settings" Target="settings.xml"/><Relationship Id="rId199" Type="http://schemas.openxmlformats.org/officeDocument/2006/relationships/image" Target="media/image73.wmf"/><Relationship Id="rId198" Type="http://schemas.openxmlformats.org/officeDocument/2006/relationships/oleObject" Target="embeddings/oleObject113.bin"/><Relationship Id="rId197" Type="http://schemas.openxmlformats.org/officeDocument/2006/relationships/image" Target="media/image72.wmf"/><Relationship Id="rId196" Type="http://schemas.openxmlformats.org/officeDocument/2006/relationships/oleObject" Target="embeddings/oleObject112.bin"/><Relationship Id="rId195" Type="http://schemas.openxmlformats.org/officeDocument/2006/relationships/oleObject" Target="embeddings/oleObject111.bin"/><Relationship Id="rId194" Type="http://schemas.openxmlformats.org/officeDocument/2006/relationships/oleObject" Target="embeddings/oleObject110.bin"/><Relationship Id="rId193" Type="http://schemas.openxmlformats.org/officeDocument/2006/relationships/image" Target="media/image71.wmf"/><Relationship Id="rId192" Type="http://schemas.openxmlformats.org/officeDocument/2006/relationships/oleObject" Target="embeddings/oleObject109.bin"/><Relationship Id="rId191" Type="http://schemas.openxmlformats.org/officeDocument/2006/relationships/oleObject" Target="embeddings/oleObject108.bin"/><Relationship Id="rId190" Type="http://schemas.openxmlformats.org/officeDocument/2006/relationships/oleObject" Target="embeddings/oleObject107.bin"/><Relationship Id="rId19" Type="http://schemas.openxmlformats.org/officeDocument/2006/relationships/image" Target="media/image5.emf"/><Relationship Id="rId189" Type="http://schemas.openxmlformats.org/officeDocument/2006/relationships/oleObject" Target="embeddings/oleObject106.bin"/><Relationship Id="rId188" Type="http://schemas.openxmlformats.org/officeDocument/2006/relationships/oleObject" Target="embeddings/oleObject105.bin"/><Relationship Id="rId187" Type="http://schemas.openxmlformats.org/officeDocument/2006/relationships/oleObject" Target="embeddings/oleObject104.bin"/><Relationship Id="rId186" Type="http://schemas.openxmlformats.org/officeDocument/2006/relationships/oleObject" Target="embeddings/oleObject103.bin"/><Relationship Id="rId185" Type="http://schemas.openxmlformats.org/officeDocument/2006/relationships/oleObject" Target="embeddings/oleObject102.bin"/><Relationship Id="rId184" Type="http://schemas.openxmlformats.org/officeDocument/2006/relationships/oleObject" Target="embeddings/oleObject101.bin"/><Relationship Id="rId183" Type="http://schemas.openxmlformats.org/officeDocument/2006/relationships/oleObject" Target="embeddings/oleObject100.bin"/><Relationship Id="rId182" Type="http://schemas.openxmlformats.org/officeDocument/2006/relationships/image" Target="media/image70.wmf"/><Relationship Id="rId181" Type="http://schemas.openxmlformats.org/officeDocument/2006/relationships/oleObject" Target="embeddings/oleObject99.bin"/><Relationship Id="rId180" Type="http://schemas.openxmlformats.org/officeDocument/2006/relationships/image" Target="media/image69.emf"/><Relationship Id="rId18" Type="http://schemas.openxmlformats.org/officeDocument/2006/relationships/image" Target="media/image4.png"/><Relationship Id="rId179" Type="http://schemas.openxmlformats.org/officeDocument/2006/relationships/image" Target="media/image68.emf"/><Relationship Id="rId178" Type="http://schemas.openxmlformats.org/officeDocument/2006/relationships/oleObject" Target="embeddings/oleObject98.bin"/><Relationship Id="rId177" Type="http://schemas.openxmlformats.org/officeDocument/2006/relationships/image" Target="media/image67.wmf"/><Relationship Id="rId176" Type="http://schemas.openxmlformats.org/officeDocument/2006/relationships/oleObject" Target="embeddings/oleObject97.bin"/><Relationship Id="rId175" Type="http://schemas.openxmlformats.org/officeDocument/2006/relationships/image" Target="media/image66.wmf"/><Relationship Id="rId174" Type="http://schemas.openxmlformats.org/officeDocument/2006/relationships/oleObject" Target="embeddings/oleObject96.bin"/><Relationship Id="rId173" Type="http://schemas.openxmlformats.org/officeDocument/2006/relationships/oleObject" Target="embeddings/oleObject95.bin"/><Relationship Id="rId172" Type="http://schemas.openxmlformats.org/officeDocument/2006/relationships/oleObject" Target="embeddings/oleObject94.bin"/><Relationship Id="rId171" Type="http://schemas.openxmlformats.org/officeDocument/2006/relationships/oleObject" Target="embeddings/oleObject93.bin"/><Relationship Id="rId170" Type="http://schemas.openxmlformats.org/officeDocument/2006/relationships/image" Target="media/image65.wmf"/><Relationship Id="rId17" Type="http://schemas.openxmlformats.org/officeDocument/2006/relationships/image" Target="media/image3.emf"/><Relationship Id="rId169" Type="http://schemas.openxmlformats.org/officeDocument/2006/relationships/oleObject" Target="embeddings/oleObject92.bin"/><Relationship Id="rId168" Type="http://schemas.openxmlformats.org/officeDocument/2006/relationships/oleObject" Target="embeddings/oleObject91.bin"/><Relationship Id="rId167" Type="http://schemas.openxmlformats.org/officeDocument/2006/relationships/image" Target="media/image64.wmf"/><Relationship Id="rId166" Type="http://schemas.openxmlformats.org/officeDocument/2006/relationships/oleObject" Target="embeddings/oleObject90.bin"/><Relationship Id="rId165" Type="http://schemas.openxmlformats.org/officeDocument/2006/relationships/image" Target="media/image63.wmf"/><Relationship Id="rId164" Type="http://schemas.openxmlformats.org/officeDocument/2006/relationships/oleObject" Target="embeddings/oleObject89.bin"/><Relationship Id="rId163" Type="http://schemas.openxmlformats.org/officeDocument/2006/relationships/image" Target="media/image62.wmf"/><Relationship Id="rId162" Type="http://schemas.openxmlformats.org/officeDocument/2006/relationships/oleObject" Target="embeddings/oleObject88.bin"/><Relationship Id="rId161" Type="http://schemas.openxmlformats.org/officeDocument/2006/relationships/oleObject" Target="embeddings/oleObject87.bin"/><Relationship Id="rId160" Type="http://schemas.openxmlformats.org/officeDocument/2006/relationships/oleObject" Target="embeddings/oleObject86.bin"/><Relationship Id="rId16" Type="http://schemas.openxmlformats.org/officeDocument/2006/relationships/image" Target="media/image2.emf"/><Relationship Id="rId159" Type="http://schemas.openxmlformats.org/officeDocument/2006/relationships/image" Target="media/image61.wmf"/><Relationship Id="rId158" Type="http://schemas.openxmlformats.org/officeDocument/2006/relationships/oleObject" Target="embeddings/oleObject85.bin"/><Relationship Id="rId157" Type="http://schemas.openxmlformats.org/officeDocument/2006/relationships/oleObject" Target="embeddings/oleObject84.bin"/><Relationship Id="rId156" Type="http://schemas.openxmlformats.org/officeDocument/2006/relationships/oleObject" Target="embeddings/oleObject83.bin"/><Relationship Id="rId155" Type="http://schemas.openxmlformats.org/officeDocument/2006/relationships/image" Target="media/image60.wmf"/><Relationship Id="rId154" Type="http://schemas.openxmlformats.org/officeDocument/2006/relationships/oleObject" Target="embeddings/oleObject82.bin"/><Relationship Id="rId153" Type="http://schemas.openxmlformats.org/officeDocument/2006/relationships/image" Target="media/image59.wmf"/><Relationship Id="rId152" Type="http://schemas.openxmlformats.org/officeDocument/2006/relationships/oleObject" Target="embeddings/oleObject81.bin"/><Relationship Id="rId151" Type="http://schemas.openxmlformats.org/officeDocument/2006/relationships/image" Target="media/image58.wmf"/><Relationship Id="rId150" Type="http://schemas.openxmlformats.org/officeDocument/2006/relationships/oleObject" Target="embeddings/oleObject80.bin"/><Relationship Id="rId15" Type="http://schemas.openxmlformats.org/officeDocument/2006/relationships/oleObject" Target="embeddings/oleObject2.bin"/><Relationship Id="rId149" Type="http://schemas.openxmlformats.org/officeDocument/2006/relationships/image" Target="media/image57.wmf"/><Relationship Id="rId148" Type="http://schemas.openxmlformats.org/officeDocument/2006/relationships/oleObject" Target="embeddings/oleObject79.bin"/><Relationship Id="rId147" Type="http://schemas.openxmlformats.org/officeDocument/2006/relationships/image" Target="media/image56.wmf"/><Relationship Id="rId146" Type="http://schemas.openxmlformats.org/officeDocument/2006/relationships/oleObject" Target="embeddings/oleObject78.bin"/><Relationship Id="rId145" Type="http://schemas.openxmlformats.org/officeDocument/2006/relationships/image" Target="media/image55.wmf"/><Relationship Id="rId144" Type="http://schemas.openxmlformats.org/officeDocument/2006/relationships/oleObject" Target="embeddings/oleObject77.bin"/><Relationship Id="rId143" Type="http://schemas.openxmlformats.org/officeDocument/2006/relationships/oleObject" Target="embeddings/oleObject76.bin"/><Relationship Id="rId142" Type="http://schemas.openxmlformats.org/officeDocument/2006/relationships/oleObject" Target="embeddings/oleObject75.bin"/><Relationship Id="rId141" Type="http://schemas.openxmlformats.org/officeDocument/2006/relationships/image" Target="media/image54.wmf"/><Relationship Id="rId140" Type="http://schemas.openxmlformats.org/officeDocument/2006/relationships/oleObject" Target="embeddings/oleObject74.bin"/><Relationship Id="rId14" Type="http://schemas.openxmlformats.org/officeDocument/2006/relationships/image" Target="media/image1.emf"/><Relationship Id="rId139" Type="http://schemas.openxmlformats.org/officeDocument/2006/relationships/oleObject" Target="embeddings/oleObject73.bin"/><Relationship Id="rId138" Type="http://schemas.openxmlformats.org/officeDocument/2006/relationships/image" Target="media/image53.emf"/><Relationship Id="rId137" Type="http://schemas.openxmlformats.org/officeDocument/2006/relationships/oleObject" Target="embeddings/Document1.doc"/><Relationship Id="rId136" Type="http://schemas.openxmlformats.org/officeDocument/2006/relationships/oleObject" Target="embeddings/oleObject72.bin"/><Relationship Id="rId135" Type="http://schemas.openxmlformats.org/officeDocument/2006/relationships/oleObject" Target="embeddings/oleObject71.bin"/><Relationship Id="rId134" Type="http://schemas.openxmlformats.org/officeDocument/2006/relationships/image" Target="media/image52.wmf"/><Relationship Id="rId133" Type="http://schemas.openxmlformats.org/officeDocument/2006/relationships/oleObject" Target="embeddings/oleObject70.bin"/><Relationship Id="rId132" Type="http://schemas.openxmlformats.org/officeDocument/2006/relationships/image" Target="media/image51.wmf"/><Relationship Id="rId131" Type="http://schemas.openxmlformats.org/officeDocument/2006/relationships/oleObject" Target="embeddings/oleObject69.bin"/><Relationship Id="rId130" Type="http://schemas.openxmlformats.org/officeDocument/2006/relationships/image" Target="media/image50.wmf"/><Relationship Id="rId13" Type="http://schemas.openxmlformats.org/officeDocument/2006/relationships/oleObject" Target="embeddings/oleObject1.bin"/><Relationship Id="rId129" Type="http://schemas.openxmlformats.org/officeDocument/2006/relationships/oleObject" Target="embeddings/oleObject68.bin"/><Relationship Id="rId128" Type="http://schemas.openxmlformats.org/officeDocument/2006/relationships/image" Target="media/image49.wmf"/><Relationship Id="rId127" Type="http://schemas.openxmlformats.org/officeDocument/2006/relationships/oleObject" Target="embeddings/oleObject67.bin"/><Relationship Id="rId126" Type="http://schemas.openxmlformats.org/officeDocument/2006/relationships/image" Target="media/image48.emf"/><Relationship Id="rId125" Type="http://schemas.openxmlformats.org/officeDocument/2006/relationships/oleObject" Target="embeddings/oleObject66.bin"/><Relationship Id="rId124" Type="http://schemas.openxmlformats.org/officeDocument/2006/relationships/oleObject" Target="embeddings/oleObject65.bin"/><Relationship Id="rId123" Type="http://schemas.openxmlformats.org/officeDocument/2006/relationships/oleObject" Target="embeddings/oleObject64.bin"/><Relationship Id="rId122" Type="http://schemas.openxmlformats.org/officeDocument/2006/relationships/oleObject" Target="embeddings/oleObject63.bin"/><Relationship Id="rId121" Type="http://schemas.openxmlformats.org/officeDocument/2006/relationships/image" Target="media/image47.wmf"/><Relationship Id="rId120" Type="http://schemas.openxmlformats.org/officeDocument/2006/relationships/oleObject" Target="embeddings/oleObject62.bin"/><Relationship Id="rId12" Type="http://schemas.openxmlformats.org/officeDocument/2006/relationships/theme" Target="theme/theme1.xml"/><Relationship Id="rId119" Type="http://schemas.openxmlformats.org/officeDocument/2006/relationships/oleObject" Target="embeddings/oleObject61.bin"/><Relationship Id="rId118" Type="http://schemas.openxmlformats.org/officeDocument/2006/relationships/oleObject" Target="embeddings/oleObject60.bin"/><Relationship Id="rId117" Type="http://schemas.openxmlformats.org/officeDocument/2006/relationships/image" Target="media/image46.wmf"/><Relationship Id="rId116" Type="http://schemas.openxmlformats.org/officeDocument/2006/relationships/oleObject" Target="embeddings/oleObject59.bin"/><Relationship Id="rId115" Type="http://schemas.openxmlformats.org/officeDocument/2006/relationships/image" Target="media/image45.wmf"/><Relationship Id="rId114" Type="http://schemas.openxmlformats.org/officeDocument/2006/relationships/oleObject" Target="embeddings/oleObject58.bin"/><Relationship Id="rId113" Type="http://schemas.openxmlformats.org/officeDocument/2006/relationships/image" Target="media/image44.wmf"/><Relationship Id="rId112" Type="http://schemas.openxmlformats.org/officeDocument/2006/relationships/image" Target="media/image43.wmf"/><Relationship Id="rId111" Type="http://schemas.openxmlformats.org/officeDocument/2006/relationships/image" Target="media/image42.wmf"/><Relationship Id="rId110" Type="http://schemas.openxmlformats.org/officeDocument/2006/relationships/image" Target="media/image41.wmf"/><Relationship Id="rId11" Type="http://schemas.openxmlformats.org/officeDocument/2006/relationships/footer" Target="footer4.xml"/><Relationship Id="rId109" Type="http://schemas.openxmlformats.org/officeDocument/2006/relationships/oleObject" Target="embeddings/oleObject57.bin"/><Relationship Id="rId108" Type="http://schemas.openxmlformats.org/officeDocument/2006/relationships/image" Target="media/image40.wmf"/><Relationship Id="rId107" Type="http://schemas.openxmlformats.org/officeDocument/2006/relationships/oleObject" Target="embeddings/oleObject56.bin"/><Relationship Id="rId106" Type="http://schemas.openxmlformats.org/officeDocument/2006/relationships/image" Target="media/image39.wmf"/><Relationship Id="rId105" Type="http://schemas.openxmlformats.org/officeDocument/2006/relationships/oleObject" Target="embeddings/oleObject55.bin"/><Relationship Id="rId104" Type="http://schemas.openxmlformats.org/officeDocument/2006/relationships/image" Target="media/image38.wmf"/><Relationship Id="rId103" Type="http://schemas.openxmlformats.org/officeDocument/2006/relationships/oleObject" Target="embeddings/oleObject54.bin"/><Relationship Id="rId102" Type="http://schemas.openxmlformats.org/officeDocument/2006/relationships/image" Target="media/image37.emf"/><Relationship Id="rId101" Type="http://schemas.openxmlformats.org/officeDocument/2006/relationships/image" Target="media/image36.png"/><Relationship Id="rId100" Type="http://schemas.openxmlformats.org/officeDocument/2006/relationships/oleObject" Target="embeddings/oleObject53.bin"/><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Pages>
  <Words>90175</Words>
  <Characters>514001</Characters>
  <Lines>4283</Lines>
  <Paragraphs>1205</Paragraphs>
  <TotalTime>26</TotalTime>
  <ScaleCrop>false</ScaleCrop>
  <LinksUpToDate>false</LinksUpToDate>
  <CharactersWithSpaces>602971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2023-08-28T05:36:00Z</dcterms:created>
  <dc:creator>MCC Support</dc:creator>
  <cp:keywords>&lt;keyword[, keyword, ]&gt;</cp:keywords>
  <cp:lastModifiedBy>Danni SONG(CMCC)</cp:lastModifiedBy>
  <cp:lastPrinted>2019-02-25T14:05:00Z</cp:lastPrinted>
  <dcterms:modified xsi:type="dcterms:W3CDTF">2023-09-01T13:47:34Z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4411C551F31C42EDA70997A40C6D0F07</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